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rPr>
        <w:t xml:space="preserve">Access Control and Least Privilege Standard</w:t>
      </w:r>
    </w:p>
    <w:p>
      <w:pPr>
        <w:spacing w:after="120"/>
      </w:pPr>
      <w:r>
        <w:rPr/>
        <w:t xml:space="preserve">Orchid Hill Securities Limited. Document owner: Dev Malhotra, Chief Information Security Officer. Version 3.1. Approved by the Chief Information Security Officer. Effective from 1 April 2026. Last reviewed 1 April 2026. Next review 31 March 2027.</w:t>
      </w:r>
    </w:p>
    <w:p>
      <w:pPr>
        <w:spacing w:after="120"/>
      </w:pPr>
      <w:r>
        <w:rPr/>
        <w:t xml:space="preserve">Scope: all staff, contractors and authorised persons with access to personal data.</w:t>
      </w:r>
    </w:p>
    <w:p>
      <w:pPr>
        <w:spacing w:after="120"/>
      </w:pPr>
      <w:r>
        <w:rPr>
          <w:b/>
          <w:sz w:val="28"/>
        </w:rPr>
        <w:t xml:space="preserve">Rule</w:t>
      </w:r>
    </w:p>
    <w:p>
      <w:pPr>
        <w:spacing w:after="120"/>
      </w:pPr>
      <w:r>
        <w:rPr/>
        <w:t xml:space="preserve">Access to personal data is granted by role on the principle of least privilege. Access is reviewed regularly: managers review the access of their team every quarter and the results are recorded. Access is removed promptly when people leave or change roles, within 24 hours of the leaving date.</w:t>
      </w:r>
    </w:p>
    <w:p>
      <w:pPr>
        <w:spacing w:after="120"/>
      </w:pPr>
      <w:r>
        <w:rPr>
          <w:b/>
          <w:sz w:val="28"/>
        </w:rPr>
        <w:t xml:space="preserve">Review</w:t>
      </w:r>
    </w:p>
    <w:p>
      <w:pPr>
        <w:spacing w:after="120"/>
      </w:pPr>
      <w:r>
        <w:rPr/>
        <w:t xml:space="preserve">Each quarter the security team sends an access review to every manager. Unreviewed access is escalated to the Chief Information Security Officer.</w:t>
      </w:r>
    </w:p>
    <w:sectPr>
      <w:pgSz w:w="11906" w:h="16838"/>
      <w:pgMar w:top="1134" w:right="1134" w:bottom="1134" w:left="1134"/>
    </w:sectPr>
  </w:body>
</w:document>
</file>