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Authorised Person Agreement</w:t>
      </w:r>
    </w:p>
    <w:p>
      <w:pPr>
        <w:spacing w:after="120"/>
      </w:pPr>
      <w:r>
        <w:rPr/>
        <w:t xml:space="preserve">Orchid Hill Securities Limited. Document owner: Harish Pillai, Head of Business Development. Version 2.0. Approved by the Head of Legal. Effective from 12 January 2026. Last reviewed 12 January 2026. Next review 11 January 2027.</w:t>
      </w:r>
    </w:p>
    <w:p>
      <w:pPr>
        <w:spacing w:after="120"/>
      </w:pPr>
      <w:r>
        <w:rPr/>
        <w:t xml:space="preserve">Scope: all authorised persons and referral partners.</w:t>
      </w:r>
    </w:p>
    <w:p>
      <w:pPr>
        <w:spacing w:after="120"/>
      </w:pPr>
      <w:r>
        <w:rPr>
          <w:b/>
          <w:sz w:val="28"/>
        </w:rPr>
        <w:t xml:space="preserve">Confidentiality</w:t>
      </w:r>
    </w:p>
    <w:p>
      <w:pPr>
        <w:spacing w:after="120"/>
      </w:pPr>
      <w:r>
        <w:rPr/>
        <w:t xml:space="preserve">The authorised person shall keep client information confidential and use it only to serve the clients referred by them. The authorised person shall not copy or share client data.</w:t>
      </w:r>
    </w:p>
    <w:sectPr>
      <w:pgSz w:w="11906" w:h="16838"/>
      <w:pgMar w:top="1134" w:right="1134" w:bottom="1134" w:left="1134"/>
    </w:sectPr>
  </w:body>
</w:document>
</file>