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20"/>
      </w:pPr>
      <w:r>
        <w:rPr>
          <w:b/>
          <w:sz w:val="36"/>
        </w:rPr>
        <w:t xml:space="preserve">Business Continuity and Disaster Recovery Plan</w:t>
      </w:r>
    </w:p>
    <w:p>
      <w:pPr>
        <w:spacing w:after="120"/>
      </w:pPr>
      <w:r>
        <w:rPr/>
        <w:t xml:space="preserve">Orchid Hill Securities Limited. Document owner: Sanjay Kulkarni, Head of Operations. Version 4.1. Approved by the Board Risk Committee. Effective from 28 February 2026. Last reviewed 28 February 2026. Next review 27 February 2027.</w:t>
      </w:r>
    </w:p>
    <w:p>
      <w:pPr>
        <w:spacing w:after="120"/>
      </w:pPr>
      <w:r>
        <w:rPr/>
        <w:t xml:space="preserve">Scope: trading, back-office and client data systems.</w:t>
      </w:r>
    </w:p>
    <w:p>
      <w:pPr>
        <w:spacing w:after="120"/>
      </w:pPr>
      <w:r>
        <w:rPr>
          <w:b/>
          <w:sz w:val="28"/>
        </w:rPr>
        <w:t xml:space="preserve">Plan and drills</w:t>
      </w:r>
    </w:p>
    <w:p>
      <w:pPr>
        <w:spacing w:after="120"/>
      </w:pPr>
      <w:r>
        <w:rPr/>
        <w:t xml:space="preserve">Trading, back-office and client data systems have a tested business continuity and disaster recovery plan. Backups are protected and recovery drills are held at the prescribed interval. The last full recovery drill was held on 14 February 2026 and met the recovery time targets.</w:t>
      </w:r>
    </w:p>
    <w:sectPr>
      <w:pgSz w:w="11906" w:h="16838"/>
      <w:pgMar w:top="1134" w:right="1134" w:bottom="1134" w:left="1134"/>
    </w:sectPr>
  </w:body>
</w:document>
</file>