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36"/>
        </w:rPr>
        <w:t xml:space="preserve">Personal Data Breach Notification Procedure</w:t>
      </w:r>
    </w:p>
    <w:p>
      <w:pPr>
        <w:spacing w:after="120"/>
      </w:pPr>
      <w:r>
        <w:rPr/>
        <w:t xml:space="preserve">Orchid Hill Securities Limited. Document owner: Meera Kapoor, Chief Compliance Officer. Version 1.3. Approved by the Chief Compliance Officer. Effective from 15 February 2026. Last reviewed 15 February 2026. Next review 14 February 2027.</w:t>
      </w:r>
    </w:p>
    <w:p>
      <w:pPr>
        <w:spacing w:after="120"/>
      </w:pPr>
      <w:r>
        <w:rPr/>
        <w:t xml:space="preserve">Scope: personal data breaches affecting clients, employees or partners.</w:t>
      </w:r>
    </w:p>
    <w:p>
      <w:pPr>
        <w:spacing w:after="120"/>
      </w:pPr>
      <w:r>
        <w:rPr>
          <w:b/>
          <w:sz w:val="28"/>
        </w:rPr>
        <w:t xml:space="preserve">Procedure</w:t>
      </w:r>
    </w:p>
    <w:p>
      <w:pPr>
        <w:spacing w:after="120"/>
      </w:pPr>
      <w:r>
        <w:rPr/>
        <w:t xml:space="preserve">A procedure to inform the Data Protection Board and affected data principals within the prescribed timelines. The Chief Compliance Officer decides whether a breach must be notified. The Board is informed through the prescribed form.</w:t>
      </w:r>
    </w:p>
    <w:p>
      <w:pPr>
        <w:spacing w:after="120"/>
      </w:pPr>
      <w:r>
        <w:rPr>
          <w:b/>
          <w:sz w:val="28"/>
        </w:rPr>
        <w:t xml:space="preserve">Draft templates</w:t>
      </w:r>
    </w:p>
    <w:p>
      <w:pPr>
        <w:spacing w:after="120"/>
      </w:pPr>
      <w:r>
        <w:rPr/>
        <w:t xml:space="preserve">A draft template for the notice to the Data Protection Board is attached as Annexure A. A template for affected clients is under preparation.</w:t>
      </w:r>
    </w:p>
    <w:sectPr>
      <w:pgSz w:w="11906" w:h="16838"/>
      <w:pgMar w:top="1134" w:right="1134" w:bottom="1134" w:left="1134"/>
    </w:sectPr>
  </w:body>
</w:document>
</file>