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Client Data Accuracy and Update Procedure</w:t>
      </w:r>
    </w:p>
    <w:p>
      <w:pPr>
        <w:spacing w:after="120"/>
      </w:pPr>
      <w:r>
        <w:rPr/>
        <w:t xml:space="preserve">Orchid Hill Securities Limited. Document owner: Nandini Rao, Head of Onboarding. Version 1.1. Approved by the Head of Operations. Effective from 1 April 2026. Last reviewed 1 April 2026. Next review 31 March 2027.</w:t>
      </w:r>
    </w:p>
    <w:p>
      <w:pPr>
        <w:spacing w:after="120"/>
      </w:pPr>
      <w:r>
        <w:rPr/>
        <w:t xml:space="preserve">Scope: client data that is used to decide about a client or shared outside Orchid Hill.</w:t>
      </w:r>
    </w:p>
    <w:p>
      <w:pPr>
        <w:spacing w:after="120"/>
      </w:pPr>
      <w:r>
        <w:rPr>
          <w:b/>
          <w:sz w:val="28"/>
        </w:rPr>
        <w:t xml:space="preserve">Accuracy</w:t>
      </w:r>
    </w:p>
    <w:p>
      <w:pPr>
        <w:spacing w:after="120"/>
      </w:pPr>
      <w:r>
        <w:rPr/>
        <w:t xml:space="preserve">Where personal data is used to decide about a client or shared, it is kept reasonably accurate and complete. Clients can update their details in the app. Returned mail and bounced emails trigger a data update request.</w:t>
      </w:r>
    </w:p>
    <w:sectPr>
      <w:pgSz w:w="11906" w:h="16838"/>
      <w:pgMar w:top="1134" w:right="1134" w:bottom="1134" w:left="1134"/>
    </w:sectPr>
  </w:body>
</w:document>
</file>