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Commercial Communications Policy</w:t>
      </w:r>
    </w:p>
    <w:p>
      <w:pPr>
        <w:spacing w:after="120"/>
      </w:pPr>
      <w:r>
        <w:rPr/>
        <w:t xml:space="preserve">Orchid Hill Securities Limited. Document owner: Tanvi Arora, Head of Marketing. Version 1.2. Approved by the Chief Compliance Officer. Effective from 1 April 2026. Last reviewed 1 April 2026. Next review 31 March 2027.</w:t>
      </w:r>
    </w:p>
    <w:p>
      <w:pPr>
        <w:spacing w:after="120"/>
      </w:pPr>
      <w:r>
        <w:rPr/>
        <w:t xml:space="preserve">Scope: promotional calls, SMS and emails.</w:t>
      </w:r>
    </w:p>
    <w:p>
      <w:pPr>
        <w:spacing w:after="120"/>
      </w:pPr>
      <w:r>
        <w:rPr>
          <w:b/>
          <w:sz w:val="28"/>
        </w:rPr>
        <w:t xml:space="preserve">Rules</w:t>
      </w:r>
    </w:p>
    <w:p>
      <w:pPr>
        <w:spacing w:after="120"/>
      </w:pPr>
      <w:r>
        <w:rPr/>
        <w:t xml:space="preserve">Promotional calls and messages use registered headers and templates, respect customer Do Not Disturb preferences and are backed by a consent register.</w:t>
      </w:r>
    </w:p>
    <w:sectPr>
      <w:pgSz w:w="11906" w:h="16838"/>
      <w:pgMar w:top="1134" w:right="1134" w:bottom="1134" w:left="1134"/>
    </w:sectPr>
  </w:body>
</w:document>
</file>