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rPr>
        <w:t xml:space="preserve">Consent Collection and Records Procedure</w:t>
      </w:r>
    </w:p>
    <w:p>
      <w:pPr>
        <w:spacing w:after="120"/>
      </w:pPr>
      <w:r>
        <w:rPr/>
        <w:t xml:space="preserve">Orchid Hill Securities Limited. Document owner: Dev Malhotra, CISO. Version 2.1. Approved by the Chief Compliance Officer. Effective from 1 April 2026. Last reviewed 1 April 2026. Next review 31 March 2027.</w:t>
      </w:r>
    </w:p>
    <w:p>
      <w:pPr>
        <w:spacing w:after="120"/>
      </w:pPr>
      <w:r>
        <w:rPr/>
        <w:t xml:space="preserve">Scope: every screen and form where Orchid Hill asks clients for consent.</w:t>
      </w:r>
    </w:p>
    <w:p>
      <w:pPr>
        <w:spacing w:after="120"/>
      </w:pPr>
      <w:r>
        <w:rPr>
          <w:b/>
          <w:sz w:val="28"/>
        </w:rPr>
        <w:t xml:space="preserve">Collection</w:t>
      </w:r>
    </w:p>
    <w:p>
      <w:pPr>
        <w:spacing w:after="120"/>
      </w:pPr>
      <w:r>
        <w:rPr/>
        <w:t xml:space="preserve">Consent is free, specific, informed, unconditional and unambiguous. It is given by a clear affirmative action: the client ticks an unticked box next to a purpose. Consent is limited to the stated purpose, and consent for marketing is never bundled with account opening.</w:t>
      </w:r>
    </w:p>
    <w:p>
      <w:pPr>
        <w:spacing w:after="120"/>
      </w:pPr>
      <w:r>
        <w:rPr>
          <w:b/>
          <w:sz w:val="28"/>
        </w:rPr>
        <w:t xml:space="preserve">Records</w:t>
      </w:r>
    </w:p>
    <w:p>
      <w:pPr>
        <w:spacing w:after="120"/>
      </w:pPr>
      <w:r>
        <w:rPr/>
        <w:t xml:space="preserve">Each consent is recorded with what was agreed, when, how and which notice version applied. The record is kept in the SupportDesk CRM consent register with the client code, the purpose, the date and time, the channel and the notice version.</w:t>
      </w:r>
    </w:p>
    <w:p>
      <w:pPr>
        <w:spacing w:after="120"/>
      </w:pPr>
      <w:r>
        <w:rPr>
          <w:b/>
          <w:sz w:val="28"/>
        </w:rPr>
        <w:t xml:space="preserve">Review</w:t>
      </w:r>
    </w:p>
    <w:p>
      <w:pPr>
        <w:spacing w:after="120"/>
      </w:pPr>
      <w:r>
        <w:rPr/>
        <w:t xml:space="preserve">The Chief Compliance Officer reviews a sample of consent records every quarter.</w:t>
      </w:r>
    </w:p>
    <w:sectPr>
      <w:pgSz w:w="11906" w:h="16838"/>
      <w:pgMar w:top="1134" w:right="1134" w:bottom="1134" w:left="1134"/>
    </w:sectPr>
  </w:body>
</w:document>
</file>