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Data Principal Rights and Grievance Redressal SOP</w:t>
      </w:r>
    </w:p>
    <w:p>
      <w:pPr>
        <w:spacing w:after="120"/>
      </w:pPr>
      <w:r>
        <w:rPr/>
        <w:t xml:space="preserve">Orchid Hill Securities Limited. Document owner: Kavita Deshmukh, Head of Customer Care. Version 2.0. Approved by the Chief Compliance Officer. Effective from 1 April 2026. Last reviewed 1 April 2026. Next review 31 March 2027.</w:t>
      </w:r>
    </w:p>
    <w:p>
      <w:pPr>
        <w:spacing w:after="120"/>
      </w:pPr>
      <w:r>
        <w:rPr/>
        <w:t xml:space="preserve">Scope: requests from clients, prospects and employees about their personal data.</w:t>
      </w:r>
    </w:p>
    <w:p>
      <w:pPr>
        <w:spacing w:after="120"/>
      </w:pPr>
      <w:r>
        <w:rPr>
          <w:b/>
          <w:sz w:val="28"/>
        </w:rPr>
        <w:t xml:space="preserve">Rights requests</w:t>
      </w:r>
    </w:p>
    <w:p>
      <w:pPr>
        <w:spacing w:after="120"/>
      </w:pPr>
      <w:r>
        <w:rPr/>
        <w:t xml:space="preserve">A process receives, verifies and answers requests to access, correct, complete, update or erase personal data within the prescribed time. Requests arrive through the app, email or branch. The identity of the requester is verified. The answer is sent within 30 days.</w:t>
      </w:r>
    </w:p>
    <w:p>
      <w:pPr>
        <w:spacing w:after="120"/>
      </w:pPr>
      <w:r>
        <w:rPr>
          <w:b/>
          <w:sz w:val="28"/>
        </w:rPr>
        <w:t xml:space="preserve">Grievance redressal and contact point</w:t>
      </w:r>
    </w:p>
    <w:p>
      <w:pPr>
        <w:spacing w:after="120"/>
      </w:pPr>
      <w:r>
        <w:rPr/>
        <w:t xml:space="preserve">A published contact for questions and grievances: privacy@orchidhill.example. Every grievance is tracked in SupportDesk with a response within the prescribed time. A nomination facility lets a client name a person to exercise their rights if they cannot.</w:t>
      </w:r>
    </w:p>
    <w:sectPr>
      <w:pgSz w:w="11906" w:h="16838"/>
      <w:pgMar w:top="1134" w:right="1134" w:bottom="1134" w:left="1134"/>
    </w:sectPr>
  </w:body>
</w:document>
</file>