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rPr>
        <w:t xml:space="preserve">Data Retention and Erasure Schedule</w:t>
      </w:r>
    </w:p>
    <w:p>
      <w:pPr>
        <w:spacing w:after="120"/>
      </w:pPr>
      <w:r>
        <w:rPr/>
        <w:t xml:space="preserve">Orchid Hill Securities Limited. Document owner: Meera Kapoor, Chief Compliance Officer. Version 2.0. Approved by the Chief Compliance Officer and the Chief Risk Officer. Effective from 5 April 2026. Last reviewed 5 April 2026. Next review 31 March 2027.</w:t>
      </w:r>
    </w:p>
    <w:p>
      <w:pPr>
        <w:spacing w:after="120"/>
      </w:pPr>
      <w:r>
        <w:rPr/>
        <w:t xml:space="preserve">Scope: all categories of personal data held by Orchid Hill.</w:t>
      </w:r>
    </w:p>
    <w:p>
      <w:pPr>
        <w:spacing w:after="120"/>
      </w:pPr>
      <w:r>
        <w:rPr>
          <w:b/>
          <w:sz w:val="28"/>
        </w:rPr>
        <w:t xml:space="preserve">Rule</w:t>
      </w:r>
    </w:p>
    <w:p>
      <w:pPr>
        <w:spacing w:after="120"/>
      </w:pPr>
      <w:r>
        <w:rPr/>
        <w:t xml:space="preserve">A retention schedule sets how long each category of personal data is kept. Personal data is erased when the purpose ends unless the law requires it to be kept. The schedule states which legal duty sets each period.</w:t>
      </w:r>
    </w:p>
    <w:p>
      <w:pPr>
        <w:spacing w:after="120"/>
      </w:pPr>
      <w:r>
        <w:rPr>
          <w:b/>
          <w:sz w:val="28"/>
        </w:rPr>
        <w:t xml:space="preserve">Schedule</w:t>
      </w:r>
    </w:p>
    <w:p>
      <w:pPr>
        <w:ind w:left="360" w:hanging="240"/>
      </w:pPr>
      <w:r>
        <w:rPr/>
        <w:t xml:space="preserve">• Client identity records and KYC documents: 8 years after the account is closed. Legal duty: PMLA and SEBI rules.</w:t>
      </w:r>
    </w:p>
    <w:p>
      <w:pPr>
        <w:ind w:left="360" w:hanging="240"/>
      </w:pPr>
      <w:r>
        <w:rPr/>
        <w:t xml:space="preserve">• Contract notes, order and trade logs: 8 years. Legal duty: SEBI and exchange rules.</w:t>
      </w:r>
    </w:p>
    <w:p>
      <w:pPr>
        <w:ind w:left="360" w:hanging="240"/>
      </w:pPr>
      <w:r>
        <w:rPr/>
        <w:t xml:space="preserve">• Recorded calls and communications: 8 years for trading related calls, 2 years for service calls. Legal duty: SEBI rules on recorded communications.</w:t>
      </w:r>
    </w:p>
    <w:p>
      <w:pPr>
        <w:ind w:left="360" w:hanging="240"/>
      </w:pPr>
      <w:r>
        <w:rPr/>
        <w:t xml:space="preserve">• Suspicious transaction records: 5 years after the relationship ends. Legal duty: PMLA.</w:t>
      </w:r>
    </w:p>
    <w:p>
      <w:pPr>
        <w:ind w:left="360" w:hanging="240"/>
      </w:pPr>
      <w:r>
        <w:rPr/>
        <w:t xml:space="preserve">• Employee records: 8 years after the employee leaves.</w:t>
      </w:r>
    </w:p>
    <w:p>
      <w:pPr>
        <w:spacing w:after="120"/>
      </w:pPr>
      <w:r>
        <w:rPr>
          <w:b/>
          <w:sz w:val="28"/>
        </w:rPr>
        <w:t xml:space="preserve">Erasure</w:t>
      </w:r>
    </w:p>
    <w:p>
      <w:pPr>
        <w:spacing w:after="120"/>
      </w:pPr>
      <w:r>
        <w:rPr/>
        <w:t xml:space="preserve">After the period ends, client records are erased from production systems within 90 days and from backups at their next rotation. Erasure is recorded.</w:t>
      </w:r>
    </w:p>
    <w:sectPr>
      <w:pgSz w:w="11906" w:h="16838"/>
      <w:pgMar w:top="1134" w:right="1134" w:bottom="1134" w:left="1134"/>
    </w:sectPr>
  </w:body>
</w:document>
</file>