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Information Security and Cyber Resilience Policy</w:t>
      </w:r>
    </w:p>
    <w:p>
      <w:pPr>
        <w:spacing w:after="120"/>
      </w:pPr>
      <w:r>
        <w:rPr/>
        <w:t xml:space="preserve">Orchid Hill Securities Limited. Document owner: Dev Malhotra, Chief Information Security Officer. Version 4.0. Approved by the Board of Directors on 25 March 2026. Effective from 1 April 2026. Last reviewed 1 April 2026. Next review 31 March 2027.</w:t>
      </w:r>
    </w:p>
    <w:p>
      <w:pPr>
        <w:spacing w:after="120"/>
      </w:pPr>
      <w:r>
        <w:rPr/>
        <w:t xml:space="preserve">Scope: all systems that hold client data, including the trading platform, back office, depository and onboarding systems.</w:t>
      </w:r>
    </w:p>
    <w:p>
      <w:pPr>
        <w:spacing w:after="120"/>
      </w:pPr>
      <w:r>
        <w:rPr>
          <w:b/>
          <w:sz w:val="28"/>
        </w:rPr>
        <w:t xml:space="preserve">Cyber security and resilience framework</w:t>
      </w:r>
    </w:p>
    <w:p>
      <w:pPr>
        <w:spacing w:after="120"/>
      </w:pPr>
      <w:r>
        <w:rPr/>
        <w:t xml:space="preserve">This board-approved cyber security and cyber resilience policy implements SEBI's cybersecurity and cyber resilience framework (CSCRF). A designated Chief Information Security Officer is accountable. Security monitoring runs around the clock through a security operations centre. A periodic review is done every year and after any major incident.</w:t>
      </w:r>
    </w:p>
    <w:p>
      <w:pPr>
        <w:spacing w:after="120"/>
      </w:pPr>
      <w:r>
        <w:rPr>
          <w:b/>
          <w:sz w:val="28"/>
        </w:rPr>
        <w:t xml:space="preserve">Security safeguards for personal data</w:t>
      </w:r>
    </w:p>
    <w:p>
      <w:pPr>
        <w:spacing w:after="120"/>
      </w:pPr>
      <w:r>
        <w:rPr/>
        <w:t xml:space="preserve">Reasonable security safeguards protect personal data: encryption of data at rest and in transit, masking of PAN, bank and demat details, access control by role, logging of access to client data, and backups protected and tested. Safeguards cover the systems that hold client data.</w:t>
      </w:r>
    </w:p>
    <w:p>
      <w:pPr>
        <w:spacing w:after="120"/>
      </w:pPr>
      <w:r>
        <w:rPr>
          <w:b/>
          <w:sz w:val="28"/>
        </w:rPr>
        <w:t xml:space="preserve">Monitoring</w:t>
      </w:r>
    </w:p>
    <w:p>
      <w:pPr>
        <w:spacing w:after="120"/>
      </w:pPr>
      <w:r>
        <w:rPr/>
        <w:t xml:space="preserve">Security events are logged and monitored. Alerts are triaged by the security operations centre and incidents are handled under the Incident Response Plan.</w:t>
      </w:r>
    </w:p>
    <w:sectPr>
      <w:pgSz w:w="11906" w:h="16838"/>
      <w:pgMar w:top="1134" w:right="1134" w:bottom="1134" w:left="1134"/>
    </w:sectPr>
  </w:body>
</w:document>
</file>