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Investor Grievance Redressal SOP</w:t>
      </w:r>
    </w:p>
    <w:p>
      <w:pPr>
        <w:spacing w:after="120"/>
      </w:pPr>
      <w:r>
        <w:rPr/>
        <w:t xml:space="preserve">Orchid Hill Securities Limited. Document owner: Kavita Deshmukh, Head of Customer Care. Version 3.2. Approved by the Chief Compliance Officer. Effective from 1 April 2026. Last reviewed 1 April 2026. Next review 31 March 2027.</w:t>
      </w:r>
    </w:p>
    <w:p>
      <w:pPr>
        <w:spacing w:after="120"/>
      </w:pPr>
      <w:r>
        <w:rPr/>
        <w:t xml:space="preserve">Scope: investor complaints received by any channel.</w:t>
      </w:r>
    </w:p>
    <w:p>
      <w:pPr>
        <w:spacing w:after="120"/>
      </w:pPr>
      <w:r>
        <w:rPr>
          <w:b/>
          <w:sz w:val="28"/>
        </w:rPr>
        <w:t xml:space="preserve">Handling</w:t>
      </w:r>
    </w:p>
    <w:p>
      <w:pPr>
        <w:spacing w:after="120"/>
      </w:pPr>
      <w:r>
        <w:rPr/>
        <w:t xml:space="preserve">Investor complaints from every channel are logged, answered through SCORES within the prescribed time, and escalated to online dispute resolution when unresolved.</w:t>
      </w:r>
    </w:p>
    <w:sectPr>
      <w:pgSz w:w="11906" w:h="16838"/>
      <w:pgMar w:top="1134" w:right="1134" w:bottom="1134" w:left="1134"/>
    </w:sectPr>
  </w:body>
</w:document>
</file>