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Client KYC Data Handling Procedure</w:t>
      </w:r>
    </w:p>
    <w:p>
      <w:pPr>
        <w:spacing w:after="120"/>
      </w:pPr>
      <w:r>
        <w:rPr/>
        <w:t xml:space="preserve">Orchid Hill Securities Limited. Document owner: Nandini Rao, Head of Onboarding. Version 3.0. Approved by the Chief Compliance Officer. Effective from 1 April 2026. Last reviewed 1 April 2026. Next review 31 March 2027.</w:t>
      </w:r>
    </w:p>
    <w:p>
      <w:pPr>
        <w:spacing w:after="120"/>
      </w:pPr>
      <w:r>
        <w:rPr/>
        <w:t xml:space="preserve">Scope: all client identity documents and KYC details.</w:t>
      </w:r>
    </w:p>
    <w:p>
      <w:pPr>
        <w:spacing w:after="120"/>
      </w:pPr>
      <w:r>
        <w:rPr>
          <w:b/>
          <w:sz w:val="28"/>
        </w:rPr>
        <w:t xml:space="preserve">Collection and KRA upload</w:t>
      </w:r>
    </w:p>
    <w:p>
      <w:pPr>
        <w:spacing w:after="120"/>
      </w:pPr>
      <w:r>
        <w:rPr/>
        <w:t xml:space="preserve">Client identity documents and KYC details are collected for the stated purpose only. KYC details are uploaded to the KYC Registration Agency within the prescribed time.</w:t>
      </w:r>
    </w:p>
    <w:p>
      <w:pPr>
        <w:spacing w:after="120"/>
      </w:pPr>
      <w:r>
        <w:rPr>
          <w:b/>
          <w:sz w:val="28"/>
        </w:rPr>
        <w:t xml:space="preserve">Storage</w:t>
      </w:r>
    </w:p>
    <w:p>
      <w:pPr>
        <w:spacing w:after="120"/>
      </w:pPr>
      <w:r>
        <w:rPr/>
        <w:t xml:space="preserve">KYC documents are stored encrypted with restricted access in the onboarding system. Only the onboarding and compliance teams can open them. Client KYC details are kept current: clients are asked to update them every two years and on any change.</w:t>
      </w:r>
    </w:p>
    <w:sectPr>
      <w:pgSz w:w="11906" w:h="16838"/>
      <w:pgMar w:top="1134" w:right="1134" w:bottom="1134" w:left="1134"/>
    </w:sectPr>
  </w:body>
</w:document>
</file>