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Legitimate Use Basis Register</w:t>
      </w:r>
    </w:p>
    <w:p>
      <w:pPr>
        <w:spacing w:after="120"/>
      </w:pPr>
      <w:r>
        <w:rPr/>
        <w:t xml:space="preserve">Orchid Hill Securities Limited. Document owner: Meera Kapoor, Chief Compliance Officer. Version 1.2. Approved by the Chief Compliance Officer and the Head of Legal. Effective from 2 April 2026. Last reviewed 2 April 2026. Next review 31 March 2027.</w:t>
      </w:r>
    </w:p>
    <w:p>
      <w:pPr>
        <w:spacing w:after="120"/>
      </w:pPr>
      <w:r>
        <w:rPr/>
        <w:t xml:space="preserve">Scope: all processing at Orchid Hill that does not rely on consent.</w:t>
      </w:r>
    </w:p>
    <w:p>
      <w:pPr>
        <w:spacing w:after="120"/>
      </w:pPr>
      <w:r>
        <w:rPr>
          <w:b/>
          <w:sz w:val="28"/>
        </w:rPr>
        <w:t xml:space="preserve">Where processing relies on a legitimate use</w:t>
      </w:r>
    </w:p>
    <w:p>
      <w:pPr>
        <w:spacing w:after="120"/>
      </w:pPr>
      <w:r>
        <w:rPr/>
        <w:t xml:space="preserve">Where processing relies on a legitimate use instead of consent, the basis is identified, documented and approved. The register lists each activity, the legal basis, the approving officer and the date.</w:t>
      </w:r>
    </w:p>
    <w:p>
      <w:pPr>
        <w:ind w:left="360" w:hanging="240"/>
      </w:pPr>
      <w:r>
        <w:rPr/>
        <w:t xml:space="preserve">• Client KYC and identity verification: legal obligation under SEBI regulations and the Prevention of Money Laundering Act. Approved by the Chief Compliance Officer.</w:t>
      </w:r>
    </w:p>
    <w:p>
      <w:pPr>
        <w:ind w:left="360" w:hanging="240"/>
      </w:pPr>
      <w:r>
        <w:rPr/>
        <w:t xml:space="preserve">• Trade, order and contract note records: legal obligation under SEBI and exchange rules. Approved by the Chief Compliance Officer.</w:t>
      </w:r>
    </w:p>
    <w:p>
      <w:pPr>
        <w:ind w:left="360" w:hanging="240"/>
      </w:pPr>
      <w:r>
        <w:rPr/>
        <w:t xml:space="preserve">• Employee records and payroll: employment. Approved by the Head of HR.</w:t>
      </w:r>
    </w:p>
    <w:p>
      <w:pPr>
        <w:ind w:left="360" w:hanging="240"/>
      </w:pPr>
      <w:r>
        <w:rPr/>
        <w:t xml:space="preserve">• Suspicious transaction reporting to FIU-IND: legal obligation. Approved by the Principal Officer.</w:t>
      </w:r>
    </w:p>
    <w:sectPr>
      <w:pgSz w:w="11906" w:h="16838"/>
      <w:pgMar w:top="1134" w:right="1134" w:bottom="1134" w:left="1134"/>
    </w:sectPr>
  </w:body>
</w:document>
</file>