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Trading App and Portal Security Standard</w:t>
      </w:r>
    </w:p>
    <w:p>
      <w:pPr>
        <w:spacing w:after="120"/>
      </w:pPr>
      <w:r>
        <w:rPr/>
        <w:t xml:space="preserve">Orchid Hill Securities Limited. Document owner: Dev Malhotra, Chief Information Security Officer. Version 2.4. Approved by the Chief Information Security Officer. Effective from 1 April 2026. Last reviewed 1 April 2026. Next review 31 March 2027.</w:t>
      </w:r>
    </w:p>
    <w:p>
      <w:pPr>
        <w:spacing w:after="120"/>
      </w:pPr>
      <w:r>
        <w:rPr/>
        <w:t xml:space="preserve">Scope: the OH Trade web and mobile apps, the Authorised Person Portal and the APIs.</w:t>
      </w:r>
    </w:p>
    <w:p>
      <w:pPr>
        <w:spacing w:after="120"/>
      </w:pPr>
      <w:r>
        <w:rPr>
          <w:b/>
          <w:sz w:val="28"/>
        </w:rPr>
        <w:t xml:space="preserve">Client data protection</w:t>
      </w:r>
    </w:p>
    <w:p>
      <w:pPr>
        <w:spacing w:after="120"/>
      </w:pPr>
      <w:r>
        <w:rPr/>
        <w:t xml:space="preserve">Client identifiers such as PAN, bank and demat details are masked in apps and statements and transmitted encrypted. They are exposed to staff and partners only on a need-to-know basis.</w:t>
      </w:r>
    </w:p>
    <w:p>
      <w:pPr>
        <w:spacing w:after="120"/>
      </w:pPr>
      <w:r>
        <w:rPr>
          <w:b/>
          <w:sz w:val="28"/>
        </w:rPr>
        <w:t xml:space="preserve">Authentication and API security</w:t>
      </w:r>
    </w:p>
    <w:p>
      <w:pPr>
        <w:spacing w:after="120"/>
      </w:pPr>
      <w:r>
        <w:rPr/>
        <w:t xml:space="preserve">Client logins use multi-factor authentication. Sessions expire after inactivity and API keys are protected and can be revoked on request. Algorithmic and API access is registered and monitored.</w:t>
      </w:r>
    </w:p>
    <w:sectPr>
      <w:pgSz w:w="11906" w:h="16838"/>
      <w:pgMar w:top="1134" w:right="1134" w:bottom="1134" w:left="1134"/>
    </w:sectPr>
  </w:body>
</w:document>
</file>