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</w:rPr>
        <w:t xml:space="preserve">Outsourcing and Cloud Policy</w:t>
      </w:r>
    </w:p>
    <w:p>
      <w:pPr>
        <w:spacing w:after="120"/>
      </w:pPr>
      <w:r>
        <w:rPr/>
        <w:t xml:space="preserve">Orchid Hill Securities Limited. Document owner: Vivek Bansal, Chief Risk Officer. Version 2.0. Approved by the Board Risk Committee. Effective from 1 April 2026. Last reviewed 1 April 2026. Next review 31 March 2027.</w:t>
      </w:r>
    </w:p>
    <w:p>
      <w:pPr>
        <w:spacing w:after="120"/>
      </w:pPr>
      <w:r>
        <w:rPr/>
        <w:t xml:space="preserve">Scope: all outsourced and cloud services that touch client data.</w:t>
      </w:r>
    </w:p>
    <w:p>
      <w:pPr>
        <w:spacing w:after="120"/>
      </w:pPr>
      <w:r>
        <w:rPr>
          <w:b/>
          <w:sz w:val="28"/>
        </w:rPr>
        <w:t xml:space="preserve">Due diligence, contract and data location</w:t>
      </w:r>
    </w:p>
    <w:p>
      <w:pPr>
        <w:spacing w:after="120"/>
      </w:pPr>
      <w:r>
        <w:rPr/>
        <w:t xml:space="preserve">Outsourced and cloud services that touch client data are chosen after due diligence. Each is covered by a written agreement on security, confidentiality, data location and regulator access. Client data stays in India. The service is monitored through quarterly reviews.</w:t>
      </w:r>
    </w:p>
    <w:sectPr>
      <w:pgSz w:w="11906" w:h="16838"/>
      <w:pgMar w:top="1134" w:right="1134" w:bottom="1134" w:left="1134"/>
    </w:sectPr>
  </w:body>
</w:document>
</file>