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36"/>
        </w:rPr>
        <w:t xml:space="preserve">Privacy Governance and Accountability Charter</w:t>
      </w:r>
    </w:p>
    <w:p>
      <w:pPr>
        <w:spacing w:after="120"/>
      </w:pPr>
      <w:r>
        <w:rPr/>
        <w:t xml:space="preserve">Orchid Hill Securities Limited. Document owner: Meera Kapoor, Chief Compliance Officer. Version 2.0. Approved by the Board of Directors. Effective from 1 April 2026. Last reviewed 1 April 2026. Next review 31 March 2027.</w:t>
      </w:r>
    </w:p>
    <w:p>
      <w:pPr>
        <w:spacing w:after="120"/>
      </w:pPr>
      <w:r>
        <w:rPr/>
        <w:t xml:space="preserve">Scope: all business units of Orchid Hill and its authorised persons.</w:t>
      </w:r>
    </w:p>
    <w:p>
      <w:pPr>
        <w:spacing w:after="120"/>
      </w:pPr>
      <w:r>
        <w:rPr>
          <w:b/>
          <w:sz w:val="28"/>
        </w:rPr>
        <w:t xml:space="preserve">Accountability</w:t>
      </w:r>
    </w:p>
    <w:p>
      <w:pPr>
        <w:spacing w:after="120"/>
      </w:pPr>
      <w:r>
        <w:rPr/>
        <w:t xml:space="preserve">A named owner is accountable for data protection: the Chief Compliance Officer. A documented structure supports the owner. A Privacy Council of the Chief Information Security Officer, the Chief Risk Officer, the Head of Customer Care and the Head of HR meets every quarter.</w:t>
      </w:r>
    </w:p>
    <w:p>
      <w:pPr>
        <w:spacing w:after="120"/>
      </w:pPr>
      <w:r>
        <w:rPr>
          <w:b/>
          <w:sz w:val="28"/>
        </w:rPr>
        <w:t xml:space="preserve">Management reporting</w:t>
      </w:r>
    </w:p>
    <w:p>
      <w:pPr>
        <w:spacing w:after="120"/>
      </w:pPr>
      <w:r>
        <w:rPr/>
        <w:t xml:space="preserve">Management reporting happens at a regular interval. The Chief Compliance Officer reports privacy and data protection matters to the Board Risk Committee every quarter, covering incidents, rights requests, vendor reviews and open actions.</w:t>
      </w:r>
    </w:p>
    <w:p>
      <w:pPr>
        <w:spacing w:after="120"/>
      </w:pPr>
      <w:r>
        <w:rPr>
          <w:b/>
          <w:sz w:val="28"/>
        </w:rPr>
        <w:t xml:space="preserve">Structure</w:t>
      </w:r>
    </w:p>
    <w:p>
      <w:pPr>
        <w:ind w:left="360" w:hanging="240"/>
      </w:pPr>
      <w:r>
        <w:rPr/>
        <w:t xml:space="preserve">• Board Risk Committee: oversight of privacy governance and accountability.</w:t>
      </w:r>
    </w:p>
    <w:p>
      <w:pPr>
        <w:ind w:left="360" w:hanging="240"/>
      </w:pPr>
      <w:r>
        <w:rPr/>
        <w:t xml:space="preserve">• Chief Compliance Officer: accountable owner of data protection.</w:t>
      </w:r>
    </w:p>
    <w:p>
      <w:pPr>
        <w:ind w:left="360" w:hanging="240"/>
      </w:pPr>
      <w:r>
        <w:rPr/>
        <w:t xml:space="preserve">• Privacy Council: documented structure meeting quarterly; minutes are kept.</w:t>
      </w:r>
    </w:p>
    <w:p>
      <w:pPr>
        <w:ind w:left="360" w:hanging="240"/>
      </w:pPr>
      <w:r>
        <w:rPr/>
        <w:t xml:space="preserve">• Business unit heads: responsible for privacy in their unit.</w:t>
      </w:r>
    </w:p>
    <w:sectPr>
      <w:pgSz w:w="11906" w:h="16838"/>
      <w:pgMar w:top="1134" w:right="1134" w:bottom="1134" w:left="1134"/>
    </w:sectPr>
  </w:body>
</w:document>
</file>