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rPr>
        <w:t xml:space="preserve">Privacy Policy</w:t>
      </w:r>
    </w:p>
    <w:p>
      <w:pPr>
        <w:spacing w:after="120"/>
      </w:pPr>
      <w:r>
        <w:rPr/>
        <w:t xml:space="preserve">Orchid Hill Securities Limited. Document owner: Meera Kapoor, Chief Compliance Officer. Version 3.0. Approved by the Board of Directors on 28 March 2026 and signed by the Managing Director. Effective from 1 April 2026. Last reviewed 1 April 2026. Next review 31 March 2027.</w:t>
      </w:r>
    </w:p>
    <w:p>
      <w:pPr>
        <w:spacing w:after="120"/>
      </w:pPr>
      <w:r>
        <w:rPr/>
        <w:t xml:space="preserve">Scope: this privacy policy applies to all employees, contractors, authorised persons and systems of Orchid Hill that process personal data.</w:t>
      </w:r>
    </w:p>
    <w:p>
      <w:pPr>
        <w:spacing w:after="120"/>
      </w:pPr>
      <w:r>
        <w:rPr>
          <w:b/>
          <w:sz w:val="28"/>
        </w:rPr>
        <w:t xml:space="preserve">1. Purpose</w:t>
      </w:r>
    </w:p>
    <w:p>
      <w:pPr>
        <w:spacing w:after="120"/>
      </w:pPr>
      <w:r>
        <w:rPr/>
        <w:t xml:space="preserve">This written privacy policy sets out how Orchid Hill collects, uses, shares, keeps and protects personal data and who in management is accountable for it. It is approved by management and reviewed every year.</w:t>
      </w:r>
    </w:p>
    <w:p>
      <w:pPr>
        <w:spacing w:after="120"/>
      </w:pPr>
      <w:r>
        <w:rPr>
          <w:b/>
          <w:sz w:val="28"/>
        </w:rPr>
        <w:t xml:space="preserve">2. Ownership and approval</w:t>
      </w:r>
    </w:p>
    <w:p>
      <w:pPr>
        <w:spacing w:after="120"/>
      </w:pPr>
      <w:r>
        <w:rPr/>
        <w:t xml:space="preserve">The Chief Compliance Officer is the named owner of this privacy policy. The Board of Directors approves it. Every change gets a new version number and a new review date, recorded in the table at the end of this document.</w:t>
      </w:r>
    </w:p>
    <w:p>
      <w:pPr>
        <w:spacing w:after="120"/>
      </w:pPr>
      <w:r>
        <w:rPr>
          <w:b/>
          <w:sz w:val="28"/>
        </w:rPr>
        <w:t xml:space="preserve">3. Principles</w:t>
      </w:r>
    </w:p>
    <w:p>
      <w:pPr>
        <w:ind w:left="360" w:hanging="240"/>
      </w:pPr>
      <w:r>
        <w:rPr/>
        <w:t xml:space="preserve">• Personal data is collected only for a stated purpose and used only for that purpose.</w:t>
      </w:r>
    </w:p>
    <w:p>
      <w:pPr>
        <w:ind w:left="360" w:hanging="240"/>
      </w:pPr>
      <w:r>
        <w:rPr/>
        <w:t xml:space="preserve">• Clients are given a notice before their data is collected and can exercise their rights.</w:t>
      </w:r>
    </w:p>
    <w:p>
      <w:pPr>
        <w:ind w:left="360" w:hanging="240"/>
      </w:pPr>
      <w:r>
        <w:rPr/>
        <w:t xml:space="preserve">• Personal data is protected by reasonable security safeguards and erased when no longer needed unless the law requires it to be kept.</w:t>
      </w:r>
    </w:p>
    <w:p>
      <w:pPr>
        <w:spacing w:after="120"/>
      </w:pPr>
      <w:r>
        <w:rPr>
          <w:b/>
          <w:sz w:val="28"/>
        </w:rPr>
        <w:t xml:space="preserve">4. Review</w:t>
      </w:r>
    </w:p>
    <w:p>
      <w:pPr>
        <w:spacing w:after="120"/>
      </w:pPr>
      <w:r>
        <w:rPr/>
        <w:t xml:space="preserve">Management reviews this privacy policy once a year, or sooner if the law changes. The next review date is 31 March 2027.</w:t>
      </w:r>
    </w:p>
    <w:p>
      <w:pPr>
        <w:spacing w:after="120"/>
      </w:pPr>
      <w:r>
        <w:rPr>
          <w:b/>
          <w:sz w:val="28"/>
        </w:rPr>
        <w:t xml:space="preserve">Version history</w:t>
      </w:r>
    </w:p>
    <w:p>
      <w:pPr>
        <w:spacing w:after="120"/>
      </w:pPr>
      <w:r>
        <w:rPr/>
        <w:t xml:space="preserve">Version 1.0 (2023), version 2.0 (2024), version 3.0 (April 2026) approved by the Board.</w:t>
      </w:r>
    </w:p>
    <w:sectPr>
      <w:pgSz w:w="11906" w:h="16838"/>
      <w:pgMar w:top="1134" w:right="1134" w:bottom="1134" w:left="1134"/>
    </w:sectPr>
  </w:body>
</w:document>
</file>