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sz w:val="36"/>
        </w:rPr>
        <w:t xml:space="preserve">Vendor Due Diligence and Monitoring Policy</w:t>
      </w:r>
    </w:p>
    <w:p>
      <w:pPr>
        <w:spacing w:after="120"/>
      </w:pPr>
      <w:r>
        <w:rPr/>
        <w:t xml:space="preserve">Orchid Hill Securities Limited. Document owner: Vivek Bansal, Chief Risk Officer. Version 2.0. Approved by the Chief Risk Officer. Effective from 1 April 2026. Last reviewed 1 April 2026. Next review 31 March 2027.</w:t>
      </w:r>
    </w:p>
    <w:p>
      <w:pPr>
        <w:spacing w:after="120"/>
      </w:pPr>
      <w:r>
        <w:rPr/>
        <w:t xml:space="preserve">Scope: all vendors that handle personal data on behalf of Orchid Hill.</w:t>
      </w:r>
    </w:p>
    <w:p>
      <w:pPr>
        <w:spacing w:after="120"/>
      </w:pPr>
      <w:r>
        <w:rPr>
          <w:b/>
          <w:sz w:val="28"/>
        </w:rPr>
        <w:t xml:space="preserve">Before onboarding</w:t>
      </w:r>
    </w:p>
    <w:p>
      <w:pPr>
        <w:spacing w:after="120"/>
      </w:pPr>
      <w:r>
        <w:rPr/>
        <w:t xml:space="preserve">Vendors are assessed before onboarding. The assessment covers how the vendor handles personal data, where it is stored, security certifications, sub-vendors and breach history.</w:t>
      </w:r>
    </w:p>
    <w:p>
      <w:pPr>
        <w:spacing w:after="120"/>
      </w:pPr>
      <w:r>
        <w:rPr>
          <w:b/>
          <w:sz w:val="28"/>
        </w:rPr>
        <w:t xml:space="preserve">Monitoring</w:t>
      </w:r>
    </w:p>
    <w:p>
      <w:pPr>
        <w:spacing w:after="120"/>
      </w:pPr>
      <w:r>
        <w:rPr/>
        <w:t xml:space="preserve">Vendors are re-assessed periodically: critical vendors every year, others every two years. The re-assessment checks the vendor's current security posture and how it handles personal data. Results are kept in the vendor file.</w:t>
      </w:r>
    </w:p>
    <w:sectPr>
      <w:pgSz w:w="11906" w:h="16838"/>
      <w:pgMar w:top="1134" w:right="1134" w:bottom="1134" w:left="1134"/>
    </w:sectPr>
  </w:body>
</w:document>
</file>