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pPr>
      <w:r>
        <w:rPr>
          <w:b/>
          <w:sz w:val="36"/>
        </w:rPr>
        <w:t xml:space="preserve">Consent withdrawal procedure</w:t>
      </w:r>
    </w:p>
    <w:p>
      <w:pPr>
        <w:spacing w:after="120"/>
      </w:pPr>
      <w:r>
        <w:rPr/>
        <w:t xml:space="preserve">Orchid Hill Securities Limited. Closure record dated 2026-10-18. Control owner: Dev Malhotra, Chief Information Security Officer. Version 1.0. Approved by Rajiv Sinha, Chief Executive Officer, on 2026-10-18. Effective from 2026-10-18.</w:t>
      </w:r>
    </w:p>
    <w:p>
      <w:pPr>
        <w:spacing w:after="120"/>
      </w:pPr>
      <w:r>
        <w:rPr/>
        <w:t xml:space="preserve">Clients can withdraw their consent as easily as they gave it. The option is in the app under Privacy and on the website under My Account. Consent withdrawal is acted on within seven days.</w:t>
      </w:r>
    </w:p>
    <w:p>
      <w:pPr>
        <w:spacing w:after="120"/>
      </w:pPr>
      <w:r>
        <w:rPr>
          <w:b/>
          <w:sz w:val="28"/>
        </w:rPr>
        <w:t xml:space="preserve">Procedure</w:t>
      </w:r>
    </w:p>
    <w:p>
      <w:pPr>
        <w:ind w:left="360" w:hanging="240"/>
      </w:pPr>
      <w:r>
        <w:rPr/>
        <w:t xml:space="preserve">• The withdrawal request is logged in the consent register, and the marketing and group sharing permissions are switched off the same day.</w:t>
      </w:r>
    </w:p>
    <w:p>
      <w:pPr>
        <w:ind w:left="360" w:hanging="240"/>
      </w:pPr>
      <w:r>
        <w:rPr/>
        <w:t xml:space="preserve">• Processing that the law or the stock broker rules require is not stopped, and the client is told which records must be kept and for how long.</w:t>
      </w:r>
    </w:p>
    <w:p>
      <w:pPr>
        <w:ind w:left="360" w:hanging="240"/>
      </w:pPr>
      <w:r>
        <w:rPr/>
        <w:t xml:space="preserve">• The client receives a confirmation in the notice language they chose. The Privacy Officer reviews the withdrawal log every month.</w:t>
      </w:r>
    </w:p>
    <w:p>
      <w:pPr>
        <w:spacing w:after="120"/>
      </w:pPr>
      <w:r>
        <w:rPr>
          <w:b/>
          <w:sz w:val="28"/>
        </w:rPr>
        <w:t xml:space="preserve">Evidence of operation</w:t>
      </w:r>
    </w:p>
    <w:p>
      <w:pPr>
        <w:ind w:left="360" w:hanging="240"/>
      </w:pPr>
      <w:r>
        <w:rPr/>
        <w:t xml:space="preserve">• Evidence: screenshots of the consent withdrawal screens, the consent register extract showing 37 withdrawals handled within seven days since 1 October 2026, and the approval minute.</w:t>
      </w:r>
    </w:p>
    <w:sectPr>
      <w:pgSz w:w="11906" w:h="16838"/>
      <w:pgMar w:top="1134" w:right="1134" w:bottom="1134" w:left="1134"/>
    </w:sectPr>
  </w:body>
</w:document>
</file>