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Retention schedule and erasure</w:t>
      </w:r>
    </w:p>
    <w:p>
      <w:pPr>
        <w:spacing w:after="120"/>
      </w:pPr>
      <w:r>
        <w:rPr/>
        <w:t xml:space="preserve">Orchid Hill Securities Limited. Closure record dated 2026-10-09. Control owner: Dev Malhotra, Chief Information Security Officer. Version 1.0. Approved by Rajiv Sinha, Chief Executive Officer, on 2026-10-09. Effective from 2026-10-09.</w:t>
      </w:r>
    </w:p>
    <w:p>
      <w:pPr>
        <w:spacing w:after="120"/>
      </w:pPr>
      <w:r>
        <w:rPr/>
        <w:t xml:space="preserve">This schedule sets how long each kind of personal data is kept and how it is erased. It is approved by the Board Risk Committee and applied in ClientSphere Back Office.</w:t>
      </w:r>
    </w:p>
    <w:p>
      <w:pPr>
        <w:spacing w:after="120"/>
      </w:pPr>
      <w:r>
        <w:rPr>
          <w:b/>
          <w:sz w:val="28"/>
        </w:rPr>
        <w:t xml:space="preserve">Retention schedule</w:t>
      </w:r>
    </w:p>
    <w:p>
      <w:pPr>
        <w:ind w:left="360" w:hanging="240"/>
      </w:pPr>
      <w:r>
        <w:rPr/>
        <w:t xml:space="preserve">• Client KYC records: 8 years after the account is closed, as the stock broker and depository rules require.</w:t>
      </w:r>
    </w:p>
    <w:p>
      <w:pPr>
        <w:ind w:left="360" w:hanging="240"/>
      </w:pPr>
      <w:r>
        <w:rPr/>
        <w:t xml:space="preserve">• Contract notes and ledgers: 8 years. Call recordings: 5 years. Marketing consents: until withdrawn, then 1 year as proof.</w:t>
      </w:r>
    </w:p>
    <w:p>
      <w:pPr>
        <w:ind w:left="360" w:hanging="240"/>
      </w:pPr>
      <w:r>
        <w:rPr/>
        <w:t xml:space="preserve">• Job applicant records: 1 year. Visitor and CCTV records: 90 days.</w:t>
      </w:r>
    </w:p>
    <w:p>
      <w:pPr>
        <w:spacing w:after="120"/>
      </w:pPr>
      <w:r>
        <w:rPr>
          <w:b/>
          <w:sz w:val="28"/>
        </w:rPr>
        <w:t xml:space="preserve">Erasure</w:t>
      </w:r>
    </w:p>
    <w:p>
      <w:pPr>
        <w:ind w:left="360" w:hanging="240"/>
      </w:pPr>
      <w:r>
        <w:rPr/>
        <w:t xml:space="preserve">• When the retention period ends, an erasure run removes the record from the live system within 30 days and from backups on the next backup cycle. The first run was completed on 9 October 2026 and erased 1,284 expired records.</w:t>
      </w:r>
    </w:p>
    <w:p>
      <w:pPr>
        <w:ind w:left="360" w:hanging="240"/>
      </w:pPr>
      <w:r>
        <w:rPr/>
        <w:t xml:space="preserve">• Evidence: the erasure run log, the approval minute and the back office configuration screenshot are held by the control owner. The schedule is reviewed every year.</w:t>
      </w:r>
    </w:p>
    <w:sectPr>
      <w:pgSz w:w="11906" w:h="16838"/>
      <w:pgMar w:top="1134" w:right="1134" w:bottom="1134" w:left="1134"/>
    </w:sectPr>
  </w:body>
</w:document>
</file>