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Appraisal Award — Claim {{claim_number}}</w:t>
      </w:r>
    </w:p>
    <w:p>
      <w:r>
        <w:t>Enclosed is the signed appraisal award in the amount of ${{award_amount}}. The award is binding on both parties under the policy's appraisal clause and Texas SB 458. Payment is due per the policy terms.</w:t>
      </w:r>
    </w:p>
    <w:p>
      <w:r>
        <w:t>Award date: {{award_date}}   Umpire: {{umpire_name}}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