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of Umpire — Claim {{claim_number}}</w:t>
      </w:r>
    </w:p>
    <w:p>
      <w:r>
        <w:t>The appointed appraisers having failed to agree on the amount of loss within the statutory negotiation window, {{umpire_name}} is hereby assigned as neutral umpire. The umpire award is due within 180 days of this assignment (TX SB 458).</w:t>
      </w:r>
    </w:p>
    <w:p>
      <w:r>
        <w:t>Umpire: {{umpire_name}}   Assigned: {{assignment_date}}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