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  <Override PartName="/word/media/rId37.png" ContentType="image/png"/>
  <Override PartName="/word/media/rId20.png" ContentType="image/png"/>
  <Override PartName="/word/media/rId4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acc&amp;rat_with_congruence</w:t>
      </w:r>
    </w:p>
    <w:bookmarkStart w:id="32" w:name="exp-2"/>
    <w:p>
      <w:pPr>
        <w:pStyle w:val="Heading1"/>
      </w:pPr>
      <w:r>
        <w:t xml:space="preserve">Exp 2</w:t>
      </w:r>
    </w:p>
    <w:bookmarkStart w:id="23" w:name="accuracy"/>
    <w:p>
      <w:pPr>
        <w:pStyle w:val="Heading2"/>
      </w:pPr>
      <w:r>
        <w:t xml:space="preserve">Accuracy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cc-rat_with_congruence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were no significant differences,</w:t>
      </w:r>
      <w:r>
        <w:t xml:space="preserve"> </w:t>
      </w:r>
      <w:r>
        <w:rPr>
          <w:iCs/>
          <w:i/>
        </w:rPr>
        <w:t xml:space="preserve">group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66) = 0.20,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.656,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0.23 ± 1.5%;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66) = 2.26,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.138,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0.49 ± 0.94%;</w:t>
      </w:r>
      <w:r>
        <w:t xml:space="preserve"> </w:t>
      </w:r>
      <w:r>
        <w:rPr>
          <w:iCs/>
          <w:i/>
        </w:rPr>
        <w:t xml:space="preserve">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66) = 0.05,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.823,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0.13 ± 1.39%;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(1, 66) = 2.65,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.108,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.04,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0.84 ± 8.81%;</w:t>
      </w:r>
      <w:r>
        <w:t xml:space="preserve"> </w:t>
      </w:r>
      <w:r>
        <w:rPr>
          <w:iCs/>
          <w:i/>
        </w:rPr>
        <w:t xml:space="preserve">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66) = 0.00,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.961,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0.19 ± 3.52%;</w:t>
      </w:r>
      <w:r>
        <w:t xml:space="preserve"> </w:t>
      </w:r>
      <w:r>
        <w:rPr>
          <w:iCs/>
          <w:i/>
        </w:rPr>
        <w:t xml:space="preserve">group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66) = 0.10,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.749,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0.19 ± 5.68%;</w:t>
      </w:r>
      <w:r>
        <w:t xml:space="preserve"> </w:t>
      </w:r>
      <w:r>
        <w:rPr>
          <w:iCs/>
          <w:i/>
        </w:rPr>
        <w:t xml:space="preserve">group x 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66) = 0.22,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.643,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0.27 ± 6.72%.</w:t>
      </w:r>
    </w:p>
    <w:bookmarkEnd w:id="23"/>
    <w:bookmarkStart w:id="27" w:name="just-correct-ratings"/>
    <w:p>
      <w:pPr>
        <w:pStyle w:val="Heading2"/>
      </w:pPr>
      <w:r>
        <w:t xml:space="preserve">Just correct ratings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cc-rat_with_congruence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 a significant effect of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63) = 4.95,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.030,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.07,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2.73 ± 1.04%, and a marginally significant effect of the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F</w:t>
      </w:r>
      <w:r>
        <w:t xml:space="preserve">(1, 63) = 3.73,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.058,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.06,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2.05 ± 5.68% but no other significant differences,</w:t>
      </w:r>
      <w:r>
        <w:t xml:space="preserve"> </w:t>
      </w:r>
      <w:r>
        <w:rPr>
          <w:iCs/>
          <w:i/>
        </w:rPr>
        <w:t xml:space="preserve">group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63) = 0.38,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.541,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0.43 ± 0.5%;</w:t>
      </w:r>
      <w:r>
        <w:t xml:space="preserve"> </w:t>
      </w:r>
      <w:r>
        <w:rPr>
          <w:iCs/>
          <w:i/>
        </w:rPr>
        <w:t xml:space="preserve">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63) = 0.70,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.406,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0.15 ± 1.34%; ;</w:t>
      </w:r>
      <w:r>
        <w:t xml:space="preserve"> </w:t>
      </w:r>
      <w:r>
        <w:rPr>
          <w:iCs/>
          <w:i/>
        </w:rPr>
        <w:t xml:space="preserve">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63) = 0.20,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.653,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0.22 ± 5.63%;</w:t>
      </w:r>
      <w:r>
        <w:t xml:space="preserve"> </w:t>
      </w:r>
      <w:r>
        <w:rPr>
          <w:iCs/>
          <w:i/>
        </w:rPr>
        <w:t xml:space="preserve">group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63) = 0.77,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.382,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0.23 ± 2.22%;</w:t>
      </w:r>
      <w:r>
        <w:t xml:space="preserve"> </w:t>
      </w:r>
      <w:r>
        <w:rPr>
          <w:iCs/>
          <w:i/>
        </w:rPr>
        <w:t xml:space="preserve">group x 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63) = 0.12,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.729,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0.3 ± 8.51%. Simple main effects indicate a no effect of predictiveness in group Certain,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32) = 4.124,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0.1025,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0.114, nor in group Uncertain,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34) = 0.057,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15,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0.002.</w:t>
      </w:r>
    </w:p>
    <w:bookmarkEnd w:id="27"/>
    <w:bookmarkStart w:id="31" w:name="memory-score"/>
    <w:p>
      <w:pPr>
        <w:pStyle w:val="Heading2"/>
      </w:pPr>
      <w:r>
        <w:t xml:space="preserve">Memory score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cc-rat_with_congruence_files/figure-docx/unnamed-chunk-1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 a significant effect of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(1, 66) = 6.01,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.017,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.08,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9.92 ± 1.53%, and a significant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F</w:t>
      </w:r>
      <w:r>
        <w:t xml:space="preserve">(1, 66) = 4.18,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.045,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.06,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4.04 ± 3.63%. There were no other significant effects or interactions,</w:t>
      </w:r>
      <w:r>
        <w:t xml:space="preserve"> </w:t>
      </w:r>
      <w:r>
        <w:rPr>
          <w:iCs/>
          <w:i/>
        </w:rPr>
        <w:t xml:space="preserve">group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66) = 1.05,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.309,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.02,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0.4 ± 0.75%;</w:t>
      </w:r>
      <w:r>
        <w:t xml:space="preserve"> </w:t>
      </w:r>
      <w:r>
        <w:rPr>
          <w:iCs/>
          <w:i/>
        </w:rPr>
        <w:t xml:space="preserve">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66) = 0.01,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.925,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0.13 ± 1.39%;</w:t>
      </w:r>
      <w:r>
        <w:t xml:space="preserve"> </w:t>
      </w:r>
      <w:r>
        <w:rPr>
          <w:iCs/>
          <w:i/>
        </w:rPr>
        <w:t xml:space="preserve">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66) = 0.02,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.896,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0.19 ± 4.55%;</w:t>
      </w:r>
      <w:r>
        <w:t xml:space="preserve"> </w:t>
      </w:r>
      <w:r>
        <w:rPr>
          <w:iCs/>
          <w:i/>
        </w:rPr>
        <w:t xml:space="preserve">group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66) = 0.02,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.902,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0.19 ± 10.46%;</w:t>
      </w:r>
      <w:r>
        <w:t xml:space="preserve"> </w:t>
      </w:r>
      <w:r>
        <w:rPr>
          <w:iCs/>
          <w:i/>
        </w:rPr>
        <w:t xml:space="preserve">group x 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66) = 0.03,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.852,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0.27 ± 6.04%. Simple main effects showed a significant effect of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 </w:t>
      </w:r>
      <w:r>
        <w:t xml:space="preserve">on Certain group,</w:t>
      </w:r>
      <w:r>
        <w:t xml:space="preserve"> </w:t>
      </w:r>
      <w:r>
        <w:rPr>
          <w:iCs/>
          <w:i/>
        </w:rPr>
        <w:t xml:space="preserve">F</w:t>
      </w:r>
      <w:r>
        <w:t xml:space="preserve">(1, 32) = 6.775,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0.028,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0.175, but not on group Uncertain,</w:t>
      </w:r>
      <w:r>
        <w:t xml:space="preserve"> </w:t>
      </w:r>
      <w:r>
        <w:rPr>
          <w:iCs/>
          <w:i/>
        </w:rPr>
        <w:t xml:space="preserve">F</w:t>
      </w:r>
      <w:r>
        <w:t xml:space="preserve">(1, 34) = 0.13,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1,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0.004.</w:t>
      </w:r>
    </w:p>
    <w:bookmarkEnd w:id="31"/>
    <w:bookmarkEnd w:id="32"/>
    <w:bookmarkStart w:id="45" w:name="exp-3"/>
    <w:p>
      <w:pPr>
        <w:pStyle w:val="Heading1"/>
      </w:pPr>
      <w:r>
        <w:t xml:space="preserve">Exp 3</w:t>
      </w:r>
    </w:p>
    <w:bookmarkStart w:id="36" w:name="accuracy-1"/>
    <w:p>
      <w:pPr>
        <w:pStyle w:val="Heading2"/>
      </w:pPr>
      <w:r>
        <w:t xml:space="preserve">Accuracy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cc-rat_with_congruence_files/figure-docx/unnamed-chunk-19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significant differences due to the</w:t>
      </w:r>
      <w:r>
        <w:t xml:space="preserve"> </w:t>
      </w:r>
      <w:r>
        <w:rPr>
          <w:iCs/>
          <w:i/>
        </w:rPr>
        <w:t xml:space="preserve">group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73) = 4.57,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.014,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.11,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3.23 ± 2.66%,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73) = 9.86,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.002,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.12,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8.55 ± 0.87%, and of the</w:t>
      </w:r>
      <w:r>
        <w:t xml:space="preserve"> </w:t>
      </w:r>
      <w:r>
        <w:rPr>
          <w:iCs/>
          <w:i/>
        </w:rPr>
        <w:t xml:space="preserve">predictiveness x congruence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F</w:t>
      </w:r>
      <w:r>
        <w:t xml:space="preserve">(1, 73) = 8.47,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.005,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.10,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27.38 ± 3.74%. All other effects and interactions were non significant:</w:t>
      </w:r>
      <w:r>
        <w:t xml:space="preserve"> </w:t>
      </w:r>
      <w:r>
        <w:rPr>
          <w:iCs/>
          <w:i/>
        </w:rPr>
        <w:t xml:space="preserve">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73) = 0.85,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.360,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0.14 ± 1.15%;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(2, 73) = 1.61,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.207,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.04,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0.27 ± 2.71%;</w:t>
      </w:r>
      <w:r>
        <w:t xml:space="preserve"> </w:t>
      </w:r>
      <w:r>
        <w:rPr>
          <w:iCs/>
          <w:i/>
        </w:rPr>
        <w:t xml:space="preserve">group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73) = 1.17,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.317,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 ± 2.36%;</w:t>
      </w:r>
      <w:r>
        <w:t xml:space="preserve"> </w:t>
      </w:r>
      <w:r>
        <w:rPr>
          <w:iCs/>
          <w:i/>
        </w:rPr>
        <w:t xml:space="preserve">group x 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73) = 1.56,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.217,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.04,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0.59 ± 5.31%. Pairwise comparisons of the effect of condition show differences of the Uncertain group with the Certain groups,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(73) = 3.019,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540.89 ± 0%, but not between them,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(73) = .069,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0.16 ± 0.06%. The simple main effects showed an effect in predictiveness in the incongruent trials,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75) = 0.044,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1,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5.85</w:t>
      </w:r>
      <w:r>
        <w:t xml:space="preserve">^{-4}, but not on the congruent trials,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75) = 13.459,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9.06</w:t>
      </w:r>
      <w:r>
        <w:t xml:space="preserve">^{-4},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0.152.</w:t>
      </w:r>
    </w:p>
    <w:bookmarkEnd w:id="36"/>
    <w:bookmarkStart w:id="40" w:name="just-correct-ratings-1"/>
    <w:p>
      <w:pPr>
        <w:pStyle w:val="Heading2"/>
      </w:pPr>
      <w:r>
        <w:t xml:space="preserve">Just correct ratings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cc-rat_with_congruence_files/figure-docx/unnamed-chunk-24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 a significant effect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(1, 69) = 15.71,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.001,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.19,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101.72 ± 1.3%, and of the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F</w:t>
      </w:r>
      <w:r>
        <w:t xml:space="preserve">(2, 69) = 3.44,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.038,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.09,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1.86 ± 4.91%, but no significant effect of the</w:t>
      </w:r>
      <w:r>
        <w:t xml:space="preserve"> </w:t>
      </w:r>
      <w:r>
        <w:rPr>
          <w:iCs/>
          <w:i/>
        </w:rPr>
        <w:t xml:space="preserve">group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(2, 69) = 1.11,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.336,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0.34 ± 0.45%. A simple main effects analysis showed a significant effect of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 </w:t>
      </w:r>
      <w:r>
        <w:t xml:space="preserve">on the Certain Long group,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21) = 8.528,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0.024,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0.289, and on the Certain Short group,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23) = 11.17,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0.009,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0.327, but not significant on the Uncertain group,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29) = 0.068,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1,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0.002. No other effect was significant,</w:t>
      </w:r>
      <w:r>
        <w:t xml:space="preserve"> </w:t>
      </w:r>
      <w:r>
        <w:rPr>
          <w:iCs/>
          <w:i/>
        </w:rPr>
        <w:t xml:space="preserve">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73) = 0.85,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.360,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0.14 ± 1.15%;</w:t>
      </w:r>
      <w:r>
        <w:t xml:space="preserve"> </w:t>
      </w:r>
      <w:r>
        <w:rPr>
          <w:iCs/>
          <w:i/>
        </w:rPr>
        <w:t xml:space="preserve">predictiveness x congruence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F</w:t>
      </w:r>
      <w:r>
        <w:t xml:space="preserve">(1, 73) = 8.47,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.005,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.10,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27.38 ± 3.74%;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(2, 73) = 1.61,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.207,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.04,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0.27 ± 2.71%;</w:t>
      </w:r>
      <w:r>
        <w:t xml:space="preserve"> </w:t>
      </w:r>
      <w:r>
        <w:rPr>
          <w:iCs/>
          <w:i/>
        </w:rPr>
        <w:t xml:space="preserve">group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73) = 1.17,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.317,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 ± 2.36%;</w:t>
      </w:r>
      <w:r>
        <w:t xml:space="preserve"> </w:t>
      </w:r>
      <w:r>
        <w:rPr>
          <w:iCs/>
          <w:i/>
        </w:rPr>
        <w:t xml:space="preserve">group x 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73) = 1.56,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.217,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.04,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0.59 ± 5.31%.</w:t>
      </w:r>
    </w:p>
    <w:bookmarkEnd w:id="40"/>
    <w:bookmarkStart w:id="44" w:name="memory-score-1"/>
    <w:p>
      <w:pPr>
        <w:pStyle w:val="Heading2"/>
      </w:pPr>
      <w:r>
        <w:t xml:space="preserve">Memory score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cc-rat_with_congruence_files/figure-docx/unnamed-chunk-30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 a significant main effect of</w:t>
      </w:r>
      <w:r>
        <w:t xml:space="preserve"> </w:t>
      </w:r>
      <w:r>
        <w:rPr>
          <w:iCs/>
          <w:i/>
        </w:rPr>
        <w:t xml:space="preserve">group</w:t>
      </w:r>
      <w:r>
        <w:t xml:space="preserve"> 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(2, 73) = 3.70,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.029,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.09,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2.09 ± 0.85%, and of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(1, 73) = 17.72,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.001,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.20,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800.42 ± 1.4%, as well as a</w:t>
      </w:r>
      <w:r>
        <w:t xml:space="preserve"> </w:t>
      </w:r>
      <w:r>
        <w:rPr>
          <w:iCs/>
          <w:i/>
        </w:rPr>
        <w:t xml:space="preserve">predictiveness x congruence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F</w:t>
      </w:r>
      <w:r>
        <w:t xml:space="preserve">(1, 73) = 8.33,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.005,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.10,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15.69 ± 2.7%. The significant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 </w:t>
      </w:r>
      <w:r>
        <w:t xml:space="preserve">interaction was marginally significant,</w:t>
      </w:r>
      <w:r>
        <w:t xml:space="preserve"> </w:t>
      </w:r>
      <w:r>
        <w:rPr>
          <w:iCs/>
          <w:i/>
        </w:rPr>
        <w:t xml:space="preserve">F</w:t>
      </w:r>
      <w:r>
        <w:t xml:space="preserve">(2, 73) = 2.58,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.082,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.07,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1.02 ± 5.21%. No other effects or interactions were significant,</w:t>
      </w:r>
      <w:r>
        <w:t xml:space="preserve"> </w:t>
      </w:r>
      <w:r>
        <w:rPr>
          <w:iCs/>
          <w:i/>
        </w:rPr>
        <w:t xml:space="preserve">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73) = 1.63,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.205,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.02,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0.15 ± 0.75%;</w:t>
      </w:r>
      <w:r>
        <w:t xml:space="preserve"> </w:t>
      </w:r>
      <w:r>
        <w:rPr>
          <w:iCs/>
          <w:i/>
        </w:rPr>
        <w:t xml:space="preserve">group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73) = 1.19,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.309,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0.09 ± 3.63%;</w:t>
      </w:r>
      <w:r>
        <w:t xml:space="preserve"> </w:t>
      </w:r>
      <w:r>
        <w:rPr>
          <w:iCs/>
          <w:i/>
        </w:rPr>
        <w:t xml:space="preserve">group x 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73) = 0.89,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.417,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.02,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0.28 ± 4.11%. Simple main effects showed a significant effect of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 </w:t>
      </w:r>
      <w:r>
        <w:t xml:space="preserve">on Certain Long group,</w:t>
      </w:r>
      <w:r>
        <w:t xml:space="preserve"> </w:t>
      </w:r>
      <w:r>
        <w:rPr>
          <w:iCs/>
          <w:i/>
        </w:rPr>
        <w:t xml:space="preserve">F</w:t>
      </w:r>
      <w:r>
        <w:t xml:space="preserve">(1, 21) = 9.298,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0.018,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0.307, and on Certain Short,</w:t>
      </w:r>
      <w:r>
        <w:t xml:space="preserve"> </w:t>
      </w:r>
      <w:r>
        <w:rPr>
          <w:iCs/>
          <w:i/>
        </w:rPr>
        <w:t xml:space="preserve">F</w:t>
      </w:r>
      <w:r>
        <w:t xml:space="preserve">(1, 23) = 10.02,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0.012,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0.303, but not on group Uncertain,</w:t>
      </w:r>
      <w:r>
        <w:t xml:space="preserve"> </w:t>
      </w:r>
      <w:r>
        <w:rPr>
          <w:iCs/>
          <w:i/>
        </w:rPr>
        <w:t xml:space="preserve">F</w:t>
      </w:r>
      <w:r>
        <w:t xml:space="preserve">(1, 29) = 1.263,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0.81,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0.042. Also, there was a significant effect of predictiveness on incongruent trials,</w:t>
      </w:r>
      <w:r>
        <w:t xml:space="preserve"> </w:t>
      </w:r>
      <w:r>
        <w:rPr>
          <w:iCs/>
          <w:i/>
        </w:rPr>
        <w:t xml:space="preserve">F</w:t>
      </w:r>
      <w:r>
        <w:t xml:space="preserve">(1, 75) = 17.617,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1.468</w:t>
      </w:r>
      <w:r>
        <w:t xml:space="preserve">^{-4},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0.19, but not on congruent trials,</w:t>
      </w:r>
      <w:r>
        <w:t xml:space="preserve"> </w:t>
      </w:r>
      <w:r>
        <w:rPr>
          <w:iCs/>
          <w:i/>
        </w:rPr>
        <w:t xml:space="preserve">F</w:t>
      </w:r>
      <w:r>
        <w:t xml:space="preserve">(1, 75) = 0.896,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0.694,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0.012.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0" Target="media/rId20.png" /><Relationship Type="http://schemas.openxmlformats.org/officeDocument/2006/relationships/image" Id="rId41" Target="media/rId4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acc&amp;rat_with_congruence</dc:title>
  <dc:creator/>
  <cp:keywords/>
  <dcterms:created xsi:type="dcterms:W3CDTF">2024-10-15T13:21:32Z</dcterms:created>
  <dcterms:modified xsi:type="dcterms:W3CDTF">2024-10-15T13:21:32Z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