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9.png" ContentType="image/png"/>
  <Override PartName="/word/media/rId43.png" ContentType="image/png"/>
  <Override PartName="/word/media/rId20.png" ContentType="image/png"/>
  <Override PartName="/word/media/rId48.png" ContentType="image/png"/>
  <Override PartName="/word/media/rId5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38" w:name="exp-1"/>
    <w:p>
      <w:pPr>
        <w:pStyle w:val="Heading1"/>
      </w:pPr>
      <w:r>
        <w:t xml:space="preserve">Exp 1</w:t>
      </w:r>
    </w:p>
    <w:bookmarkStart w:id="37" w:name="test1"/>
    <w:p>
      <w:pPr>
        <w:pStyle w:val="Heading2"/>
      </w:pPr>
      <w:r>
        <w:t xml:space="preserve">Test1</w:t>
      </w:r>
    </w:p>
    <w:bookmarkStart w:id="26" w:name="accuracy"/>
    <w:p>
      <w:pPr>
        <w:pStyle w:val="Heading3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c-rat_just_cong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Except for those that did the very subtle test, all subjects had lower accuracy for the non predictive vs the predictive targets. However, there are no significant effects:</w:t>
      </w:r>
      <w:r>
        <w:t xml:space="preserve"> </w:t>
      </w:r>
      <w:r>
        <w:rPr>
          <w:iCs/>
          <w:i/>
        </w:rPr>
        <w:t xml:space="preserve">similarity</w:t>
      </w:r>
      <w:r>
        <w:t xml:space="preserve"> 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87) = 0.87,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.425,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0.17 ± 0.59%;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87) = 0.23,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.635,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0.18 ± 2.5%;</w:t>
      </w:r>
      <w:r>
        <w:t xml:space="preserve"> </w:t>
      </w:r>
      <w:r>
        <w:rPr>
          <w:iCs/>
          <w:i/>
        </w:rPr>
        <w:t xml:space="preserve">similarity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87) = 1.72,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.185,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0.17 ± 0.59%.</w:t>
      </w:r>
    </w:p>
    <w:p>
      <w:pPr>
        <w:pStyle w:val="BodyText"/>
      </w:pPr>
      <w:r>
        <w:t xml:space="preserve">###Just correct ratings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cc-rat_just_cong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first test, there was a significant effect of the predictiveness,</w:t>
      </w:r>
      <w:r>
        <w:t xml:space="preserve"> </w:t>
      </w:r>
      <w:r>
        <w:rPr>
          <w:iCs/>
          <w:i/>
        </w:rPr>
        <w:t xml:space="preserve">F</w:t>
      </w:r>
      <w:r>
        <w:t xml:space="preserve">(1, 82) = 4.70,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.033,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.05,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1.15 ± 1.19%, but not of the</w:t>
      </w:r>
      <w:r>
        <w:t xml:space="preserve"> </w:t>
      </w:r>
      <w:r>
        <w:rPr>
          <w:iCs/>
          <w:i/>
        </w:rPr>
        <w:t xml:space="preserve">similarity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(2, 82) = 0.86,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.428,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0.25 ± 0.48%, nor of the</w:t>
      </w:r>
      <w:r>
        <w:t xml:space="preserve"> </w:t>
      </w:r>
      <w:r>
        <w:rPr>
          <w:iCs/>
          <w:i/>
        </w:rPr>
        <w:t xml:space="preserve">similarity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(2, 82) = 0.43,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.653,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0.25 ± 0.48%.</w:t>
      </w:r>
    </w:p>
    <w:p>
      <w:pPr>
        <w:pStyle w:val="BodyText"/>
      </w:pPr>
      <w:r>
        <w:t xml:space="preserve">##Test2</w:t>
      </w:r>
    </w:p>
    <w:bookmarkEnd w:id="26"/>
    <w:bookmarkStart w:id="36" w:name="accuracy-1"/>
    <w:p>
      <w:pPr>
        <w:pStyle w:val="Heading3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cc-rat_just_cong_files/figure-docx/unnamed-chunk-1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significant differences due to any effect or interaction in accuracy in the second test,</w:t>
      </w:r>
      <w:r>
        <w:t xml:space="preserve"> </w:t>
      </w:r>
      <w:r>
        <w:rPr>
          <w:iCs/>
          <w:i/>
        </w:rPr>
        <w:t xml:space="preserve">similarity</w:t>
      </w:r>
      <w:r>
        <w:t xml:space="preserve"> 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87) = 0.05,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.952,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0.09 ± 0.93%;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87) = 0.26,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.613,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0.18 ± 1%;</w:t>
      </w:r>
      <w:r>
        <w:t xml:space="preserve"> </w:t>
      </w:r>
      <w:r>
        <w:rPr>
          <w:iCs/>
          <w:i/>
        </w:rPr>
        <w:t xml:space="preserve">similarity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87) = 0.16,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.850,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0.12 ± 6.67%.</w:t>
      </w:r>
    </w:p>
    <w:p>
      <w:pPr>
        <w:pStyle w:val="BodyText"/>
      </w:pPr>
      <w:r>
        <w:t xml:space="preserve">###Just correct ratings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cc-rat_just_cong_files/figure-docx/unnamed-chunk-1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the confidence ratings for the correct options were analysed, there was a clear effect of predictiveness,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83) = 13.67,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54.86 ± 4.28%. The rest of the main effects and interactions were not significant:</w:t>
      </w:r>
      <w:r>
        <w:t xml:space="preserve"> </w:t>
      </w:r>
      <w:r>
        <w:rPr>
          <w:iCs/>
          <w:i/>
        </w:rPr>
        <w:t xml:space="preserve">similarity</w:t>
      </w:r>
      <w:r>
        <w:t xml:space="preserve"> 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83) = 0.62,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.538,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0.19 ± 0.51%;</w:t>
      </w:r>
      <w:r>
        <w:t xml:space="preserve"> </w:t>
      </w:r>
      <w:r>
        <w:rPr>
          <w:iCs/>
          <w:i/>
        </w:rPr>
        <w:t xml:space="preserve">similarity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83) = 1.37,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.259,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0.31 ± 2.73%.</w:t>
      </w:r>
    </w:p>
    <w:bookmarkStart w:id="33" w:name="group-low"/>
    <w:p>
      <w:pPr>
        <w:pStyle w:val="Heading4"/>
      </w:pPr>
      <w:r>
        <w:t xml:space="preserve">Group Low</w:t>
      </w:r>
    </w:p>
    <w:p>
      <w:pPr>
        <w:pStyle w:val="FirstParagraph"/>
      </w:pPr>
      <w:r>
        <w:t xml:space="preserve">There was no differences due to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in group Low similarity,</w:t>
      </w:r>
      <w:r>
        <w:t xml:space="preserve"> </w:t>
      </w:r>
      <w:r>
        <w:rPr>
          <w:iCs/>
          <w:i/>
        </w:rPr>
        <w:t xml:space="preserve">t</w:t>
      </w:r>
      <w:r>
        <w:t xml:space="preserve">(28) = -1.01,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.320,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-0.19,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0.31 ± 0.03%.</w:t>
      </w:r>
    </w:p>
    <w:bookmarkEnd w:id="33"/>
    <w:bookmarkStart w:id="34" w:name="group-medium"/>
    <w:p>
      <w:pPr>
        <w:pStyle w:val="Heading4"/>
      </w:pPr>
      <w:r>
        <w:t xml:space="preserve">Group Medium</w:t>
      </w:r>
    </w:p>
    <w:p>
      <w:pPr>
        <w:pStyle w:val="FirstParagraph"/>
      </w:pPr>
      <w:r>
        <w:t xml:space="preserve">For group Medium, there was also no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t</w:t>
      </w:r>
      <w:r>
        <w:t xml:space="preserve">(28) = -1.59,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.122,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-0.30,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0.61 ± 0.03%.</w:t>
      </w:r>
    </w:p>
    <w:bookmarkEnd w:id="34"/>
    <w:bookmarkStart w:id="35" w:name="group-high"/>
    <w:p>
      <w:pPr>
        <w:pStyle w:val="Heading4"/>
      </w:pPr>
      <w:r>
        <w:t xml:space="preserve">Group High</w:t>
      </w:r>
    </w:p>
    <w:p>
      <w:pPr>
        <w:pStyle w:val="FirstParagraph"/>
      </w:pPr>
      <w:r>
        <w:t xml:space="preserve">For group High there was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V</w:t>
      </w:r>
      <w:r>
        <w:t xml:space="preserve"> </w:t>
      </w:r>
      <w:r>
        <w:t xml:space="preserve">= 21,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95.78 ± 0%.</w:t>
      </w:r>
    </w:p>
    <w:bookmarkEnd w:id="35"/>
    <w:bookmarkEnd w:id="36"/>
    <w:bookmarkEnd w:id="37"/>
    <w:bookmarkEnd w:id="38"/>
    <w:bookmarkStart w:id="47" w:name="exp-2"/>
    <w:p>
      <w:pPr>
        <w:pStyle w:val="Heading1"/>
      </w:pPr>
      <w:r>
        <w:t xml:space="preserve">Exp 2</w:t>
      </w:r>
    </w:p>
    <w:bookmarkStart w:id="42" w:name="accuracy-2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cc-rat_just_cong_files/figure-docx/unnamed-chunk-2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were no significant differences,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0.07,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.789,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0.24 ± 1.18%;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1.43,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.235,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0.34 ± 0.89%;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0.98,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.325,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0.4 ± 3.09%.</w:t>
      </w:r>
    </w:p>
    <w:bookmarkEnd w:id="42"/>
    <w:bookmarkStart w:id="46" w:name="just-correct-ratings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cc-rat_just_cong_files/figure-docx/unnamed-chunk-2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no significant effect of the</w:t>
      </w:r>
      <w:r>
        <w:t xml:space="preserve"> </w:t>
      </w:r>
      <w:r>
        <w:rPr>
          <w:iCs/>
          <w:i/>
        </w:rPr>
        <w:t xml:space="preserve">group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65) = 0.98,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.325,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0.45 ± 1.49%, nor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65) = 1.39,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.243,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0.33 ± 1.26%, neither of the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65) = 1.85,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.178,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0.45 ± 1.49%. It is worth mentioning that the effect of predictiveness is very close to significance and that the bayesian evidence is anecdotal.</w:t>
      </w:r>
    </w:p>
    <w:bookmarkEnd w:id="46"/>
    <w:bookmarkEnd w:id="47"/>
    <w:bookmarkStart w:id="56" w:name="exp-3"/>
    <w:p>
      <w:pPr>
        <w:pStyle w:val="Heading1"/>
      </w:pPr>
      <w:r>
        <w:t xml:space="preserve">Exp 3</w:t>
      </w:r>
    </w:p>
    <w:bookmarkStart w:id="51" w:name="accuracy-3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cc-rat_just_cong_files/figure-docx/unnamed-chunk-3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were no significant differences,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2.19,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.119,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.06,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0.64 ± 0.73%,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73) = 0.01,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.910,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0.18 ± 3.83%,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0.56,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.576,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0.64 ± 0.73%.</w:t>
      </w:r>
    </w:p>
    <w:bookmarkEnd w:id="51"/>
    <w:bookmarkStart w:id="55" w:name="just-correct-ratings-1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cc-rat_just_cong_files/figure-docx/unnamed-chunk-33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73) = 8.70,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.004,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4.74 ± 1.2%, but no significant effect of the</w:t>
      </w:r>
      <w:r>
        <w:t xml:space="preserve"> </w:t>
      </w:r>
      <w:r>
        <w:rPr>
          <w:iCs/>
          <w:i/>
        </w:rPr>
        <w:t xml:space="preserve">group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1.64,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0.49 ± 0.73% nor of the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(2, 73) = 2.13,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.126,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.06,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0.54 ± 6.51%.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2024-10-15T08:26:20Z</dcterms:created>
  <dcterms:modified xsi:type="dcterms:W3CDTF">2024-10-15T08:26:20Z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