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8.png" ContentType="image/png"/>
  <Override PartName="/word/media/rId42.png" ContentType="image/png"/>
  <Override PartName="/word/media/rId20.png" ContentType="image/png"/>
  <Override PartName="/word/media/rId47.png" ContentType="image/png"/>
  <Override PartName="/word/media/rId5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37" w:name="exp-1"/>
    <w:p>
      <w:pPr>
        <w:pStyle w:val="Heading1"/>
      </w:pPr>
      <w:r>
        <w:t xml:space="preserve">Exp 1</w:t>
      </w:r>
    </w:p>
    <w:bookmarkStart w:id="36" w:name="test1"/>
    <w:p>
      <w:pPr>
        <w:pStyle w:val="Heading2"/>
      </w:pPr>
      <w:r>
        <w:t xml:space="preserve">Test1</w:t>
      </w:r>
    </w:p>
    <w:bookmarkStart w:id="35" w:name="accuracy"/>
    <w:p>
      <w:pPr>
        <w:pStyle w:val="Heading3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Except for those that did the very subtle test, all subjects had lower accuracy for the non predictive vs the predictive targets. However, there are no significant effects: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0.87,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0.75%;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87) = 0.23,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.635,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1.12%;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1.72,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.185,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0.75%.</w:t>
      </w:r>
    </w:p>
    <w:p>
      <w:pPr>
        <w:pStyle w:val="BodyText"/>
      </w:pPr>
      <w:r>
        <w:t xml:space="preserve">###Just correct ratings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first test, there was a significant effect of the predictiveness,</w:t>
      </w:r>
      <w:r>
        <w:t xml:space="preserve"> </w:t>
      </w:r>
      <w:r>
        <w:rPr>
          <w:iCs/>
          <w:i/>
        </w:rPr>
        <w:t xml:space="preserve">F</w:t>
      </w:r>
      <w:r>
        <w:t xml:space="preserve">(1, 82) = 4.70,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1.15 ± 0.86%, but not of the</w:t>
      </w:r>
      <w:r>
        <w:t xml:space="preserve"> </w:t>
      </w:r>
      <w:r>
        <w:rPr>
          <w:iCs/>
          <w:i/>
        </w:rPr>
        <w:t xml:space="preserve">similarity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82) = 0.86,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.428,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0.52%, nor of the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82) = 0.43,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0.52%.</w:t>
      </w:r>
    </w:p>
    <w:p>
      <w:pPr>
        <w:pStyle w:val="BodyText"/>
      </w:pPr>
      <w:r>
        <w:t xml:space="preserve">##Test2</w:t>
      </w:r>
      <w:r>
        <w:t xml:space="preserve"> </w:t>
      </w:r>
      <w:r>
        <w:t xml:space="preserve">### Accuracy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significant differences due to any effect or interaction in accuracy in the second test,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87)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0.09 ± 1.14%;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87) = 0.26,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.613,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 ± 5.79%; **similarity x predictiveness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t xml:space="preserve">F</w:t>
      </w:r>
      <w:r>
        <w:rPr>
          <w:iCs/>
          <w:i/>
        </w:rPr>
        <w:t xml:space="preserve">(2, 87) = 0.16,</w:t>
      </w:r>
      <w:r>
        <w:rPr>
          <w:iCs/>
          <w:i/>
        </w:rPr>
        <w:t xml:space="preserve"> </w:t>
      </w:r>
      <w:r>
        <w:t xml:space="preserve">p* = .850,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3.89%.</w:t>
      </w:r>
    </w:p>
    <w:p>
      <w:pPr>
        <w:pStyle w:val="BodyText"/>
      </w:pPr>
      <w:r>
        <w:t xml:space="preserve">###Just correct ratings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confidence ratings for the correct options were analysed, there was a clear effect of predictiveness,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83) = 13.67,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54.12 ± 1.66%. The rest of the main effects and interactions were not significant:</w:t>
      </w:r>
      <w:r>
        <w:t xml:space="preserve"> </w:t>
      </w:r>
      <w:r>
        <w:rPr>
          <w:iCs/>
          <w:i/>
        </w:rPr>
        <w:t xml:space="preserve">similarity</w:t>
      </w:r>
      <w:r>
        <w:t xml:space="preserve"> 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83) = 0.62,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0.52%;</w:t>
      </w:r>
      <w:r>
        <w:t xml:space="preserve"> </w:t>
      </w:r>
      <w:r>
        <w:rPr>
          <w:iCs/>
          <w:i/>
        </w:rPr>
        <w:t xml:space="preserve">similarity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83) = 1.37,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.259,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0.36 ± 14.13%.</w:t>
      </w:r>
    </w:p>
    <w:bookmarkStart w:id="32" w:name="group-low"/>
    <w:p>
      <w:pPr>
        <w:pStyle w:val="Heading4"/>
      </w:pPr>
      <w:r>
        <w:t xml:space="preserve">Group Low</w:t>
      </w:r>
    </w:p>
    <w:p>
      <w:pPr>
        <w:pStyle w:val="FirstParagraph"/>
      </w:pPr>
      <w:r>
        <w:t xml:space="preserve">T test showed no differences in predictiveness in group Low,</w:t>
      </w:r>
      <w:r>
        <w:t xml:space="preserve"> </w:t>
      </w:r>
      <w:r>
        <w:rPr>
          <w:iCs/>
          <w:i/>
        </w:rPr>
        <w:t xml:space="preserve">t</w:t>
      </w:r>
      <w:r>
        <w:t xml:space="preserve">(28) = -1.01,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.320,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-0.19,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0.31 ± 0.03%.</w:t>
      </w:r>
    </w:p>
    <w:bookmarkEnd w:id="32"/>
    <w:bookmarkStart w:id="33" w:name="group-medium"/>
    <w:p>
      <w:pPr>
        <w:pStyle w:val="Heading4"/>
      </w:pPr>
      <w:r>
        <w:t xml:space="preserve">Group Medium</w:t>
      </w:r>
    </w:p>
    <w:p>
      <w:pPr>
        <w:pStyle w:val="FirstParagraph"/>
      </w:pPr>
      <w:r>
        <w:t xml:space="preserve">For group Medium, there was also no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t</w:t>
      </w:r>
      <w:r>
        <w:t xml:space="preserve">(28) = -1.59,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.122,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-0.30,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0.61 ± 0.03%.</w:t>
      </w:r>
    </w:p>
    <w:bookmarkEnd w:id="33"/>
    <w:bookmarkStart w:id="34" w:name="group-high"/>
    <w:p>
      <w:pPr>
        <w:pStyle w:val="Heading4"/>
      </w:pPr>
      <w:r>
        <w:t xml:space="preserve">Group High</w:t>
      </w:r>
    </w:p>
    <w:p>
      <w:pPr>
        <w:pStyle w:val="FirstParagraph"/>
      </w:pPr>
      <w:r>
        <w:t xml:space="preserve">For group High 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t</w:t>
      </w:r>
      <w:r>
        <w:t xml:space="preserve">(28) = -4.12,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-0.76,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95.78 ± 0%.</w:t>
      </w:r>
    </w:p>
    <w:bookmarkEnd w:id="34"/>
    <w:bookmarkEnd w:id="35"/>
    <w:bookmarkEnd w:id="36"/>
    <w:bookmarkEnd w:id="37"/>
    <w:bookmarkStart w:id="46" w:name="exp-2"/>
    <w:p>
      <w:pPr>
        <w:pStyle w:val="Heading1"/>
      </w:pPr>
      <w:r>
        <w:t xml:space="preserve">Exp 2</w:t>
      </w:r>
    </w:p>
    <w:bookmarkStart w:id="41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 due to the main effect of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.970,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 ± 0.93%, nor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1.77,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.187,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0.37 ± 1.45%, but there was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0.22,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0.23 ± 3.18%.</w:t>
      </w:r>
    </w:p>
    <w:bookmarkEnd w:id="41"/>
    <w:bookmarkStart w:id="45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2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 significant effect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91) = 0.02,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.892,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0.59%, nor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91) = 0.01,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.911,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1.12%, neither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91) = 1.05,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.308,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0.59%. It is worth mentioning that the effect of predictiveness is very close to significance and that the bayesian evidence is anecdotal.</w:t>
      </w:r>
    </w:p>
    <w:bookmarkEnd w:id="45"/>
    <w:bookmarkEnd w:id="46"/>
    <w:bookmarkStart w:id="55" w:name="exp-3"/>
    <w:p>
      <w:pPr>
        <w:pStyle w:val="Heading1"/>
      </w:pPr>
      <w:r>
        <w:t xml:space="preserve">Exp 3</w:t>
      </w:r>
    </w:p>
    <w:bookmarkStart w:id="50" w:name="accuracy-2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3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1.44,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 ± 1.12%,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103) = 0.50,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.480,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1.92%,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103) = 1.73,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.183,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 ± 1.12%.</w:t>
      </w:r>
    </w:p>
    <w:bookmarkEnd w:id="50"/>
    <w:bookmarkStart w:id="54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cc-rat_no_excl_just_cong_files/figure-docx/unnamed-chunk-3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101) = 8.27,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.08,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7.11 ± 1.59%, but not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101) = 1.34,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.265,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0.25 ± 0.46%, nor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101) = 0.81,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.449,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1.83%.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2024-10-14T12:29:15Z</dcterms:created>
  <dcterms:modified xsi:type="dcterms:W3CDTF">2024-10-14T12:29:15Z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