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PLANO DE ENSINO</w:t>
      </w:r>
    </w:p>
    <w:p>
      <w:pPr>
        <w:pBdr>
          <w:bottom w:val="single" w:color="000000" w:sz="6" w:space="8"/>
        </w:pBdr>
        <w:spacing w:after="360"/>
        <w:jc w:val="center"/>
      </w:pPr>
      <w:r>
        <w:rPr>
          <w:b/>
          <w:bCs/>
          <w:sz w:val="28"/>
          <w:szCs w:val="28"/>
        </w:rPr>
        <w:t xml:space="preserve">DESIGN DE POLÍTICAS PÚBLICAS BASEADAS EM EVIDÊNCIAS</w:t>
      </w:r>
    </w:p>
    <w:p>
      <w:pPr>
        <w:pStyle w:val="Heading1"/>
        <w:spacing w:after="160" w:before="280"/>
      </w:pPr>
      <w:r>
        <w:rPr>
          <w:b/>
          <w:bCs/>
        </w:rPr>
        <w:t xml:space="preserve">1. IDENTIFICAÇÃO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</w:rPr>
              <w:t xml:space="preserve">Estabelecimento de Ensino</w:t>
            </w:r>
          </w:p>
        </w:tc>
        <w:tc>
          <w:tcPr>
            <w:tcW w:type="dxa" w:w="6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t xml:space="preserve">Centro de Estratégia, Política e Doutrina – CEPED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</w:rPr>
              <w:t xml:space="preserve">Curso</w:t>
            </w:r>
          </w:p>
        </w:tc>
        <w:tc>
          <w:tcPr>
            <w:tcW w:type="dxa" w:w="6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t xml:space="preserve">CAEO – Curso de Altos Estudos para Oficiais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</w:rPr>
              <w:t xml:space="preserve">Ano de elaboração</w:t>
            </w:r>
          </w:p>
        </w:tc>
        <w:tc>
          <w:tcPr>
            <w:tcW w:type="dxa" w:w="6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t xml:space="preserve">2025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</w:rPr>
              <w:t xml:space="preserve">Núcleo</w:t>
            </w:r>
          </w:p>
        </w:tc>
        <w:tc>
          <w:tcPr>
            <w:tcW w:type="dxa" w:w="6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t xml:space="preserve">Gestão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</w:rPr>
              <w:t xml:space="preserve">Disciplina</w:t>
            </w:r>
          </w:p>
        </w:tc>
        <w:tc>
          <w:tcPr>
            <w:tcW w:type="dxa" w:w="6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t xml:space="preserve">Design de Políticas Públicas Baseadas em Evidências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</w:rPr>
              <w:t xml:space="preserve">Carga horária</w:t>
            </w:r>
          </w:p>
        </w:tc>
        <w:tc>
          <w:tcPr>
            <w:tcW w:type="dxa" w:w="6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t xml:space="preserve">30 h/a (6 encontros de 5 h/a — 4 presenciais e 2 a distância)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</w:rPr>
              <w:t xml:space="preserve">Público-alvo</w:t>
            </w:r>
          </w:p>
        </w:tc>
        <w:tc>
          <w:tcPr>
            <w:tcW w:type="dxa" w:w="6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t xml:space="preserve">Majores e Tenentes-Coronéis BM, de áreas fim e meio</w:t>
            </w:r>
          </w:p>
        </w:tc>
      </w:tr>
    </w:tbl>
    <w:p>
      <w:pPr>
        <w:spacing w:after="120"/>
      </w:pPr>
    </w:p>
    <w:p>
      <w:pPr>
        <w:pStyle w:val="Heading1"/>
        <w:spacing w:after="160" w:before="280"/>
      </w:pPr>
      <w:r>
        <w:rPr>
          <w:b/>
          <w:bCs/>
        </w:rPr>
        <w:t xml:space="preserve">2. OBJETIVO</w:t>
      </w:r>
    </w:p>
    <w:p>
      <w:pPr>
        <w:spacing w:after="120" w:line="276"/>
        <w:jc w:val="both"/>
      </w:pPr>
      <w:r>
        <w:t xml:space="preserve">Capacitar o Oficial Superior para </w:t>
      </w:r>
      <w:r>
        <w:rPr>
          <w:b/>
          <w:bCs/>
        </w:rPr>
        <w:t xml:space="preserve">projetar, prototipar e encaminhar à prática</w:t>
      </w:r>
      <w:r>
        <w:t xml:space="preserve"> uma solução de política pública — tecnológica ou não — que responda a um </w:t>
      </w:r>
      <w:r>
        <w:rPr>
          <w:b/>
          <w:bCs/>
        </w:rPr>
        <w:t xml:space="preserve">problema real do cidadão</w:t>
      </w:r>
      <w:r>
        <w:t xml:space="preserve"> atendido pelo CBMDF, aplicando a metodologia do Design Thinking sustentada por evidências em todas as etapas, utilizando a inteligência artificial como aliada do início ao fim do processo e desenhando a solução de modo que ela própria colete dados que retroalimentem o seu aprimoramento e o de outras políticas públicas.</w:t>
      </w:r>
    </w:p>
    <w:p>
      <w:pPr>
        <w:spacing w:after="120" w:line="276"/>
        <w:jc w:val="both"/>
      </w:pPr>
      <w:r>
        <w:t xml:space="preserve">Ao final da disciplina, cada grupo terá produzido não um documento prolixo, mas </w:t>
      </w:r>
      <w:r>
        <w:rPr>
          <w:b/>
          <w:bCs/>
        </w:rPr>
        <w:t xml:space="preserve">uma solução prototipada, testada com o cidadão e formalmente encaminhada</w:t>
      </w:r>
      <w:r>
        <w:t xml:space="preserve"> para implementação institucional.</w:t>
      </w:r>
    </w:p>
    <w:p>
      <w:pPr>
        <w:pStyle w:val="Heading1"/>
        <w:spacing w:after="160" w:before="280"/>
      </w:pPr>
      <w:r>
        <w:rPr>
          <w:b/>
          <w:bCs/>
        </w:rPr>
        <w:t xml:space="preserve">3. EMENTA</w:t>
      </w:r>
    </w:p>
    <w:p>
      <w:pPr>
        <w:spacing w:after="120" w:line="276"/>
        <w:jc w:val="both"/>
      </w:pPr>
      <w:r>
        <w:t xml:space="preserve">Do desenho ao design de políticas públicas: por que a mudança de nome importa. Design Thinking aplicado ao setor público. O cidadão como cliente: empatia como fonte de evidência qualitativa. Evidências qualitativas e quantitativas no ciclo de políticas públicas. Definição de problemas públicos e ideação de soluções. Prototipagem e experimentação de soluções, tecnológicas ou não. Inteligência artificial generativa como apoio à pesquisa de evidências, síntese de campo, ideação, prototipagem e comunicação. Monitoramento embutido no design: indicadores, linha de base e retroalimentação por dados. Encaminhamento institucional de soluções.</w:t>
      </w:r>
    </w:p>
    <w:p>
      <w:pPr>
        <w:pStyle w:val="Heading1"/>
        <w:spacing w:after="160" w:before="280"/>
      </w:pPr>
      <w:r>
        <w:rPr>
          <w:b/>
          <w:bCs/>
        </w:rPr>
        <w:t xml:space="preserve">4. COMPETÊNCIAS ESSENCIAIS</w:t>
      </w:r>
    </w:p>
    <w:p>
      <w:pPr>
        <w:spacing w:after="120" w:line="276"/>
        <w:jc w:val="both"/>
      </w:pPr>
      <w:r>
        <w:rPr>
          <w:b/>
          <w:bCs/>
        </w:rPr>
        <w:t xml:space="preserve">Design de Soluções Centradas no Cidadão: </w:t>
      </w:r>
      <w:r>
        <w:t xml:space="preserve">capacidade de partir de um problema real do cidadão — e não de uma hipótese de gabinete — e conduzir o processo completo de imersão, definição, ideação, prototipagem e teste até uma solução implementável.</w:t>
      </w:r>
    </w:p>
    <w:p>
      <w:pPr>
        <w:spacing w:after="120" w:line="276"/>
        <w:jc w:val="both"/>
      </w:pPr>
      <w:r>
        <w:rPr>
          <w:b/>
          <w:bCs/>
        </w:rPr>
        <w:t xml:space="preserve">Análise Crítica de Evidências: </w:t>
      </w:r>
      <w:r>
        <w:t xml:space="preserve">capacidade de coletar, avaliar e integrar evidências qualitativas (empatia, observação, entrevistas) e quantitativas (dados operacionais, indicadores, literatura), identificando vieses e limitações, para fundamentar cada decisão de design.</w:t>
      </w:r>
    </w:p>
    <w:p>
      <w:pPr>
        <w:spacing w:after="120" w:line="276"/>
        <w:jc w:val="both"/>
      </w:pPr>
      <w:r>
        <w:rPr>
          <w:b/>
          <w:bCs/>
        </w:rPr>
        <w:t xml:space="preserve">Uso Estratégico de Inteligência Artificial: </w:t>
      </w:r>
      <w:r>
        <w:t xml:space="preserve">habilidade de empregar ferramentas de IA generativa como copiloto em todas as fases do projeto — da revisão de evidências à prototipagem — mantendo o julgamento crítico, a verificação das fontes e a responsabilidade da decisão com o Oficial.</w:t>
      </w:r>
    </w:p>
    <w:p>
      <w:pPr>
        <w:spacing w:after="120" w:line="276"/>
        <w:jc w:val="both"/>
      </w:pPr>
      <w:r>
        <w:rPr>
          <w:b/>
          <w:bCs/>
        </w:rPr>
        <w:t xml:space="preserve">Instrumentação para Retroalimentação: </w:t>
      </w:r>
      <w:r>
        <w:t xml:space="preserve">capacidade de desenhar a política já instrumentada para gerar dados — indicadores, linha de base e mecanismos de coleta embutidos — de modo que sua implementação alimente a avaliação e o aprimoramento contínuo dela própria e de outras políticas.</w:t>
      </w:r>
    </w:p>
    <w:p>
      <w:pPr>
        <w:pStyle w:val="Heading1"/>
        <w:spacing w:after="160" w:before="280"/>
      </w:pPr>
      <w:r>
        <w:rPr>
          <w:b/>
          <w:bCs/>
        </w:rPr>
        <w:t xml:space="preserve">5. COMPETÊNCIAS ESPECÍFICAS</w:t>
      </w:r>
    </w:p>
    <w:p>
      <w:pPr>
        <w:spacing w:after="120" w:line="276"/>
        <w:jc w:val="both"/>
      </w:pPr>
      <w:r>
        <w:rPr>
          <w:b/>
          <w:bCs/>
        </w:rPr>
        <w:t xml:space="preserve">Diferenciação entre desenho e design de políticas: </w:t>
      </w:r>
      <w:r>
        <w:t xml:space="preserve">compreender a distinção conceitual e prática entre o desenho como etapa formal do ciclo de políticas e o design como abordagem iterativa, empática e experimental de construção de soluções.</w:t>
      </w:r>
    </w:p>
    <w:p>
      <w:pPr>
        <w:spacing w:after="120" w:line="276"/>
        <w:jc w:val="both"/>
      </w:pPr>
      <w:r>
        <w:rPr>
          <w:b/>
          <w:bCs/>
        </w:rPr>
        <w:t xml:space="preserve">Condução de Pesquisa de Campo com o Cidadão: </w:t>
      </w:r>
      <w:r>
        <w:t xml:space="preserve">aptidão para planejar e executar imersão junto à comunidade atendida — entrevistas, observação e escuta ativa — transformando a experiência do cidadão em evidência utilizável.</w:t>
      </w:r>
    </w:p>
    <w:p>
      <w:pPr>
        <w:spacing w:after="120" w:line="276"/>
        <w:jc w:val="both"/>
      </w:pPr>
      <w:r>
        <w:rPr>
          <w:b/>
          <w:bCs/>
        </w:rPr>
        <w:t xml:space="preserve">Identificação de Fontes Confiáveis de Dados: </w:t>
      </w:r>
      <w:r>
        <w:t xml:space="preserve">aptidão para localizar, avaliar e selecionar fontes de dados e informações — primárias e secundárias — que sirvam de base sólida para a tomada de decisão.</w:t>
      </w:r>
    </w:p>
    <w:p>
      <w:pPr>
        <w:spacing w:after="120" w:line="276"/>
        <w:jc w:val="both"/>
      </w:pPr>
      <w:r>
        <w:rPr>
          <w:b/>
          <w:bCs/>
        </w:rPr>
        <w:t xml:space="preserve">Prototipagem Rápida de Soluções: </w:t>
      </w:r>
      <w:r>
        <w:t xml:space="preserve">domínio de técnicas de prototipagem de baixo e médio custo — mockups, jornadas de serviço, pilotos, soluções digitais via ferramentas no-code e assistidas por IA — para tornar ideias testáveis antes de investir na implementação plena.</w:t>
      </w:r>
    </w:p>
    <w:p>
      <w:pPr>
        <w:spacing w:after="120" w:line="276"/>
        <w:jc w:val="both"/>
      </w:pPr>
      <w:r>
        <w:rPr>
          <w:b/>
          <w:bCs/>
        </w:rPr>
        <w:t xml:space="preserve">Teste e Iteração com Usuários Reais: </w:t>
      </w:r>
      <w:r>
        <w:t xml:space="preserve">capacidade de submeter protótipos ao cidadão afetado, registrar os resultados e iterar a solução com base no que foi observado, e não no que foi presumido.</w:t>
      </w:r>
    </w:p>
    <w:p>
      <w:pPr>
        <w:spacing w:after="120" w:line="276"/>
        <w:jc w:val="both"/>
      </w:pPr>
      <w:r>
        <w:rPr>
          <w:b/>
          <w:bCs/>
        </w:rPr>
        <w:t xml:space="preserve">Desenvolvimento de Indicadores de Desempenho: </w:t>
      </w:r>
      <w:r>
        <w:t xml:space="preserve">capacidade de criar e aplicar indicadores que mensurem a eficácia e o impacto da solução proposta, definidos já na fase de design.</w:t>
      </w:r>
    </w:p>
    <w:p>
      <w:pPr>
        <w:spacing w:after="120" w:line="276"/>
        <w:jc w:val="both"/>
      </w:pPr>
      <w:r>
        <w:rPr>
          <w:b/>
          <w:bCs/>
        </w:rPr>
        <w:t xml:space="preserve">Engajamento com Stakeholders: </w:t>
      </w:r>
      <w:r>
        <w:t xml:space="preserve">habilidade para dialogar com partes interessadas — cidadãos, gestores, órgãos parceiros — integrando perspectivas diversas ao processo de design.</w:t>
      </w:r>
    </w:p>
    <w:p>
      <w:pPr>
        <w:spacing w:after="120" w:line="276"/>
        <w:jc w:val="both"/>
      </w:pPr>
      <w:r>
        <w:rPr>
          <w:b/>
          <w:bCs/>
        </w:rPr>
        <w:t xml:space="preserve">Comunicação e Encaminhamento Institucional: </w:t>
      </w:r>
      <w:r>
        <w:t xml:space="preserve">aptidão para comunicar a solução em formato de pitch executivo, com evidências e protótipo, e encaminhá-la formalmente pelos canais institucionais (processo administrativo, patrocínio de gestores, plano de implementação).</w:t>
      </w:r>
    </w:p>
    <w:p>
      <w:pPr>
        <w:pStyle w:val="Heading1"/>
        <w:spacing w:after="160" w:before="280"/>
      </w:pPr>
      <w:r>
        <w:rPr>
          <w:b/>
          <w:bCs/>
        </w:rPr>
        <w:t xml:space="preserve">6. CONTEÚDO PROGRAMÁTICO</w:t>
      </w:r>
    </w:p>
    <w:p>
      <w:pPr>
        <w:spacing w:after="120" w:line="276"/>
        <w:jc w:val="both"/>
      </w:pPr>
      <w:r>
        <w:t xml:space="preserve">A disciplina é organizada como um </w:t>
      </w:r>
      <w:r>
        <w:rPr>
          <w:b/>
          <w:bCs/>
        </w:rPr>
        <w:t xml:space="preserve">sprint de design em 6 encontros</w:t>
      </w:r>
      <w:r>
        <w:t xml:space="preserve">, no qual cada grupo — formado por Oficiais de áreas fim e meio — escolhe </w:t>
      </w:r>
      <w:r>
        <w:rPr>
          <w:b/>
          <w:bCs/>
        </w:rPr>
        <w:t xml:space="preserve">um problema do cidadão que o CBMDF pode ajudar a resolver</w:t>
      </w:r>
      <w:r>
        <w:t xml:space="preserve"> e o conduz da imersão ao encaminhamento. O requisito para a escolha do problema é único: ser um problema real, que afete o cidadão e esteja ao alcance de atuação do CBMDF. Não se admitem problemas exclusivamente internos da corporação: a empatia deve ser gerada com o nosso cliente, o cidadão.</w:t>
      </w:r>
    </w:p>
    <w:p>
      <w:pPr>
        <w:spacing w:after="80" w:before="160"/>
        <w:jc w:val="both"/>
      </w:pPr>
      <w:r>
        <w:rPr>
          <w:b/>
          <w:bCs/>
        </w:rPr>
        <w:t xml:space="preserve">UNIDADE I — Enquadrar: do desenho ao design (Aula 1 — Presencial, 5 h/a)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26"/>
        <w:gridCol w:w="1700"/>
      </w:tblGrid>
      <w:tr>
        <w:trPr>
          <w:tblHeader/>
        </w:trPr>
        <w:tc>
          <w:tcPr>
            <w:tcW w:type="dxa" w:w="7326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CONTEÚDO PROGRAMÁTICO</w:t>
            </w:r>
          </w:p>
        </w:tc>
        <w:tc>
          <w:tcPr>
            <w:tcW w:type="dxa" w:w="1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Modalidade</w:t>
            </w:r>
          </w:p>
        </w:tc>
      </w:tr>
      <w:tr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both"/>
            </w:pPr>
            <w:r>
              <w:t xml:space="preserve">1.1 Desenho × design de políticas públicas: da política como documento à política como solução testável.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t xml:space="preserve">Presencial</w:t>
            </w:r>
          </w:p>
        </w:tc>
      </w:tr>
      <w:tr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both"/>
            </w:pPr>
            <w:r>
              <w:t xml:space="preserve">1.2 O ciclo de políticas públicas e o papel das evidências em cada fase; hierarquia de evidências.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t xml:space="preserve">Presencial</w:t>
            </w:r>
          </w:p>
        </w:tc>
      </w:tr>
      <w:tr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both"/>
            </w:pPr>
            <w:r>
              <w:t xml:space="preserve">1.3 O cidadão como cliente: empatia como evidência qualitativa e sua complementaridade com a evidência quantitativa.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t xml:space="preserve">Presencial</w:t>
            </w:r>
          </w:p>
        </w:tc>
      </w:tr>
      <w:tr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both"/>
            </w:pPr>
            <w:r>
              <w:t xml:space="preserve">1.4 Panorama do Design Thinking no setor público: duplo diamante, casos de laboratórios de inovação em governo.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t xml:space="preserve">Presencial</w:t>
            </w:r>
          </w:p>
        </w:tc>
      </w:tr>
      <w:tr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both"/>
            </w:pPr>
            <w:r>
              <w:t xml:space="preserve">1.5 IA generativa como copiloto do policymaker: possibilidades, limites e salvaguardas; oficina prática de revisão rápida de evidências com IA.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t xml:space="preserve">Presencial</w:t>
            </w:r>
          </w:p>
        </w:tc>
      </w:tr>
      <w:tr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both"/>
            </w:pPr>
            <w:r>
              <w:t xml:space="preserve">1.6 Formação dos grupos mistos (áreas fim e meio) e escolha, por cada grupo, do problema do cidadão a ser trabalhado.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t xml:space="preserve">Presencial</w:t>
            </w:r>
          </w:p>
        </w:tc>
      </w:tr>
    </w:tbl>
    <w:p>
      <w:pPr>
        <w:spacing w:after="80" w:before="200"/>
        <w:jc w:val="both"/>
      </w:pPr>
      <w:r>
        <w:rPr>
          <w:b/>
          <w:bCs/>
        </w:rPr>
        <w:t xml:space="preserve">UNIDADE II — Imergir: campo de empatia com o cidadão (Aula 2 — A distância, 5 h/a)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26"/>
        <w:gridCol w:w="1700"/>
      </w:tblGrid>
      <w:tr>
        <w:trPr>
          <w:tblHeader/>
        </w:trPr>
        <w:tc>
          <w:tcPr>
            <w:tcW w:type="dxa" w:w="7326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CONTEÚDO PROGRAMÁTICO</w:t>
            </w:r>
          </w:p>
        </w:tc>
        <w:tc>
          <w:tcPr>
            <w:tcW w:type="dxa" w:w="1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Modalidade</w:t>
            </w:r>
          </w:p>
        </w:tc>
      </w:tr>
      <w:tr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both"/>
            </w:pPr>
            <w:r>
              <w:t xml:space="preserve">2.1 Atividade de campo livre junto ao cidadão afetado: entrevistas em profundidade, observação direta e escuta ativa na comunidade.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t xml:space="preserve">A distância</w:t>
            </w:r>
          </w:p>
        </w:tc>
      </w:tr>
      <w:tr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both"/>
            </w:pPr>
            <w:r>
              <w:t xml:space="preserve">2.2 Levantamento de dados secundários e operacionais que contextualizem o problema (estatísticas de atendimento, dados abertos, literatura).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t xml:space="preserve">A distância</w:t>
            </w:r>
          </w:p>
        </w:tc>
      </w:tr>
      <w:tr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both"/>
            </w:pPr>
            <w:r>
              <w:t xml:space="preserve">2.3 Uso de IA no campo: elaboração de roteiros de entrevista, transcrição, síntese de falas e organização preliminar dos achados.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t xml:space="preserve">A distância</w:t>
            </w:r>
          </w:p>
        </w:tc>
      </w:tr>
      <w:tr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both"/>
            </w:pPr>
            <w:r>
              <w:t xml:space="preserve">2.4 Entregável: mapa de evidências do problema — quem é o cidadão afetado, o que foi ouvido e observado, o que os dados mostram.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t xml:space="preserve">A distância</w:t>
            </w:r>
          </w:p>
        </w:tc>
      </w:tr>
    </w:tbl>
    <w:p>
      <w:pPr>
        <w:spacing w:after="80" w:before="200"/>
        <w:jc w:val="both"/>
      </w:pPr>
      <w:r>
        <w:rPr>
          <w:b/>
          <w:bCs/>
        </w:rPr>
        <w:t xml:space="preserve">UNIDADE III — Definir e Idear: da evidência à solução candidata (Aula 3 — Presencial, 5 h/a)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26"/>
        <w:gridCol w:w="1700"/>
      </w:tblGrid>
      <w:tr>
        <w:trPr>
          <w:tblHeader/>
        </w:trPr>
        <w:tc>
          <w:tcPr>
            <w:tcW w:type="dxa" w:w="7326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CONTEÚDO PROGRAMÁTICO</w:t>
            </w:r>
          </w:p>
        </w:tc>
        <w:tc>
          <w:tcPr>
            <w:tcW w:type="dxa" w:w="1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Modalidade</w:t>
            </w:r>
          </w:p>
        </w:tc>
      </w:tr>
      <w:tr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both"/>
            </w:pPr>
            <w:r>
              <w:t xml:space="preserve">3.1 Análise crítica das evidências coletadas: vieses, limitações e lacunas; triangulação entre o qualitativo e o quantitativo.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t xml:space="preserve">Presencial</w:t>
            </w:r>
          </w:p>
        </w:tc>
      </w:tr>
      <w:tr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both"/>
            </w:pPr>
            <w:r>
              <w:t xml:space="preserve">3.2 Definição do problema: ponto de vista (POV) e perguntas "Como poderíamos..." (How Might We).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t xml:space="preserve">Presencial</w:t>
            </w:r>
          </w:p>
        </w:tc>
      </w:tr>
      <w:tr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both"/>
            </w:pPr>
            <w:r>
              <w:t xml:space="preserve">3.3 Oficina de ideação apoiada por IA: geração ampliada de alternativas, benchmarking assistido de soluções nacionais e internacionais, seleção por critérios de evidência, viabilidade e impacto.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t xml:space="preserve">Presencial</w:t>
            </w:r>
          </w:p>
        </w:tc>
      </w:tr>
      <w:tr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both"/>
            </w:pPr>
            <w:r>
              <w:t xml:space="preserve">3.4 Teoria da mudança e modelo lógico da solução escolhida.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t xml:space="preserve">Presencial</w:t>
            </w:r>
          </w:p>
        </w:tc>
      </w:tr>
      <w:tr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both"/>
            </w:pPr>
            <w:r>
              <w:t xml:space="preserve">3.5 Design da retroalimentação: definição de indicadores, linha de base e mecanismos de coleta de dados embutidos na própria solução.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t xml:space="preserve">Presencial</w:t>
            </w:r>
          </w:p>
        </w:tc>
      </w:tr>
    </w:tbl>
    <w:p>
      <w:pPr>
        <w:spacing w:after="80" w:before="200"/>
        <w:jc w:val="both"/>
      </w:pPr>
      <w:r>
        <w:rPr>
          <w:b/>
          <w:bCs/>
        </w:rPr>
        <w:t xml:space="preserve">UNIDADE IV — Prototipar e Testar: campo de experimentação (Aula 4 — A distância, 5 h/a)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26"/>
        <w:gridCol w:w="1700"/>
      </w:tblGrid>
      <w:tr>
        <w:trPr>
          <w:tblHeader/>
        </w:trPr>
        <w:tc>
          <w:tcPr>
            <w:tcW w:type="dxa" w:w="7326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CONTEÚDO PROGRAMÁTICO</w:t>
            </w:r>
          </w:p>
        </w:tc>
        <w:tc>
          <w:tcPr>
            <w:tcW w:type="dxa" w:w="1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Modalidade</w:t>
            </w:r>
          </w:p>
        </w:tc>
      </w:tr>
      <w:tr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both"/>
            </w:pPr>
            <w:r>
              <w:t xml:space="preserve">4.1 Atividade de campo livre: construção do protótipo da solução — mockup, jornada de serviço, fluxo, piloto ou solução digital (ferramentas no-code e desenvolvimento assistido por IA).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t xml:space="preserve">A distância</w:t>
            </w:r>
          </w:p>
        </w:tc>
      </w:tr>
      <w:tr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both"/>
            </w:pPr>
            <w:r>
              <w:t xml:space="preserve">4.2 Teste do protótipo com os cidadãos afetados: sessões de uso, feedback estruturado e registro sistemático dos resultados.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t xml:space="preserve">A distância</w:t>
            </w:r>
          </w:p>
        </w:tc>
      </w:tr>
      <w:tr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both"/>
            </w:pPr>
            <w:r>
              <w:t xml:space="preserve">4.3 Uso de IA na prototipagem: geração de interfaces e materiais, simulação de cenários, análise dos feedbacks coletados.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t xml:space="preserve">A distância</w:t>
            </w:r>
          </w:p>
        </w:tc>
      </w:tr>
      <w:tr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both"/>
            </w:pPr>
            <w:r>
              <w:t xml:space="preserve">4.4 Entregável: protótipo funcional (em qualquer fidelidade) + registro dos testes com o cidadão.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t xml:space="preserve">A distância</w:t>
            </w:r>
          </w:p>
        </w:tc>
      </w:tr>
    </w:tbl>
    <w:p>
      <w:pPr>
        <w:spacing w:after="80" w:before="200"/>
        <w:jc w:val="both"/>
      </w:pPr>
      <w:r>
        <w:rPr>
          <w:b/>
          <w:bCs/>
        </w:rPr>
        <w:t xml:space="preserve">UNIDADE V — Iterar e Encaminhar: da solução testada à política implementável (Aula 5 — Presencial, 5 h/a)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26"/>
        <w:gridCol w:w="1700"/>
      </w:tblGrid>
      <w:tr>
        <w:trPr>
          <w:tblHeader/>
        </w:trPr>
        <w:tc>
          <w:tcPr>
            <w:tcW w:type="dxa" w:w="7326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CONTEÚDO PROGRAMÁTICO</w:t>
            </w:r>
          </w:p>
        </w:tc>
        <w:tc>
          <w:tcPr>
            <w:tcW w:type="dxa" w:w="1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Modalidade</w:t>
            </w:r>
          </w:p>
        </w:tc>
      </w:tr>
      <w:tr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both"/>
            </w:pPr>
            <w:r>
              <w:t xml:space="preserve">5.1 Iteração do protótipo com base nos resultados dos testes: o que o cidadão validou, o que precisa mudar.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t xml:space="preserve">Presencial</w:t>
            </w:r>
          </w:p>
        </w:tc>
      </w:tr>
      <w:tr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both"/>
            </w:pPr>
            <w:r>
              <w:t xml:space="preserve">5.2 Plano de implementação e encaminhamento institucional: instrumento adequado (processo administrativo, projeto, norma), patrocínio, governança, recursos e riscos.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t xml:space="preserve">Presencial</w:t>
            </w:r>
          </w:p>
        </w:tc>
      </w:tr>
      <w:tr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both"/>
            </w:pPr>
            <w:r>
              <w:t xml:space="preserve">5.3 Plano de monitoramento e avaliação: consolidação dos indicadores e do fluxo de dados que retroalimentará a política.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t xml:space="preserve">Presencial</w:t>
            </w:r>
          </w:p>
        </w:tc>
      </w:tr>
      <w:tr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both"/>
            </w:pPr>
            <w:r>
              <w:t xml:space="preserve">5.4 Preparação do pitch final com apoio de IA: narrativa baseada em evidências, materiais visuais, ensaio.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t xml:space="preserve">Presencial</w:t>
            </w:r>
          </w:p>
        </w:tc>
      </w:tr>
    </w:tbl>
    <w:p>
      <w:pPr>
        <w:spacing w:after="80" w:before="200"/>
        <w:jc w:val="both"/>
      </w:pPr>
      <w:r>
        <w:rPr>
          <w:b/>
          <w:bCs/>
        </w:rPr>
        <w:t xml:space="preserve">UNIDADE VI — Apresentar: pitch e encaminhamento das soluções (Aula 6 — Presencial, 5 h/a)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26"/>
        <w:gridCol w:w="1700"/>
      </w:tblGrid>
      <w:tr>
        <w:trPr>
          <w:tblHeader/>
        </w:trPr>
        <w:tc>
          <w:tcPr>
            <w:tcW w:type="dxa" w:w="7326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CONTEÚDO PROGRAMÁTICO</w:t>
            </w:r>
          </w:p>
        </w:tc>
        <w:tc>
          <w:tcPr>
            <w:tcW w:type="dxa" w:w="1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Modalidade</w:t>
            </w:r>
          </w:p>
        </w:tc>
      </w:tr>
      <w:tr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both"/>
            </w:pPr>
            <w:r>
              <w:t xml:space="preserve">6.1 Apresentação das soluções em formato de pitch para banca avaliadora, preferencialmente com a presença de gestores estratégicos do CBMDF.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t xml:space="preserve">Presencial</w:t>
            </w:r>
          </w:p>
        </w:tc>
      </w:tr>
      <w:tr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both"/>
            </w:pPr>
            <w:r>
              <w:t xml:space="preserve">6.2 Feedback estruturado da banca e dos demais grupos.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t xml:space="preserve">Presencial</w:t>
            </w:r>
          </w:p>
        </w:tc>
      </w:tr>
      <w:tr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both"/>
            </w:pPr>
            <w:r>
              <w:t xml:space="preserve">6.3 Encaminhamento formal das propostas: registro dos próximos passos institucionais de cada solução.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t xml:space="preserve">Presencial</w:t>
            </w:r>
          </w:p>
        </w:tc>
      </w:tr>
    </w:tbl>
    <w:p>
      <w:pPr>
        <w:spacing w:after="120"/>
      </w:pPr>
    </w:p>
    <w:p>
      <w:pPr>
        <w:pStyle w:val="Heading1"/>
        <w:spacing w:after="160" w:before="280"/>
      </w:pPr>
      <w:r>
        <w:rPr>
          <w:b/>
          <w:bCs/>
        </w:rPr>
        <w:t xml:space="preserve">7. INSTRUÇÕES METODOLÓGICAS E RECURSOS MULTISSENSORIAIS</w:t>
      </w:r>
    </w:p>
    <w:p>
      <w:pPr>
        <w:spacing w:after="120" w:line="276"/>
        <w:jc w:val="both"/>
      </w:pPr>
      <w:r>
        <w:t xml:space="preserve">A disciplina é </w:t>
      </w:r>
      <w:r>
        <w:rPr>
          <w:b/>
          <w:bCs/>
        </w:rPr>
        <w:t xml:space="preserve">eminentemente prática</w:t>
      </w:r>
      <w:r>
        <w:t xml:space="preserve"> e organizada como um sprint de design: a teoria é apresentada em doses mínimas e imediatamente aplicada ao projeto de cada grupo. O produto final não é um trabalho acadêmico, mas uma </w:t>
      </w:r>
      <w:r>
        <w:rPr>
          <w:b/>
          <w:bCs/>
        </w:rPr>
        <w:t xml:space="preserve">solução prototipada, testada com o cidadão e encaminhada para implementação</w:t>
      </w:r>
      <w:r>
        <w:t xml:space="preserve">.</w:t>
      </w:r>
    </w:p>
    <w:p>
      <w:pPr>
        <w:spacing w:after="80"/>
        <w:jc w:val="both"/>
      </w:pPr>
      <w:r>
        <w:rPr>
          <w:b/>
          <w:bCs/>
        </w:rPr>
        <w:t xml:space="preserve">Metodologia: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Aprendizagem baseada em projeto: </w:t>
      </w:r>
      <w:r>
        <w:t xml:space="preserve">um único projeto por grupo atravessa as seis aulas, do problema do cidadão ao encaminhamento institucional;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Grupos heterogêneos: </w:t>
      </w:r>
      <w:r>
        <w:t xml:space="preserve">equipes compostas por Oficiais de áreas fim e meio, para combinar a visão operacional e a visão de gestão;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Oficinas presenciais: </w:t>
      </w:r>
      <w:r>
        <w:t xml:space="preserve">exposições curtas seguidas de trabalho prático em grupo (mapeamento de evidências, definição de problema, ideação, modelo lógico, preparação de pitch);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Atividades de campo a distância: </w:t>
      </w:r>
      <w:r>
        <w:t xml:space="preserve">nas aulas a distância, os grupos têm liberdade de agenda para realizar as atividades de campo — imersão com o cidadão (Aula 2) e prototipagem com teste junto ao usuário real (Aula 4) — com entregáveis definidos;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IA do início ao fim: </w:t>
      </w:r>
      <w:r>
        <w:t xml:space="preserve">em todas as fases, os grupos utilizam ferramentas de IA generativa como copiloto: revisão rápida de literatura e evidências; elaboração de roteiros e síntese de entrevistas; ideação ampliada e benchmarking; construção de protótipos (mockups, materiais, soluções no-code e desenvolvimento assistido); análise de feedbacks; e preparação do pitch. As oficinas incluem demonstrações e prática orientada dessas ferramentas;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Salvaguardas no uso de IA: </w:t>
      </w:r>
      <w:r>
        <w:t xml:space="preserve">dados pessoais, sensíveis ou institucionais restritos não devem ser inseridos em ferramentas públicas de IA; toda evidência sugerida por IA deve ser verificada na fonte original; a IA é copiloto — a análise crítica e a decisão permanecem com o Oficial;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Mentoria contínua: </w:t>
      </w:r>
      <w:r>
        <w:t xml:space="preserve">o docente atua como mentor dos projetos, com pontos de verificação ao final de cada aula presencial e disponibilidade assíncrona nas semanas de campo;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Banca final: </w:t>
      </w:r>
      <w:r>
        <w:t xml:space="preserve">a última aula é dedicada à apresentação das soluções em formato de pitch, preferencialmente diante de gestores estratégicos do CBMDF, para maximizar a chance de implementação real das propostas.</w:t>
      </w:r>
    </w:p>
    <w:p>
      <w:pPr>
        <w:spacing w:after="120" w:before="120"/>
        <w:jc w:val="both"/>
      </w:pPr>
      <w:r>
        <w:rPr>
          <w:b/>
          <w:bCs/>
        </w:rPr>
        <w:t xml:space="preserve">Recursos: </w:t>
      </w:r>
      <w:r>
        <w:t xml:space="preserve">notebook, projetor multimídia, acesso à internet, ferramentas de IA generativa, ferramentas de prototipagem (quadros colaborativos, no-code), quadro branco, post-its e materiais de prototipagem física, ambiente virtual de aprendizagem para as aulas a distância.</w:t>
      </w:r>
    </w:p>
    <w:p>
      <w:pPr>
        <w:pStyle w:val="Heading1"/>
        <w:spacing w:after="160" w:before="280"/>
      </w:pPr>
      <w:r>
        <w:rPr>
          <w:b/>
          <w:bCs/>
        </w:rPr>
        <w:t xml:space="preserve">8. AVALIAÇÃO DA APRENDIZAGEM</w:t>
      </w:r>
    </w:p>
    <w:p>
      <w:pPr>
        <w:spacing w:after="120" w:line="276"/>
        <w:jc w:val="both"/>
      </w:pPr>
      <w:r>
        <w:t xml:space="preserve">A avaliação é integralmente baseada no projeto e em seu processo, refletindo o caráter prático da disciplina: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26"/>
        <w:gridCol w:w="1400"/>
      </w:tblGrid>
      <w:tr>
        <w:trPr>
          <w:tblHeader/>
        </w:trPr>
        <w:tc>
          <w:tcPr>
            <w:tcW w:type="dxa" w:w="7626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Instrumento de avaliação</w:t>
            </w:r>
          </w:p>
        </w:tc>
        <w:tc>
          <w:tcPr>
            <w:tcW w:type="dxa" w:w="1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Peso</w:t>
            </w:r>
          </w:p>
        </w:tc>
      </w:tr>
      <w:tr>
        <w:tc>
          <w:tcPr>
            <w:tcW w:type="dxa" w:w="7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both"/>
            </w:pPr>
            <w:r>
              <w:t xml:space="preserve">Solução final prototipada + pitch (grupo): qualidade da solução, fundamentação em evidências, teste com o cidadão e viabilidade do encaminhamento institucional — avaliados na apresentação final.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40%</w:t>
            </w:r>
          </w:p>
        </w:tc>
      </w:tr>
      <w:tr>
        <w:tc>
          <w:tcPr>
            <w:tcW w:type="dxa" w:w="7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both"/>
            </w:pPr>
            <w:r>
              <w:t xml:space="preserve">Entregáveis de campo (grupo): mapa de evidências da imersão (Aula 2) e protótipo com registro de testes (Aula 4).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30%</w:t>
            </w:r>
          </w:p>
        </w:tc>
      </w:tr>
      <w:tr>
        <w:tc>
          <w:tcPr>
            <w:tcW w:type="dxa" w:w="7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both"/>
            </w:pPr>
            <w:r>
              <w:t xml:space="preserve">Plano de monitoramento e retroalimentação (grupo): indicadores, linha de base e mecanismos de coleta de dados embutidos na solução.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20%</w:t>
            </w:r>
          </w:p>
        </w:tc>
      </w:tr>
      <w:tr>
        <w:tc>
          <w:tcPr>
            <w:tcW w:type="dxa" w:w="7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both"/>
            </w:pPr>
            <w:r>
              <w:t xml:space="preserve">Participação individual: engajamento nas oficinas, contribuição ao grupo e às discussões.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10%</w:t>
            </w:r>
          </w:p>
        </w:tc>
      </w:tr>
    </w:tbl>
    <w:p>
      <w:pPr>
        <w:spacing w:after="120" w:before="120"/>
        <w:jc w:val="both"/>
      </w:pPr>
      <w:r>
        <w:t xml:space="preserve">Todo o processo de avaliação deve estar em conformidade com a Norma Geral de Avaliação da Aprendizagem e Medidas de Aprendizagem em vigor.</w:t>
      </w:r>
    </w:p>
    <w:p>
      <w:pPr>
        <w:pStyle w:val="Heading1"/>
        <w:spacing w:after="160" w:before="280"/>
      </w:pPr>
      <w:r>
        <w:rPr>
          <w:b/>
          <w:bCs/>
        </w:rPr>
        <w:t xml:space="preserve">9. REFERÊNCIAS</w:t>
      </w:r>
    </w:p>
    <w:p>
      <w:pPr>
        <w:spacing w:after="80"/>
        <w:jc w:val="both"/>
      </w:pPr>
      <w:r>
        <w:rPr>
          <w:b/>
          <w:bCs/>
        </w:rPr>
        <w:t xml:space="preserve">Referência Básica</w:t>
      </w:r>
    </w:p>
    <w:p>
      <w:pPr>
        <w:spacing w:after="100" w:line="260"/>
        <w:jc w:val="left"/>
      </w:pPr>
      <w:r>
        <w:t xml:space="preserve">BANKS, Gary. Evidence-based policy making: What is it? How do we get it? Canberra: ANZSOG, 2009.</w:t>
      </w:r>
    </w:p>
    <w:p>
      <w:pPr>
        <w:spacing w:after="100" w:line="260"/>
        <w:jc w:val="left"/>
      </w:pPr>
      <w:r>
        <w:t xml:space="preserve">BRASIL. Escola Nacional de Administração Pública (ENAP). Design Thinking aplicado ao Setor Público. Brasília: ENAP/GNova, 2018. Disponível em: &lt;https://repositorio.enap.gov.br/&gt;.</w:t>
      </w:r>
    </w:p>
    <w:p>
      <w:pPr>
        <w:spacing w:after="100" w:line="260"/>
        <w:jc w:val="left"/>
      </w:pPr>
      <w:r>
        <w:t xml:space="preserve">BROWN, Tim. Design Thinking: uma metodologia poderosa para decretar o fim das velhas ideias. Rio de Janeiro: Alta Books, 2017.</w:t>
      </w:r>
    </w:p>
    <w:p>
      <w:pPr>
        <w:spacing w:after="100" w:line="260"/>
        <w:jc w:val="left"/>
      </w:pPr>
      <w:r>
        <w:t xml:space="preserve">DAVIES, Huw T. O.; NUTLEY, Sandra M.; SMITH, Peter C. What works? Evidence-based policy and practice in public services. Chicago: The University of Chicago Press, 2000. Capítulos 1 e 2.</w:t>
      </w:r>
    </w:p>
    <w:p>
      <w:pPr>
        <w:spacing w:after="100" w:line="260"/>
        <w:jc w:val="left"/>
      </w:pPr>
      <w:r>
        <w:t xml:space="preserve">HEAD, Brian. Evidence-based policy: principles and requirements. In: Strengthening Evidence-Based Policy. Canberra: Productivity Commission, 2010.</w:t>
      </w:r>
    </w:p>
    <w:p>
      <w:pPr>
        <w:spacing w:after="100" w:line="260"/>
        <w:jc w:val="left"/>
      </w:pPr>
      <w:r>
        <w:t xml:space="preserve">IDEO.ORG. The Field Guide to Human-Centered Design. San Francisco: IDEO.org, 2015. Disponível em: &lt;https://www.designkit.org/resources/1&gt;.</w:t>
      </w:r>
    </w:p>
    <w:p>
      <w:pPr>
        <w:spacing w:after="100" w:line="260"/>
        <w:jc w:val="left"/>
      </w:pPr>
      <w:r>
        <w:t xml:space="preserve">SECCHI, Leonardo. Políticas Públicas: conceitos, esquemas de análise, casos práticos. 2. ed. São Paulo: Cengage Learning, 2014.</w:t>
      </w:r>
    </w:p>
    <w:p>
      <w:pPr>
        <w:spacing w:after="100" w:line="260"/>
        <w:jc w:val="left"/>
      </w:pPr>
      <w:r>
        <w:t xml:space="preserve">SECCHI, Leonardo; ZAPPELLINI, Marcello Beckert. Análise de políticas públicas: diagnóstico de problemas, recomendação de soluções. São Paulo: Cengage Learning, 2019.</w:t>
      </w:r>
    </w:p>
    <w:p>
      <w:pPr>
        <w:spacing w:after="80" w:before="160"/>
        <w:jc w:val="both"/>
      </w:pPr>
      <w:r>
        <w:rPr>
          <w:b/>
          <w:bCs/>
        </w:rPr>
        <w:t xml:space="preserve">Referência Complementar</w:t>
      </w:r>
    </w:p>
    <w:p>
      <w:pPr>
        <w:spacing w:after="100" w:line="260"/>
        <w:jc w:val="left"/>
      </w:pPr>
      <w:r>
        <w:t xml:space="preserve">BRASIL. Escola Nacional de Administração Pública (ENAP). Inteligência artificial no setor público. Brasília: ENAP, 2024. Disponível em: &lt;https://repositorio.enap.gov.br/&gt;.</w:t>
      </w:r>
    </w:p>
    <w:p>
      <w:pPr>
        <w:spacing w:after="100" w:line="260"/>
        <w:jc w:val="left"/>
      </w:pPr>
      <w:r>
        <w:t xml:space="preserve">CAIRNEY, Paul; KWIATKOWSKI, Richard. How to communicate effectively with policymakers: combine insights from psychology and policy studies. Palgrave Communications, 3:37, 2017.</w:t>
      </w:r>
    </w:p>
    <w:p>
      <w:pPr>
        <w:spacing w:after="100" w:line="260"/>
        <w:jc w:val="left"/>
      </w:pPr>
      <w:r>
        <w:t xml:space="preserve">EDWARDS, Meredith; EVANS, Mark. Getting Evidence into Policy-making. Canberra: ANZSOG – Institute for Governance, 2012.</w:t>
      </w:r>
    </w:p>
    <w:p>
      <w:pPr>
        <w:spacing w:after="100" w:line="260"/>
        <w:jc w:val="left"/>
      </w:pPr>
      <w:r>
        <w:t xml:space="preserve">KINGDON, John. Como chega a hora de uma ideia?; Juntando as coisas. In: SARAIVA, Enrique; FERRAREZI, Elizabete (orgs.). Políticas públicas: coletânea, v. 1. Brasília: ENAP, 2006, p. 219-245.</w:t>
      </w:r>
    </w:p>
    <w:p>
      <w:pPr>
        <w:spacing w:after="100" w:line="260"/>
        <w:jc w:val="left"/>
      </w:pPr>
      <w:r>
        <w:t xml:space="preserve">NESTA. Playbook for Innovation Learning. Londres: Nesta, 2019. Disponível em: &lt;https://www.nesta.org.uk/toolkit/playbook-innovation-learning/&gt;.</w:t>
      </w:r>
    </w:p>
    <w:p>
      <w:pPr>
        <w:spacing w:after="100" w:line="260"/>
        <w:jc w:val="left"/>
      </w:pPr>
      <w:r>
        <w:t xml:space="preserve">ORTEGÓN, Edgard; PACHECO, Juan Francisco; PRIETO, Adriana. Metodología del marco lógico para la planificación, el seguimiento y la evaluación de proyectos y programas. Santiago: CEPAL, 2005. Disponível em: &lt;https://repositorio.cepal.org/handle/11362/5607&gt;.</w:t>
      </w:r>
    </w:p>
    <w:p>
      <w:pPr>
        <w:spacing w:after="100" w:line="260"/>
        <w:jc w:val="left"/>
      </w:pPr>
      <w:r>
        <w:t xml:space="preserve">PERES, Glauco. Desenho de pesquisa. Brasília: ENAP, 2018.</w:t>
      </w:r>
    </w:p>
    <w:p>
      <w:pPr>
        <w:spacing w:after="100" w:line="260"/>
        <w:jc w:val="left"/>
      </w:pPr>
      <w:r>
        <w:t xml:space="preserve">RAMOS, Marília Patta; SCHABBACH, Letícia Maria. O estado da arte da avaliação de políticas públicas: conceituação e exemplos de avaliação no Brasil. Revista de Administração Pública, Rio de Janeiro, v. 46, n. 5, p. 1271-1294, 2012.</w:t>
      </w:r>
    </w:p>
    <w:p>
      <w:pPr>
        <w:spacing w:after="100" w:line="260"/>
        <w:jc w:val="left"/>
      </w:pPr>
      <w:r>
        <w:t xml:space="preserve">UNITED KINGDOM. Policy Lab. Open Policy Making Toolkit. Londres: Cabinet Office. Disponível em: &lt;https://openpolicy.blog.gov.uk/&gt;.</w:t>
      </w:r>
    </w:p>
    <w:p>
      <w:pPr>
        <w:pStyle w:val="Heading1"/>
        <w:spacing w:after="160" w:before="280"/>
      </w:pPr>
      <w:r>
        <w:rPr>
          <w:b/>
          <w:bCs/>
        </w:rPr>
        <w:t xml:space="preserve">10. EQUIPE TÉCNICA</w:t>
      </w:r>
    </w:p>
    <w:p>
      <w:pPr>
        <w:spacing w:after="120" w:line="276"/>
        <w:jc w:val="both"/>
      </w:pPr>
      <w:r>
        <w:t xml:space="preserve">Docente responsável pela disciplina — CEPED/CBMDF.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2026-08-09T09:52:17.177Z</dcterms:created>
  <dcterms:modified xsi:type="dcterms:W3CDTF">2026-08-09T09:52:17.177Z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