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Canvas de Definição e Ideação</w:t>
      </w:r>
    </w:p>
    <w:p>
      <w:r>
        <w:rPr>
          <w:b/>
        </w:rPr>
        <w:t>Disciplina:</w:t>
      </w:r>
      <w:r>
        <w:t xml:space="preserve"> Design de Políticas Públicas Baseadas em Evidências (CAEO/CEPED) · </w:t>
      </w:r>
      <w:r>
        <w:rPr>
          <w:b/>
        </w:rPr>
        <w:t>Aula 3 — Blocos 2 a 6</w:t>
      </w:r>
    </w:p>
    <w:p>
      <w:r>
        <w:t xml:space="preserve">Este canvas parte do </w:t>
      </w:r>
      <w:r>
        <w:rPr>
          <w:i/>
        </w:rPr>
        <w:t>Mapa de Evidências do Problema</w:t>
      </w:r>
      <w:r>
        <w:t xml:space="preserve"> (Aula 2) e do </w:t>
      </w:r>
      <w:r>
        <w:rPr>
          <w:i/>
        </w:rPr>
        <w:t>Canvas do Problema</w:t>
      </w:r>
      <w:r>
        <w:t xml:space="preserve"> (Aula 1). Preencha em grupo, seção por seção, ao longo da Aula 3 — cada seção usa o resultado da anterior. Ao final, ele é a matéria-prima para a orientação de campo da Aula 4.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Grupo:</w:t>
            </w:r>
          </w:p>
        </w:tc>
        <w:tc>
          <w:tcPr>
            <w:tcW w:type="dxa" w:w="2880"/>
          </w:tcPr>
          <w:p>
            <w:r>
              <w:rPr>
                <w:b/>
              </w:rPr>
              <w:t>Integrantes (área fim/meio):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Data:</w:t>
            </w:r>
          </w:p>
        </w:tc>
      </w:tr>
    </w:tbl>
    <w:p/>
    <w:p>
      <w:pPr>
        <w:pStyle w:val="Heading1"/>
      </w:pPr>
      <w:r>
        <w:t>1. Ponto de Vista</w:t>
      </w:r>
    </w:p>
    <w:p>
      <w:r>
        <w:t xml:space="preserve">Uma frase: </w:t>
      </w:r>
      <w:r>
        <w:rPr>
          <w:b/>
        </w:rPr>
        <w:t>[usuário específico]</w:t>
      </w:r>
      <w:r>
        <w:t xml:space="preserve"> + </w:t>
      </w:r>
      <w:r>
        <w:rPr>
          <w:b/>
        </w:rPr>
        <w:t>[necessidade]</w:t>
      </w:r>
      <w:r>
        <w:t xml:space="preserve"> + </w:t>
      </w:r>
      <w:r>
        <w:rPr>
          <w:b/>
        </w:rPr>
        <w:t>[motivo profundo]</w:t>
      </w:r>
      <w:r>
        <w:t>. Não repita a dor genérica do Canvas do Problema — incorpore o que a Aula 2 revelou de novo.</w:t>
      </w:r>
    </w:p>
    <w:p>
      <w:r>
        <w:rPr>
          <w:i/>
        </w:rPr>
        <w:t>(espaço para preenchimento)</w:t>
      </w:r>
    </w:p>
    <w:p>
      <w:pPr>
        <w:pStyle w:val="Heading1"/>
      </w:pPr>
      <w:r>
        <w:t>2. Perguntas "Como poderíamos..."</w:t>
      </w:r>
    </w:p>
    <w:p>
      <w:r>
        <w:t xml:space="preserve">Liste de 3 a 5 perguntas abertas, derivadas do Ponto de Vista. Nenhuma pode ter solução embutida — passe cada uma pelo teste: </w:t>
      </w:r>
      <w:r>
        <w:rPr>
          <w:i/>
        </w:rPr>
        <w:t>"isso abre para mais de uma solução possível?"</w:t>
      </w:r>
    </w:p>
    <w:p>
      <w:pPr>
        <w:pStyle w:val="ListNumber"/>
      </w:pPr>
    </w:p>
    <w:p>
      <w:pPr>
        <w:pStyle w:val="ListNumber"/>
      </w:pPr>
    </w:p>
    <w:p>
      <w:pPr>
        <w:pStyle w:val="ListNumber"/>
      </w:pPr>
    </w:p>
    <w:p>
      <w:pPr>
        <w:pStyle w:val="ListNumber"/>
      </w:pPr>
    </w:p>
    <w:p>
      <w:pPr>
        <w:pStyle w:val="ListNumber"/>
      </w:pPr>
    </w:p>
    <w:p>
      <w:r>
        <w:rPr>
          <w:b/>
        </w:rPr>
        <w:t>Pergunta escolhida para a oficina de ideação:</w:t>
      </w:r>
      <w:r>
        <w:t xml:space="preserve"> ________________________________________</w:t>
      </w:r>
    </w:p>
    <w:p>
      <w:pPr>
        <w:pStyle w:val="Heading1"/>
      </w:pPr>
      <w:r>
        <w:t>3. Alternativas e solução candidata</w:t>
      </w:r>
    </w:p>
    <w:p>
      <w:r>
        <w:t>Registre as 2 a 3 alternativas finalistas (depois de gerar, contra-argumentar e prospectar soluções semelhantes) e pontue de 1 a 3 em cada critério.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Alternativa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Evidência (1–3)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Viabilidade (1–3)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Impacto (1–3)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Total</w:t>
            </w:r>
          </w:p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p/>
    <w:p>
      <w:r>
        <w:rPr>
          <w:b/>
        </w:rPr>
        <w:t>Solução candidata escolhida:</w:t>
      </w:r>
      <w:r>
        <w:t xml:space="preserve"> ________________________________________</w:t>
      </w:r>
    </w:p>
    <w:p>
      <w:pPr>
        <w:pStyle w:val="Heading1"/>
      </w:pPr>
      <w:r>
        <w:t>4. Teoria da Mudança</w:t>
      </w:r>
    </w:p>
    <w:p>
      <w:r>
        <w:t xml:space="preserve">Uma frase: </w:t>
      </w:r>
      <w:r>
        <w:rPr>
          <w:i/>
        </w:rPr>
        <w:t>"Se [a solução candidata] for implementada, então [resultado esperado], porque [mecanismo/pressuposto causal]."</w:t>
      </w:r>
    </w:p>
    <w:p>
      <w:r>
        <w:rPr>
          <w:i/>
        </w:rPr>
        <w:t>(espaço para preenchimento)</w:t>
      </w:r>
    </w:p>
    <w:p>
      <w:pPr>
        <w:pStyle w:val="Heading1"/>
      </w:pPr>
      <w:r>
        <w:t>5. Modelo Lógico simplificado</w:t>
      </w:r>
    </w:p>
    <w:p>
      <w:r>
        <w:t>Versão de 3 colunas para hoje — a versão completa (insumos, atividades, produtos, resultados de curto/médio/longo prazo) é refinamento assíncrono antes da Aula 5.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O que fazemos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entregamos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muda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</w:tbl>
    <w:p/>
    <w:p>
      <w:r>
        <w:rPr>
          <w:b/>
        </w:rPr>
        <w:t>Confira:</w:t>
      </w:r>
      <w:r>
        <w:t xml:space="preserve"> "O que muda" bate com o "Y" da Teoria da Mudança acima?</w:t>
      </w:r>
    </w:p>
    <w:p>
      <w:pPr>
        <w:pStyle w:val="Heading1"/>
      </w:pPr>
      <w:r>
        <w:t>6. Indicadores e linha de base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Tipo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Indicador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Linha de base (dado de partida e fonte)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Mecanismo de coleta embutido</w:t>
            </w:r>
          </w:p>
        </w:tc>
      </w:tr>
      <w:tr>
        <w:tc>
          <w:tcPr>
            <w:tcW w:type="dxa" w:w="2160"/>
          </w:tcPr>
          <w:p>
            <w:r>
              <w:t>Processo 1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Processo 2 (se houver)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Resultado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r>
        <w:rPr>
          <w:b/>
        </w:rPr>
        <w:t>Checagem de manipulação:</w:t>
      </w:r>
      <w:r>
        <w:t xml:space="preserve"> este indicador pode subir sem que a vida do cidadão de fato melhore? Se sim, revise-o.</w:t>
      </w:r>
    </w:p>
    <w:p>
      <w:pPr>
        <w:pStyle w:val="Heading1"/>
      </w:pPr>
      <w:r>
        <w:t>7. Rumo à Aula 4</w:t>
      </w:r>
    </w:p>
    <w:p>
      <w:r>
        <w:t xml:space="preserve">O que este grupo vai </w:t>
      </w:r>
      <w:r>
        <w:rPr>
          <w:b/>
        </w:rPr>
        <w:t>prototipar</w:t>
      </w:r>
      <w:r>
        <w:t xml:space="preserve"> (protótipo visual, jornada de serviço, fluxo, piloto ou solução digital) e </w:t>
      </w:r>
      <w:r>
        <w:rPr>
          <w:b/>
        </w:rPr>
        <w:t>com quem</w:t>
      </w:r>
      <w:r>
        <w:t xml:space="preserve"> vai testar:</w:t>
      </w:r>
    </w:p>
    <w:p>
      <w:r>
        <w:rPr>
          <w:i/>
        </w:rPr>
        <w:t>(espaço para preenchimento)</w:t>
      </w:r>
    </w:p>
    <w:p>
      <w:pPr>
        <w:pStyle w:val="Heading1"/>
      </w:pPr>
      <w:r>
        <w:t>Checagem final antes de encerrar a Aula 3</w:t>
      </w:r>
    </w:p>
    <w:p>
      <w:r>
        <w:t>( ) A solução candidata realmente responde à pergunta "Como poderíamos" escolhida</w:t>
      </w:r>
    </w:p>
    <w:p>
      <w:r>
        <w:t>( ) "O que muda" do Modelo Lógico é o mesmo "Y" da Teoria da Mudança</w:t>
      </w:r>
    </w:p>
    <w:p>
      <w:r>
        <w:t>( ) O indicador de resultado mede esse "Y", não outra coisa</w:t>
      </w:r>
    </w:p>
    <w:p>
      <w:r>
        <w:t>( ) Já sabemos o que vamos prototipar e com quem vamos testar na Aula 4</w:t>
      </w:r>
    </w:p>
    <w:p>
      <w:pPr>
        <w:pStyle w:val="IntenseQuote"/>
      </w:pPr>
      <w:r>
        <w:t>Uma desconexão encontrada agora, com o docente por perto, é barata de corrigir. A mesma desconexão encontrada sozinho, em campo, na Aula 4, custa a semana inteira.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