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b/>
          <w:bCs/>
          <w:color w:val="3F6B33"/>
          <w:spacing w:val="20"/>
          <w:sz w:val="24"/>
          <w:szCs w:val="24"/>
        </w:rPr>
        <w:t xml:space="preserve">BMK ARCHITECTS</w:t>
      </w:r>
    </w:p>
    <w:p>
      <w:pPr>
        <w:pBdr>
          <w:bottom w:val="single" w:color="3F6B33" w:sz="12" w:space="8"/>
        </w:pBdr>
        <w:spacing w:after="500"/>
      </w:pPr>
      <w:r>
        <w:rPr>
          <w:b/>
          <w:bCs/>
          <w:color w:val="5B5B5B"/>
          <w:spacing w:val="16"/>
          <w:sz w:val="18"/>
          <w:szCs w:val="18"/>
        </w:rPr>
        <w:t xml:space="preserve">DOCUMENT MARKETING 01 / 04</w:t>
      </w:r>
    </w:p>
    <w:p>
      <w:pPr>
        <w:spacing w:after="240"/>
      </w:pPr>
      <w:r>
        <w:rPr>
          <w:b/>
          <w:bCs/>
          <w:color w:val="1A1A1A"/>
          <w:sz w:val="52"/>
          <w:szCs w:val="52"/>
        </w:rPr>
        <w:t xml:space="preserve">Contexte &amp; présentation de l'entreprise</w:t>
      </w:r>
    </w:p>
    <w:p>
      <w:pPr>
        <w:spacing w:after="1200"/>
      </w:pPr>
      <w:r>
        <w:rPr>
          <w:i/>
          <w:iCs/>
          <w:color w:val="5B5B5B"/>
          <w:sz w:val="26"/>
          <w:szCs w:val="26"/>
        </w:rPr>
        <w:t xml:space="preserve">BMK Architects — Cabinet d'architecture et de design, Yaoundé, Cameroun</w:t>
      </w:r>
    </w:p>
    <w:p>
      <w:pPr>
        <w:spacing w:after="80"/>
      </w:pPr>
      <w:r>
        <w:rPr>
          <w:b/>
          <w:bCs/>
          <w:color w:val="1A1A1A"/>
          <w:sz w:val="20"/>
          <w:szCs w:val="20"/>
        </w:rPr>
        <w:t xml:space="preserve">Préparé le :  </w:t>
      </w:r>
      <w:r>
        <w:rPr>
          <w:color w:val="5B5B5B"/>
          <w:sz w:val="20"/>
          <w:szCs w:val="20"/>
        </w:rPr>
        <w:t xml:space="preserve">2 août 2026</w:t>
      </w:r>
    </w:p>
    <w:p>
      <w:pPr>
        <w:spacing w:after="80"/>
      </w:pPr>
      <w:r>
        <w:rPr>
          <w:b/>
          <w:bCs/>
          <w:color w:val="1A1A1A"/>
          <w:sz w:val="20"/>
          <w:szCs w:val="20"/>
        </w:rPr>
        <w:t xml:space="preserve">Destinataire :  </w:t>
      </w:r>
      <w:r>
        <w:rPr>
          <w:color w:val="5B5B5B"/>
          <w:sz w:val="20"/>
          <w:szCs w:val="20"/>
        </w:rPr>
        <w:t xml:space="preserve">Équipe marketing BMK Architects</w:t>
      </w:r>
    </w:p>
    <w:p>
      <w:pPr>
        <w:spacing w:after="80"/>
      </w:pPr>
      <w:r>
        <w:rPr>
          <w:b/>
          <w:bCs/>
          <w:color w:val="1A1A1A"/>
          <w:sz w:val="20"/>
          <w:szCs w:val="20"/>
        </w:rPr>
        <w:t xml:space="preserve">Sources :  </w:t>
      </w:r>
      <w:r>
        <w:rPr>
          <w:color w:val="5B5B5B"/>
          <w:sz w:val="20"/>
          <w:szCs w:val="20"/>
        </w:rPr>
        <w:t xml:space="preserve">Site web bmkarchitects.com, profil Instagram @bmkarchitects, CV professionnel de l'Associé-Gérant</w:t>
      </w:r>
    </w:p>
    <w:p>
      <w:r>
        <w:br w:type="page"/>
      </w:r>
    </w:p>
    <w:p>
      <w:pPr>
        <w:pStyle w:val="Heading1"/>
        <w:pBdr>
          <w:bottom w:val="single" w:color="3F6B33" w:sz="6" w:space="4"/>
        </w:pBdr>
        <w:spacing w:after="200" w:before="420"/>
      </w:pPr>
      <w:r>
        <w:rPr>
          <w:b/>
          <w:bCs/>
          <w:color w:val="1A1A1A"/>
          <w:sz w:val="30"/>
          <w:szCs w:val="30"/>
        </w:rPr>
        <w:t xml:space="preserve">1. Carte d'identité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A1A1A" w:val="clear"/>
            <w:tcMar>
              <w:top w:type="dxa" w:w="90"/>
              <w:left w:type="dxa" w:w="110"/>
              <w:bottom w:type="dxa" w:w="90"/>
              <w:right w:type="dxa" w:w="110"/>
            </w:tcMar>
            <w:vAlign w:val="center"/>
          </w:tcPr>
          <w:p>
            <w:r>
              <w:rPr>
                <w:b/>
                <w:bCs/>
                <w:i w:val="false"/>
                <w:iCs w:val="false"/>
                <w:color w:val="FFFFFF"/>
                <w:sz w:val="19"/>
                <w:szCs w:val="19"/>
              </w:rPr>
              <w:t xml:space="preserve">Élément</w:t>
            </w:r>
          </w:p>
        </w:tc>
        <w:tc>
          <w:tcPr>
            <w:tcW w:type="dxa" w:w="6300"/>
            <w:shd w:fill="1A1A1A" w:val="clear"/>
            <w:tcMar>
              <w:top w:type="dxa" w:w="90"/>
              <w:left w:type="dxa" w:w="110"/>
              <w:bottom w:type="dxa" w:w="90"/>
              <w:right w:type="dxa" w:w="110"/>
            </w:tcMar>
            <w:vAlign w:val="center"/>
          </w:tcPr>
          <w:p>
            <w:r>
              <w:rPr>
                <w:b/>
                <w:bCs/>
                <w:i w:val="false"/>
                <w:iCs w:val="false"/>
                <w:color w:val="FFFFFF"/>
                <w:sz w:val="19"/>
                <w:szCs w:val="19"/>
              </w:rPr>
              <w:t xml:space="preserve">Détail</w:t>
            </w:r>
          </w:p>
        </w:tc>
      </w:tr>
      <w:tr>
        <w:tc>
          <w:tcPr>
            <w:tcW w:type="dxa" w:w="32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Raison sociale</w:t>
            </w:r>
          </w:p>
        </w:tc>
        <w:tc>
          <w:tcPr>
            <w:tcW w:type="dxa" w:w="63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BMK Architects</w:t>
            </w:r>
          </w:p>
        </w:tc>
      </w:tr>
      <w:tr>
        <w:tc>
          <w:tcPr>
            <w:tcW w:type="dxa" w:w="32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Nature</w:t>
            </w:r>
          </w:p>
        </w:tc>
        <w:tc>
          <w:tcPr>
            <w:tcW w:type="dxa" w:w="63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Cabinet d'architecture et de design</w:t>
            </w:r>
          </w:p>
        </w:tc>
      </w:tr>
      <w:tr>
        <w:tc>
          <w:tcPr>
            <w:tcW w:type="dxa" w:w="32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Année de création</w:t>
            </w:r>
          </w:p>
        </w:tc>
        <w:tc>
          <w:tcPr>
            <w:tcW w:type="dxa" w:w="63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2016</w:t>
            </w:r>
          </w:p>
        </w:tc>
      </w:tr>
      <w:tr>
        <w:tc>
          <w:tcPr>
            <w:tcW w:type="dxa" w:w="32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Ancienneté</w:t>
            </w:r>
          </w:p>
        </w:tc>
        <w:tc>
          <w:tcPr>
            <w:tcW w:type="dxa" w:w="63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10 ans d'exercice (revendiqués sur le site)</w:t>
            </w:r>
          </w:p>
        </w:tc>
      </w:tr>
      <w:tr>
        <w:tc>
          <w:tcPr>
            <w:tcW w:type="dxa" w:w="32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Siège</w:t>
            </w:r>
          </w:p>
        </w:tc>
        <w:tc>
          <w:tcPr>
            <w:tcW w:type="dxa" w:w="63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Yaoundé, Cameroun</w:t>
            </w:r>
          </w:p>
        </w:tc>
      </w:tr>
      <w:tr>
        <w:tc>
          <w:tcPr>
            <w:tcW w:type="dxa" w:w="32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Zone d'intervention observée</w:t>
            </w:r>
          </w:p>
        </w:tc>
        <w:tc>
          <w:tcPr>
            <w:tcW w:type="dxa" w:w="63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Yaoundé, Douala, Maroua — et projets d'infrastructures rurales (bassin de la Bénoué)</w:t>
            </w:r>
          </w:p>
        </w:tc>
      </w:tr>
      <w:tr>
        <w:tc>
          <w:tcPr>
            <w:tcW w:type="dxa" w:w="32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Site web</w:t>
            </w:r>
          </w:p>
        </w:tc>
        <w:tc>
          <w:tcPr>
            <w:tcW w:type="dxa" w:w="63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www.bmkarchitects.com</w:t>
            </w:r>
          </w:p>
        </w:tc>
      </w:tr>
      <w:tr>
        <w:tc>
          <w:tcPr>
            <w:tcW w:type="dxa" w:w="32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Instagram</w:t>
            </w:r>
          </w:p>
        </w:tc>
        <w:tc>
          <w:tcPr>
            <w:tcW w:type="dxa" w:w="63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@bmkarchitects — « Cabinet d'Architecture et de Design au Cameroun »</w:t>
            </w:r>
          </w:p>
        </w:tc>
      </w:tr>
      <w:tr>
        <w:tc>
          <w:tcPr>
            <w:tcW w:type="dxa" w:w="32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Dirigeants</w:t>
            </w:r>
          </w:p>
        </w:tc>
        <w:tc>
          <w:tcPr>
            <w:tcW w:type="dxa" w:w="63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Munkam Kuetche Christian (Associé-Gérant) — Messie Bissi Fidèle-Léger (Associé)</w:t>
            </w:r>
          </w:p>
        </w:tc>
      </w:tr>
    </w:tbl>
    <w:p>
      <w:pPr>
        <w:pStyle w:val="Heading1"/>
        <w:pBdr>
          <w:bottom w:val="single" w:color="3F6B33" w:sz="6" w:space="4"/>
        </w:pBdr>
        <w:spacing w:after="200" w:before="420"/>
      </w:pPr>
      <w:r>
        <w:rPr>
          <w:b/>
          <w:bCs/>
          <w:color w:val="1A1A1A"/>
          <w:sz w:val="30"/>
          <w:szCs w:val="30"/>
        </w:rPr>
        <w:t xml:space="preserve">2. Chiffres clés revendiqués par l'entreprise</w:t>
      </w:r>
    </w:p>
    <w:p>
      <w:pPr>
        <w:spacing w:after="160"/>
        <w:jc w:val="left"/>
      </w:pPr>
      <w:r>
        <w:rPr>
          <w:b w:val="false"/>
          <w:bCs w:val="false"/>
          <w:i w:val="false"/>
          <w:iCs w:val="false"/>
          <w:color w:val="1A1A1A"/>
          <w:sz w:val="21"/>
          <w:szCs w:val="21"/>
        </w:rPr>
        <w:t xml:space="preserve">Ces chiffres figurent en page d'accueil du site institutionnel et constituent la promesse chiffrée de la marque :</w:t>
      </w:r>
    </w:p>
    <w:p>
      <w:pPr>
        <w:pStyle w:val="ListParagraph"/>
        <w:numPr>
          <w:ilvl w:val="0"/>
          <w:numId w:val="2"/>
        </w:numPr>
        <w:spacing w:after="90"/>
      </w:pPr>
      <w:r>
        <w:rPr>
          <w:b/>
          <w:bCs/>
          <w:color w:val="1A1A1A"/>
          <w:sz w:val="21"/>
          <w:szCs w:val="21"/>
        </w:rPr>
        <w:t xml:space="preserve">10 ans </w:t>
      </w:r>
      <w:r>
        <w:rPr>
          <w:color w:val="1A1A1A"/>
          <w:sz w:val="21"/>
          <w:szCs w:val="21"/>
        </w:rPr>
        <w:t xml:space="preserve">— d'expérience et de pratique architecturale au Cameroun.</w:t>
      </w:r>
    </w:p>
    <w:p>
      <w:pPr>
        <w:pStyle w:val="ListParagraph"/>
        <w:numPr>
          <w:ilvl w:val="0"/>
          <w:numId w:val="2"/>
        </w:numPr>
        <w:spacing w:after="90"/>
      </w:pPr>
      <w:r>
        <w:rPr>
          <w:b/>
          <w:bCs/>
          <w:color w:val="1A1A1A"/>
          <w:sz w:val="21"/>
          <w:szCs w:val="21"/>
        </w:rPr>
        <w:t xml:space="preserve">42 projets </w:t>
      </w:r>
      <w:r>
        <w:rPr>
          <w:color w:val="1A1A1A"/>
          <w:sz w:val="21"/>
          <w:szCs w:val="21"/>
        </w:rPr>
        <w:t xml:space="preserve">— réalisés ou en cours, tous secteurs confondus.</w:t>
      </w:r>
    </w:p>
    <w:p>
      <w:pPr>
        <w:pStyle w:val="ListParagraph"/>
        <w:numPr>
          <w:ilvl w:val="0"/>
          <w:numId w:val="2"/>
        </w:numPr>
        <w:spacing w:after="90"/>
      </w:pPr>
      <w:r>
        <w:rPr>
          <w:b/>
          <w:bCs/>
          <w:color w:val="1A1A1A"/>
          <w:sz w:val="21"/>
          <w:szCs w:val="21"/>
        </w:rPr>
        <w:t xml:space="preserve">0 compromis </w:t>
      </w:r>
      <w:r>
        <w:rPr>
          <w:color w:val="1A1A1A"/>
          <w:sz w:val="21"/>
          <w:szCs w:val="21"/>
        </w:rPr>
        <w:t xml:space="preserve">— baseline qui positionne la marque sur l'exigence et la rigueur qualité, plutôt que sur le volume ou le prix.</w:t>
      </w:r>
    </w:p>
    <w:p>
      <w:pPr>
        <w:pStyle w:val="Heading1"/>
        <w:pBdr>
          <w:bottom w:val="single" w:color="3F6B33" w:sz="6" w:space="4"/>
        </w:pBdr>
        <w:spacing w:after="200" w:before="420"/>
      </w:pPr>
      <w:r>
        <w:rPr>
          <w:b/>
          <w:bCs/>
          <w:color w:val="1A1A1A"/>
          <w:sz w:val="30"/>
          <w:szCs w:val="30"/>
        </w:rPr>
        <w:t xml:space="preserve">3. Positionnement de marque (tel qu'exprimé par l'entreprise)</w:t>
      </w:r>
    </w:p>
    <w:p>
      <w:pPr>
        <w:pBdr>
          <w:left w:val="single" w:color="5B5B5B" w:sz="12" w:space="6"/>
        </w:pBdr>
        <w:shd w:fill="F2F2F2" w:val="clear"/>
        <w:spacing w:after="200" w:before="100"/>
        <w:ind w:left="100"/>
      </w:pPr>
      <w:r>
        <w:rPr>
          <w:i/>
          <w:iCs/>
          <w:color w:val="5B5B5B"/>
          <w:sz w:val="19"/>
          <w:szCs w:val="19"/>
        </w:rPr>
        <w:t xml:space="preserve">« BMK Architects imagine et réalise depuis plus de 10 ans des projets où l'innovation, la fonctionnalité et l'esthétique se rencontrent, pour créer des espaces durables et porteurs de sens. » — Page d'accueil, bmkarchitects.com</w:t>
      </w:r>
    </w:p>
    <w:p>
      <w:pPr>
        <w:spacing w:after="160"/>
        <w:jc w:val="left"/>
      </w:pPr>
      <w:r>
        <w:rPr>
          <w:b w:val="false"/>
          <w:bCs w:val="false"/>
          <w:i w:val="false"/>
          <w:iCs w:val="false"/>
          <w:color w:val="1A1A1A"/>
          <w:sz w:val="21"/>
          <w:szCs w:val="21"/>
        </w:rPr>
        <w:t xml:space="preserve">Le site précise que le cabinet « accompagne des projets institutionnels, commerciaux et résidentiels en développant des solutions adaptées aux besoins de chaque client, avec une attention particulière portée à l'expérience des usagers, à la qualité architecturale et à la maîtrise technique ». L'entreprise met en avant une « équipe pluridisciplinaire et un réseau de partenaires qualifiés » et une « approche collaborative et rigoureuse ».</w:t>
      </w:r>
    </w:p>
    <w:p>
      <w:pPr>
        <w:spacing w:after="160"/>
        <w:jc w:val="left"/>
      </w:pPr>
      <w:r>
        <w:rPr>
          <w:b w:val="false"/>
          <w:bCs w:val="false"/>
          <w:i w:val="false"/>
          <w:iCs w:val="false"/>
          <w:color w:val="1A1A1A"/>
          <w:sz w:val="21"/>
          <w:szCs w:val="21"/>
        </w:rPr>
        <w:t xml:space="preserve">Trois idées-forces ressortent du discours de marque : la durabilité, l'intégration au contexte/environnement, et la rigueur technique — plus que le style architectural en tant que tel.</w:t>
      </w:r>
    </w:p>
    <w:p>
      <w:pPr>
        <w:pStyle w:val="Heading1"/>
        <w:pBdr>
          <w:bottom w:val="single" w:color="3F6B33" w:sz="6" w:space="4"/>
        </w:pBdr>
        <w:spacing w:after="200" w:before="420"/>
      </w:pPr>
      <w:r>
        <w:rPr>
          <w:b/>
          <w:bCs/>
          <w:color w:val="1A1A1A"/>
          <w:sz w:val="30"/>
          <w:szCs w:val="30"/>
        </w:rPr>
        <w:t xml:space="preserve">4. Équipe dirigeante</w:t>
      </w:r>
    </w:p>
    <w:p>
      <w:pPr>
        <w:pStyle w:val="Heading2"/>
        <w:spacing w:after="140" w:before="300"/>
      </w:pPr>
      <w:r>
        <w:rPr>
          <w:b/>
          <w:bCs/>
          <w:color w:val="3F6B33"/>
          <w:sz w:val="24"/>
          <w:szCs w:val="24"/>
        </w:rPr>
        <w:t xml:space="preserve">4.1 Munkam Kuetche Christian — Associé-Gérant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A1A1A" w:val="clear"/>
            <w:tcMar>
              <w:top w:type="dxa" w:w="90"/>
              <w:left w:type="dxa" w:w="110"/>
              <w:bottom w:type="dxa" w:w="90"/>
              <w:right w:type="dxa" w:w="110"/>
            </w:tcMar>
            <w:vAlign w:val="center"/>
          </w:tcPr>
          <w:p>
            <w:r>
              <w:rPr>
                <w:b/>
                <w:bCs/>
                <w:i w:val="false"/>
                <w:iCs w:val="false"/>
                <w:color w:val="FFFFFF"/>
                <w:sz w:val="19"/>
                <w:szCs w:val="19"/>
              </w:rPr>
              <w:t xml:space="preserve">Élément</w:t>
            </w:r>
          </w:p>
        </w:tc>
        <w:tc>
          <w:tcPr>
            <w:tcW w:type="dxa" w:w="6300"/>
            <w:shd w:fill="1A1A1A" w:val="clear"/>
            <w:tcMar>
              <w:top w:type="dxa" w:w="90"/>
              <w:left w:type="dxa" w:w="110"/>
              <w:bottom w:type="dxa" w:w="90"/>
              <w:right w:type="dxa" w:w="110"/>
            </w:tcMar>
            <w:vAlign w:val="center"/>
          </w:tcPr>
          <w:p>
            <w:r>
              <w:rPr>
                <w:b/>
                <w:bCs/>
                <w:i w:val="false"/>
                <w:iCs w:val="false"/>
                <w:color w:val="FFFFFF"/>
                <w:sz w:val="19"/>
                <w:szCs w:val="19"/>
              </w:rPr>
              <w:t xml:space="preserve">Détail</w:t>
            </w:r>
          </w:p>
        </w:tc>
      </w:tr>
      <w:tr>
        <w:tc>
          <w:tcPr>
            <w:tcW w:type="dxa" w:w="32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Fonction</w:t>
            </w:r>
          </w:p>
        </w:tc>
        <w:tc>
          <w:tcPr>
            <w:tcW w:type="dxa" w:w="63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Associé-Gérant, fondateur (juillet 2016 à ce jour)</w:t>
            </w:r>
          </w:p>
        </w:tc>
      </w:tr>
      <w:tr>
        <w:tc>
          <w:tcPr>
            <w:tcW w:type="dxa" w:w="32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Formation</w:t>
            </w:r>
          </w:p>
        </w:tc>
        <w:tc>
          <w:tcPr>
            <w:tcW w:type="dxa" w:w="63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Master II en Architecture — École Africaine des Métiers de l'Architecture et de l'Urbanisme (EAMAU), Lomé, Togo (2010–2015)</w:t>
            </w:r>
          </w:p>
        </w:tc>
      </w:tr>
      <w:tr>
        <w:tc>
          <w:tcPr>
            <w:tcW w:type="dxa" w:w="32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Inscription professionnelle</w:t>
            </w:r>
          </w:p>
        </w:tc>
        <w:tc>
          <w:tcPr>
            <w:tcW w:type="dxa" w:w="63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Architecte DEIAU — Ordre National des Architectes du Cameroun (ONAC) N°314</w:t>
            </w:r>
          </w:p>
        </w:tc>
      </w:tr>
      <w:tr>
        <w:tc>
          <w:tcPr>
            <w:tcW w:type="dxa" w:w="32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Expérience</w:t>
            </w:r>
          </w:p>
        </w:tc>
        <w:tc>
          <w:tcPr>
            <w:tcW w:type="dxa" w:w="63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11 ans (dont 1 an comme architecte stagiaire au Cabinet 3A, 2015–2016)</w:t>
            </w:r>
          </w:p>
        </w:tc>
      </w:tr>
      <w:tr>
        <w:tc>
          <w:tcPr>
            <w:tcW w:type="dxa" w:w="32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Logiciels</w:t>
            </w:r>
          </w:p>
        </w:tc>
        <w:tc>
          <w:tcPr>
            <w:tcW w:type="dxa" w:w="63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ArchiCAD, Revit Architecture, Enscape, MS Project</w:t>
            </w:r>
          </w:p>
        </w:tc>
      </w:tr>
      <w:tr>
        <w:tc>
          <w:tcPr>
            <w:tcW w:type="dxa" w:w="32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Langues</w:t>
            </w:r>
          </w:p>
        </w:tc>
        <w:tc>
          <w:tcPr>
            <w:tcW w:type="dxa" w:w="63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Français (excellent) — Anglais (bon)</w:t>
            </w:r>
          </w:p>
        </w:tc>
      </w:tr>
    </w:tbl>
    <w:p>
      <w:pPr>
        <w:spacing w:after="200"/>
        <w:jc w:val="left"/>
      </w:pPr>
      <w:r>
        <w:rPr>
          <w:b w:val="false"/>
          <w:bCs w:val="false"/>
          <w:i w:val="false"/>
          <w:iCs w:val="false"/>
          <w:color w:val="1A1A1A"/>
          <w:sz w:val="21"/>
          <w:szCs w:val="21"/>
        </w:rPr>
        <w:t xml:space="preserve">Vision exprimée sur le site : « Pour lui, l'architecture est avant tout une histoire d'idées qui prennent forme. Passionné par le processus de conception autant que par la vie du chantier, il apprécie le dialogue permanent entre le dessin et la matière, entre la vision initiale et sa concrétisation sur le terrain. Chaque projet représente une occasion de créer des espaces justes, durables et profondément ancrés dans leur contexte. »</w:t>
      </w:r>
    </w:p>
    <w:p>
      <w:pPr>
        <w:pStyle w:val="Heading2"/>
        <w:spacing w:after="140" w:before="300"/>
      </w:pPr>
      <w:r>
        <w:rPr>
          <w:b/>
          <w:bCs/>
          <w:color w:val="3F6B33"/>
          <w:sz w:val="24"/>
          <w:szCs w:val="24"/>
        </w:rPr>
        <w:t xml:space="preserve">4.2 Messie Bissi Fidèle-Léger — Associé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A1A1A" w:val="clear"/>
            <w:tcMar>
              <w:top w:type="dxa" w:w="90"/>
              <w:left w:type="dxa" w:w="110"/>
              <w:bottom w:type="dxa" w:w="90"/>
              <w:right w:type="dxa" w:w="110"/>
            </w:tcMar>
            <w:vAlign w:val="center"/>
          </w:tcPr>
          <w:p>
            <w:r>
              <w:rPr>
                <w:b/>
                <w:bCs/>
                <w:i w:val="false"/>
                <w:iCs w:val="false"/>
                <w:color w:val="FFFFFF"/>
                <w:sz w:val="19"/>
                <w:szCs w:val="19"/>
              </w:rPr>
              <w:t xml:space="preserve">Élément</w:t>
            </w:r>
          </w:p>
        </w:tc>
        <w:tc>
          <w:tcPr>
            <w:tcW w:type="dxa" w:w="6300"/>
            <w:shd w:fill="1A1A1A" w:val="clear"/>
            <w:tcMar>
              <w:top w:type="dxa" w:w="90"/>
              <w:left w:type="dxa" w:w="110"/>
              <w:bottom w:type="dxa" w:w="90"/>
              <w:right w:type="dxa" w:w="110"/>
            </w:tcMar>
            <w:vAlign w:val="center"/>
          </w:tcPr>
          <w:p>
            <w:r>
              <w:rPr>
                <w:b/>
                <w:bCs/>
                <w:i w:val="false"/>
                <w:iCs w:val="false"/>
                <w:color w:val="FFFFFF"/>
                <w:sz w:val="19"/>
                <w:szCs w:val="19"/>
              </w:rPr>
              <w:t xml:space="preserve">Détail</w:t>
            </w:r>
          </w:p>
        </w:tc>
      </w:tr>
      <w:tr>
        <w:tc>
          <w:tcPr>
            <w:tcW w:type="dxa" w:w="32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Fonction</w:t>
            </w:r>
          </w:p>
        </w:tc>
        <w:tc>
          <w:tcPr>
            <w:tcW w:type="dxa" w:w="63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Associé</w:t>
            </w:r>
          </w:p>
        </w:tc>
      </w:tr>
      <w:tr>
        <w:tc>
          <w:tcPr>
            <w:tcW w:type="dxa" w:w="32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Formation</w:t>
            </w:r>
          </w:p>
        </w:tc>
        <w:tc>
          <w:tcPr>
            <w:tcW w:type="dxa" w:w="63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EAMAU, Lomé, Togo (2012)</w:t>
            </w:r>
          </w:p>
        </w:tc>
      </w:tr>
      <w:tr>
        <w:tc>
          <w:tcPr>
            <w:tcW w:type="dxa" w:w="32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Inscription professionnelle</w:t>
            </w:r>
          </w:p>
        </w:tc>
        <w:tc>
          <w:tcPr>
            <w:tcW w:type="dxa" w:w="63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Architecte-Urbaniste DEIAU — ONAC N°316</w:t>
            </w:r>
          </w:p>
        </w:tc>
      </w:tr>
    </w:tbl>
    <w:p>
      <w:pPr>
        <w:spacing w:after="100"/>
        <w:jc w:val="left"/>
      </w:pPr>
      <w:r>
        <w:rPr>
          <w:b w:val="false"/>
          <w:bCs w:val="false"/>
          <w:i w:val="false"/>
          <w:iCs w:val="false"/>
          <w:color w:val="1A1A1A"/>
          <w:sz w:val="21"/>
          <w:szCs w:val="21"/>
        </w:rPr>
        <w:t xml:space="preserve">Vision exprimée sur le site : « Particulièrement passionné par le design architectural et la réflexion urbaine, il aborde chaque projet comme une opportunité de créer des lieux harmonieux, où le bâtiment dialogue avec son environnement et participe à la qualité du cadre de vie. Sa vision urbanistique lui permet d'inscrire chaque réalisation dans une réflexion plus large, attentive aux usages, aux mobilités et à l'évolution des territoires. »</w:t>
      </w:r>
    </w:p>
    <w:p>
      <w:pPr>
        <w:pBdr>
          <w:left w:val="single" w:color="5B5B5B" w:sz="12" w:space="6"/>
        </w:pBdr>
        <w:shd w:fill="F2F2F2" w:val="clear"/>
        <w:spacing w:after="200" w:before="100"/>
        <w:ind w:left="100"/>
      </w:pPr>
      <w:r>
        <w:rPr>
          <w:i/>
          <w:iCs/>
          <w:color w:val="5B5B5B"/>
          <w:sz w:val="19"/>
          <w:szCs w:val="19"/>
        </w:rPr>
        <w:t xml:space="preserve">La double compétence Architecte-Urbaniste au sein du duo dirigeant est un atout à valoriser : elle permet au cabinet de couvrir à la fois l'échelle du bâtiment et l'échelle du quartier/de la ville (cf. projet Ngoulemekong, doc. suivant).</w:t>
      </w:r>
    </w:p>
    <w:p>
      <w:pPr>
        <w:pStyle w:val="Heading1"/>
        <w:pBdr>
          <w:bottom w:val="single" w:color="3F6B33" w:sz="6" w:space="4"/>
        </w:pBdr>
        <w:spacing w:after="200" w:before="420"/>
      </w:pPr>
      <w:r>
        <w:rPr>
          <w:b/>
          <w:bCs/>
          <w:color w:val="1A1A1A"/>
          <w:sz w:val="30"/>
          <w:szCs w:val="30"/>
        </w:rPr>
        <w:t xml:space="preserve">5. Portefeuille de projets et de références clients (vérifié)</w:t>
      </w:r>
    </w:p>
    <w:p>
      <w:pPr>
        <w:spacing w:after="160"/>
        <w:jc w:val="left"/>
      </w:pPr>
      <w:r>
        <w:rPr>
          <w:b w:val="false"/>
          <w:bCs w:val="false"/>
          <w:i w:val="false"/>
          <w:iCs w:val="false"/>
          <w:color w:val="1A1A1A"/>
          <w:sz w:val="21"/>
          <w:szCs w:val="21"/>
        </w:rPr>
        <w:t xml:space="preserve">Les missions listées ci-dessous sont documentées dans le CV professionnel de l'Associé-Gérant et recoupées, quand c'est le cas, avec les fiches projets publiées sur le site. Elles montrent un ancrage institutionnel et bancaire nettement plus fort que ce que laisse percevoir la communication actuelle sur Instagram (voir Document 02).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000"/>
        <w:gridCol w:w="1400"/>
      </w:tblGrid>
      <w:tr>
        <w:trPr>
          <w:tblHeader/>
        </w:trPr>
        <w:tc>
          <w:tcPr>
            <w:tcW w:type="dxa" w:w="1500"/>
            <w:shd w:fill="1A1A1A" w:val="clear"/>
            <w:tcMar>
              <w:top w:type="dxa" w:w="90"/>
              <w:left w:type="dxa" w:w="110"/>
              <w:bottom w:type="dxa" w:w="90"/>
              <w:right w:type="dxa" w:w="110"/>
            </w:tcMar>
            <w:vAlign w:val="center"/>
          </w:tcPr>
          <w:p>
            <w:r>
              <w:rPr>
                <w:b/>
                <w:bCs/>
                <w:i w:val="false"/>
                <w:iCs w:val="false"/>
                <w:color w:val="FFFFFF"/>
                <w:sz w:val="19"/>
                <w:szCs w:val="19"/>
              </w:rPr>
              <w:t xml:space="preserve">Période</w:t>
            </w:r>
          </w:p>
        </w:tc>
        <w:tc>
          <w:tcPr>
            <w:tcW w:type="dxa" w:w="3600"/>
            <w:shd w:fill="1A1A1A" w:val="clear"/>
            <w:tcMar>
              <w:top w:type="dxa" w:w="90"/>
              <w:left w:type="dxa" w:w="110"/>
              <w:bottom w:type="dxa" w:w="90"/>
              <w:right w:type="dxa" w:w="110"/>
            </w:tcMar>
            <w:vAlign w:val="center"/>
          </w:tcPr>
          <w:p>
            <w:r>
              <w:rPr>
                <w:b/>
                <w:bCs/>
                <w:i w:val="false"/>
                <w:iCs w:val="false"/>
                <w:color w:val="FFFFFF"/>
                <w:sz w:val="19"/>
                <w:szCs w:val="19"/>
              </w:rPr>
              <w:t xml:space="preserve">Client / Projet</w:t>
            </w:r>
          </w:p>
        </w:tc>
        <w:tc>
          <w:tcPr>
            <w:tcW w:type="dxa" w:w="3000"/>
            <w:shd w:fill="1A1A1A" w:val="clear"/>
            <w:tcMar>
              <w:top w:type="dxa" w:w="90"/>
              <w:left w:type="dxa" w:w="110"/>
              <w:bottom w:type="dxa" w:w="90"/>
              <w:right w:type="dxa" w:w="110"/>
            </w:tcMar>
            <w:vAlign w:val="center"/>
          </w:tcPr>
          <w:p>
            <w:r>
              <w:rPr>
                <w:b/>
                <w:bCs/>
                <w:i w:val="false"/>
                <w:iCs w:val="false"/>
                <w:color w:val="FFFFFF"/>
                <w:sz w:val="19"/>
                <w:szCs w:val="19"/>
              </w:rPr>
              <w:t xml:space="preserve">Rôle &amp; mission</w:t>
            </w:r>
          </w:p>
        </w:tc>
        <w:tc>
          <w:tcPr>
            <w:tcW w:type="dxa" w:w="1400"/>
            <w:shd w:fill="1A1A1A" w:val="clear"/>
            <w:tcMar>
              <w:top w:type="dxa" w:w="90"/>
              <w:left w:type="dxa" w:w="110"/>
              <w:bottom w:type="dxa" w:w="90"/>
              <w:right w:type="dxa" w:w="110"/>
            </w:tcMar>
            <w:vAlign w:val="center"/>
          </w:tcPr>
          <w:p>
            <w:r>
              <w:rPr>
                <w:b/>
                <w:bCs/>
                <w:i w:val="false"/>
                <w:iCs w:val="false"/>
                <w:color w:val="FFFFFF"/>
                <w:sz w:val="19"/>
                <w:szCs w:val="19"/>
              </w:rPr>
              <w:t xml:space="preserve">Montant TTC</w:t>
            </w:r>
          </w:p>
        </w:tc>
      </w:tr>
      <w:tr>
        <w:tc>
          <w:tcPr>
            <w:tcW w:type="dxa" w:w="15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Déc. 2024 – juin 2025</w:t>
            </w:r>
          </w:p>
        </w:tc>
        <w:tc>
          <w:tcPr>
            <w:tcW w:type="dxa" w:w="36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Banque Africaine de Développement (BAD) — bureau régional, Yaoundé (3SS/R+7)</w:t>
            </w:r>
          </w:p>
        </w:tc>
        <w:tc>
          <w:tcPr>
            <w:tcW w:type="dxa" w:w="30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Architecte d'Opération — co-conception phase APS</w:t>
            </w:r>
          </w:p>
        </w:tc>
        <w:tc>
          <w:tcPr>
            <w:tcW w:type="dxa" w:w="14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23 381 000 500 FCFA</w:t>
            </w:r>
          </w:p>
        </w:tc>
      </w:tr>
      <w:tr>
        <w:tc>
          <w:tcPr>
            <w:tcW w:type="dxa" w:w="15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Juil. 2024 – nov. 2025</w:t>
            </w:r>
          </w:p>
        </w:tc>
        <w:tc>
          <w:tcPr>
            <w:tcW w:type="dxa" w:w="36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CNPS — réhabilitation immeuble Mvog-Bi, Essos, Yaoundé (1SS+R+7, 3 200 m²)</w:t>
            </w:r>
          </w:p>
        </w:tc>
        <w:tc>
          <w:tcPr>
            <w:tcW w:type="dxa" w:w="30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Architecte Associé — état des lieux, conception APS/APD/DCE</w:t>
            </w:r>
          </w:p>
        </w:tc>
        <w:tc>
          <w:tcPr>
            <w:tcW w:type="dxa" w:w="14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1 253 564 500 FCFA</w:t>
            </w:r>
          </w:p>
        </w:tc>
      </w:tr>
      <w:tr>
        <w:tc>
          <w:tcPr>
            <w:tcW w:type="dxa" w:w="15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Juin 2024 – en cours</w:t>
            </w:r>
          </w:p>
        </w:tc>
        <w:tc>
          <w:tcPr>
            <w:tcW w:type="dxa" w:w="36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BEAC — résidence du Gouverneur, Yaoundé Hippodrome</w:t>
            </w:r>
          </w:p>
        </w:tc>
        <w:tc>
          <w:tcPr>
            <w:tcW w:type="dxa" w:w="30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Architecte Associé — état des lieux, conception APS/APD/DCE, suivi travaux</w:t>
            </w:r>
          </w:p>
        </w:tc>
        <w:tc>
          <w:tcPr>
            <w:tcW w:type="dxa" w:w="14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657 280 000 FCFA</w:t>
            </w:r>
          </w:p>
        </w:tc>
      </w:tr>
      <w:tr>
        <w:tc>
          <w:tcPr>
            <w:tcW w:type="dxa" w:w="15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Août – oct. 2024</w:t>
            </w:r>
          </w:p>
        </w:tc>
        <w:tc>
          <w:tcPr>
            <w:tcW w:type="dxa" w:w="36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Crédit Foncier du Cameroun — agence Yaoundé</w:t>
            </w:r>
          </w:p>
        </w:tc>
        <w:tc>
          <w:tcPr>
            <w:tcW w:type="dxa" w:w="30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Architecte Associé — état des lieux, conception APS/APD/DCE</w:t>
            </w:r>
          </w:p>
        </w:tc>
        <w:tc>
          <w:tcPr>
            <w:tcW w:type="dxa" w:w="14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585 568 000 FCFA</w:t>
            </w:r>
          </w:p>
        </w:tc>
      </w:tr>
      <w:tr>
        <w:tc>
          <w:tcPr>
            <w:tcW w:type="dxa" w:w="15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Fév. – oct. 2023</w:t>
            </w:r>
          </w:p>
        </w:tc>
        <w:tc>
          <w:tcPr>
            <w:tcW w:type="dxa" w:w="36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VIVA-Bénoué — infrastructures à construire/réhabiliter</w:t>
            </w:r>
          </w:p>
        </w:tc>
        <w:tc>
          <w:tcPr>
            <w:tcW w:type="dxa" w:w="30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Architecte Senior — conception APS/APD/DCE</w:t>
            </w:r>
          </w:p>
        </w:tc>
        <w:tc>
          <w:tcPr>
            <w:tcW w:type="dxa" w:w="14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705 691 330 FCFA</w:t>
            </w:r>
          </w:p>
        </w:tc>
      </w:tr>
      <w:tr>
        <w:tc>
          <w:tcPr>
            <w:tcW w:type="dxa" w:w="15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Oct. 2021 – fév. 2022</w:t>
            </w:r>
          </w:p>
        </w:tc>
        <w:tc>
          <w:tcPr>
            <w:tcW w:type="dxa" w:w="36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TOTAL — station-service Pont Makabaye, Maroua</w:t>
            </w:r>
          </w:p>
        </w:tc>
        <w:tc>
          <w:tcPr>
            <w:tcW w:type="dxa" w:w="30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Architecte Senior — conception APS/APD/DCE, suivi travaux</w:t>
            </w:r>
          </w:p>
        </w:tc>
        <w:tc>
          <w:tcPr>
            <w:tcW w:type="dxa" w:w="14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824 568 236 FCFA</w:t>
            </w:r>
          </w:p>
        </w:tc>
      </w:tr>
      <w:tr>
        <w:tc>
          <w:tcPr>
            <w:tcW w:type="dxa" w:w="15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Fév. 2017 – avril 2018</w:t>
            </w:r>
          </w:p>
        </w:tc>
        <w:tc>
          <w:tcPr>
            <w:tcW w:type="dxa" w:w="36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MAETUR — lotissement Ngoulemekong, Yaoundé (437 logements, Opération N°183)</w:t>
            </w:r>
          </w:p>
        </w:tc>
        <w:tc>
          <w:tcPr>
            <w:tcW w:type="dxa" w:w="30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Architecte Junior — plan d'épannelage, conception APS/APD/DCE</w:t>
            </w:r>
          </w:p>
        </w:tc>
        <w:tc>
          <w:tcPr>
            <w:tcW w:type="dxa" w:w="14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N/A</w:t>
            </w:r>
          </w:p>
        </w:tc>
      </w:tr>
      <w:tr>
        <w:tc>
          <w:tcPr>
            <w:tcW w:type="dxa" w:w="15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Jan. – sept. 2016</w:t>
            </w:r>
          </w:p>
        </w:tc>
        <w:tc>
          <w:tcPr>
            <w:tcW w:type="dxa" w:w="36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PIDMA — infrastructures de 24 coopératives agricoles (génération II)</w:t>
            </w:r>
          </w:p>
        </w:tc>
        <w:tc>
          <w:tcPr>
            <w:tcW w:type="dxa" w:w="30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Architecte Junior — conception APS/APD/DCE, suivi travaux</w:t>
            </w:r>
          </w:p>
        </w:tc>
        <w:tc>
          <w:tcPr>
            <w:tcW w:type="dxa" w:w="14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1 445 569 224 FCFA</w:t>
            </w:r>
          </w:p>
        </w:tc>
      </w:tr>
    </w:tbl>
    <w:p>
      <w:pPr>
        <w:pBdr>
          <w:left w:val="single" w:color="5B5B5B" w:sz="12" w:space="6"/>
        </w:pBdr>
        <w:shd w:fill="F2F2F2" w:val="clear"/>
        <w:spacing w:after="200" w:before="100"/>
        <w:ind w:left="100"/>
      </w:pPr>
      <w:r>
        <w:rPr>
          <w:i/>
          <w:iCs/>
          <w:color w:val="5B5B5B"/>
          <w:sz w:val="19"/>
          <w:szCs w:val="19"/>
        </w:rPr>
        <w:t xml:space="preserve">Les montants ci-dessus sont issus d'un document RH interne (CV) et non de communications publiques de l'entreprise. À usage strictement interne pour calibrer le discours marketing (taille de projets, crédibilité) ; ne pas publier de montants précis en communication externe sans validation préalable de la direction.</w:t>
      </w:r>
    </w:p>
    <w:p>
      <w:pPr>
        <w:pStyle w:val="Heading1"/>
        <w:pBdr>
          <w:bottom w:val="single" w:color="3F6B33" w:sz="6" w:space="4"/>
        </w:pBdr>
        <w:spacing w:after="200" w:before="420"/>
      </w:pPr>
      <w:r>
        <w:rPr>
          <w:b/>
          <w:bCs/>
          <w:color w:val="1A1A1A"/>
          <w:sz w:val="30"/>
          <w:szCs w:val="30"/>
        </w:rPr>
        <w:t xml:space="preserve">6. Autres réalisations identifiées sur le portefeuille public (site &amp; Instagram)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1900"/>
        <w:gridCol w:w="3200"/>
      </w:tblGrid>
      <w:tr>
        <w:trPr>
          <w:tblHeader/>
        </w:trPr>
        <w:tc>
          <w:tcPr>
            <w:tcW w:type="dxa" w:w="1900"/>
            <w:shd w:fill="1A1A1A" w:val="clear"/>
            <w:tcMar>
              <w:top w:type="dxa" w:w="90"/>
              <w:left w:type="dxa" w:w="110"/>
              <w:bottom w:type="dxa" w:w="90"/>
              <w:right w:type="dxa" w:w="110"/>
            </w:tcMar>
            <w:vAlign w:val="center"/>
          </w:tcPr>
          <w:p>
            <w:r>
              <w:rPr>
                <w:b/>
                <w:bCs/>
                <w:i w:val="false"/>
                <w:iCs w:val="false"/>
                <w:color w:val="FFFFFF"/>
                <w:sz w:val="19"/>
                <w:szCs w:val="19"/>
              </w:rPr>
              <w:t xml:space="preserve">Nom / repère projet</w:t>
            </w:r>
          </w:p>
        </w:tc>
        <w:tc>
          <w:tcPr>
            <w:tcW w:type="dxa" w:w="2500"/>
            <w:shd w:fill="1A1A1A" w:val="clear"/>
            <w:tcMar>
              <w:top w:type="dxa" w:w="90"/>
              <w:left w:type="dxa" w:w="110"/>
              <w:bottom w:type="dxa" w:w="90"/>
              <w:right w:type="dxa" w:w="110"/>
            </w:tcMar>
            <w:vAlign w:val="center"/>
          </w:tcPr>
          <w:p>
            <w:r>
              <w:rPr>
                <w:b/>
                <w:bCs/>
                <w:i w:val="false"/>
                <w:iCs w:val="false"/>
                <w:color w:val="FFFFFF"/>
                <w:sz w:val="19"/>
                <w:szCs w:val="19"/>
              </w:rPr>
              <w:t xml:space="preserve">Type</w:t>
            </w:r>
          </w:p>
        </w:tc>
        <w:tc>
          <w:tcPr>
            <w:tcW w:type="dxa" w:w="1900"/>
            <w:shd w:fill="1A1A1A" w:val="clear"/>
            <w:tcMar>
              <w:top w:type="dxa" w:w="90"/>
              <w:left w:type="dxa" w:w="110"/>
              <w:bottom w:type="dxa" w:w="90"/>
              <w:right w:type="dxa" w:w="110"/>
            </w:tcMar>
            <w:vAlign w:val="center"/>
          </w:tcPr>
          <w:p>
            <w:r>
              <w:rPr>
                <w:b/>
                <w:bCs/>
                <w:i w:val="false"/>
                <w:iCs w:val="false"/>
                <w:color w:val="FFFFFF"/>
                <w:sz w:val="19"/>
                <w:szCs w:val="19"/>
              </w:rPr>
              <w:t xml:space="preserve">Localisation</w:t>
            </w:r>
          </w:p>
        </w:tc>
        <w:tc>
          <w:tcPr>
            <w:tcW w:type="dxa" w:w="3200"/>
            <w:shd w:fill="1A1A1A" w:val="clear"/>
            <w:tcMar>
              <w:top w:type="dxa" w:w="90"/>
              <w:left w:type="dxa" w:w="110"/>
              <w:bottom w:type="dxa" w:w="90"/>
              <w:right w:type="dxa" w:w="110"/>
            </w:tcMar>
            <w:vAlign w:val="center"/>
          </w:tcPr>
          <w:p>
            <w:r>
              <w:rPr>
                <w:b/>
                <w:bCs/>
                <w:i w:val="false"/>
                <w:iCs w:val="false"/>
                <w:color w:val="FFFFFF"/>
                <w:sz w:val="19"/>
                <w:szCs w:val="19"/>
              </w:rPr>
              <w:t xml:space="preserve">Détail</w:t>
            </w:r>
          </w:p>
        </w:tc>
      </w:tr>
      <w:tr>
        <w:tc>
          <w:tcPr>
            <w:tcW w:type="dxa" w:w="19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Atlas</w:t>
            </w:r>
          </w:p>
        </w:tc>
        <w:tc>
          <w:tcPr>
            <w:tcW w:type="dxa" w:w="25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Résidence collective privée (R+4)</w:t>
            </w:r>
          </w:p>
        </w:tc>
        <w:tc>
          <w:tcPr>
            <w:tcW w:type="dxa" w:w="19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Yaoundé</w:t>
            </w:r>
          </w:p>
        </w:tc>
        <w:tc>
          <w:tcPr>
            <w:tcW w:type="dxa" w:w="32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Façade trapézoïdale, poteau tridimensionnel signature — projet le plus visible en communication (35,1 K vues Instagram)</w:t>
            </w:r>
          </w:p>
        </w:tc>
      </w:tr>
      <w:tr>
        <w:tc>
          <w:tcPr>
            <w:tcW w:type="dxa" w:w="19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Résidence collective</w:t>
            </w:r>
          </w:p>
        </w:tc>
        <w:tc>
          <w:tcPr>
            <w:tcW w:type="dxa" w:w="25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Résidentiel privé (R+3, 800 m²)</w:t>
            </w:r>
          </w:p>
        </w:tc>
        <w:tc>
          <w:tcPr>
            <w:tcW w:type="dxa" w:w="19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Yaoundé</w:t>
            </w:r>
          </w:p>
        </w:tc>
        <w:tc>
          <w:tcPr>
            <w:tcW w:type="dxa" w:w="32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Plusieurs typologies de logement, décalages de balcons en façade</w:t>
            </w:r>
          </w:p>
        </w:tc>
      </w:tr>
      <w:tr>
        <w:tc>
          <w:tcPr>
            <w:tcW w:type="dxa" w:w="19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BGFI Bank</w:t>
            </w:r>
          </w:p>
        </w:tc>
        <w:tc>
          <w:tcPr>
            <w:tcW w:type="dxa" w:w="25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Agence bancaire</w:t>
            </w:r>
          </w:p>
        </w:tc>
        <w:tc>
          <w:tcPr>
            <w:tcW w:type="dxa" w:w="19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Douala</w:t>
            </w:r>
          </w:p>
        </w:tc>
        <w:tc>
          <w:tcPr>
            <w:tcW w:type="dxa" w:w="32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Réaménagement d'agence commerciale (enseigne « 50 ans »)</w:t>
            </w:r>
          </w:p>
        </w:tc>
      </w:tr>
      <w:tr>
        <w:tc>
          <w:tcPr>
            <w:tcW w:type="dxa" w:w="19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Port Autonome de Douala (PAD)</w:t>
            </w:r>
          </w:p>
        </w:tc>
        <w:tc>
          <w:tcPr>
            <w:tcW w:type="dxa" w:w="25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Bâtiment institutionnel/portuaire</w:t>
            </w:r>
          </w:p>
        </w:tc>
        <w:tc>
          <w:tcPr>
            <w:tcW w:type="dxa" w:w="19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Douala</w:t>
            </w:r>
          </w:p>
        </w:tc>
        <w:tc>
          <w:tcPr>
            <w:tcW w:type="dxa" w:w="32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Immeuble de bureaux, tour R+ élevée</w:t>
            </w:r>
          </w:p>
        </w:tc>
      </w:tr>
      <w:tr>
        <w:tc>
          <w:tcPr>
            <w:tcW w:type="dxa" w:w="19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Ngoul Mekong</w:t>
            </w:r>
          </w:p>
        </w:tc>
        <w:tc>
          <w:tcPr>
            <w:tcW w:type="dxa" w:w="25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Masterplan / lotissement résidentiel</w:t>
            </w:r>
          </w:p>
        </w:tc>
        <w:tc>
          <w:tcPr>
            <w:tcW w:type="dxa" w:w="19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Yaoundé (Route Nsimalen)</w:t>
            </w:r>
          </w:p>
        </w:tc>
        <w:tc>
          <w:tcPr>
            <w:tcW w:type="dxa" w:w="32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Correspond au projet MAETUR de 437 logements ci-dessus (plan de masse à grande échelle)</w:t>
            </w:r>
          </w:p>
        </w:tc>
      </w:tr>
    </w:tbl>
    <w:p>
      <w:pPr>
        <w:pStyle w:val="Heading1"/>
        <w:pBdr>
          <w:bottom w:val="single" w:color="3F6B33" w:sz="6" w:space="4"/>
        </w:pBdr>
        <w:spacing w:after="200" w:before="420"/>
      </w:pPr>
      <w:r>
        <w:rPr>
          <w:b/>
          <w:bCs/>
          <w:color w:val="1A1A1A"/>
          <w:sz w:val="30"/>
          <w:szCs w:val="30"/>
        </w:rPr>
        <w:t xml:space="preserve">7. Secteurs d'intervention couverts</w:t>
      </w:r>
    </w:p>
    <w:p>
      <w:pPr>
        <w:pStyle w:val="ListParagraph"/>
        <w:numPr>
          <w:ilvl w:val="0"/>
          <w:numId w:val="2"/>
        </w:numPr>
        <w:spacing w:after="90"/>
      </w:pPr>
      <w:r>
        <w:rPr>
          <w:color w:val="1A1A1A"/>
          <w:sz w:val="21"/>
          <w:szCs w:val="21"/>
        </w:rPr>
        <w:t xml:space="preserve">Institutionnel et parapublic (BAD, CNPS, BEAC, MAETUR)</w:t>
      </w:r>
    </w:p>
    <w:p>
      <w:pPr>
        <w:pStyle w:val="ListParagraph"/>
        <w:numPr>
          <w:ilvl w:val="0"/>
          <w:numId w:val="2"/>
        </w:numPr>
        <w:spacing w:after="90"/>
      </w:pPr>
      <w:r>
        <w:rPr>
          <w:color w:val="1A1A1A"/>
          <w:sz w:val="21"/>
          <w:szCs w:val="21"/>
        </w:rPr>
        <w:t xml:space="preserve">Bancaire et corporate (BGFI Bank, Crédit Foncier du Cameroun)</w:t>
      </w:r>
    </w:p>
    <w:p>
      <w:pPr>
        <w:pStyle w:val="ListParagraph"/>
        <w:numPr>
          <w:ilvl w:val="0"/>
          <w:numId w:val="2"/>
        </w:numPr>
        <w:spacing w:after="90"/>
      </w:pPr>
      <w:r>
        <w:rPr>
          <w:color w:val="1A1A1A"/>
          <w:sz w:val="21"/>
          <w:szCs w:val="21"/>
        </w:rPr>
        <w:t xml:space="preserve">Résidentiel privé et collectif (Atlas, résidences, villas)</w:t>
      </w:r>
    </w:p>
    <w:p>
      <w:pPr>
        <w:pStyle w:val="ListParagraph"/>
        <w:numPr>
          <w:ilvl w:val="0"/>
          <w:numId w:val="2"/>
        </w:numPr>
        <w:spacing w:after="90"/>
      </w:pPr>
      <w:r>
        <w:rPr>
          <w:color w:val="1A1A1A"/>
          <w:sz w:val="21"/>
          <w:szCs w:val="21"/>
        </w:rPr>
        <w:t xml:space="preserve">Logement social et aménagement urbain à grande échelle (Ngoulemekong / MAETUR)</w:t>
      </w:r>
    </w:p>
    <w:p>
      <w:pPr>
        <w:pStyle w:val="ListParagraph"/>
        <w:numPr>
          <w:ilvl w:val="0"/>
          <w:numId w:val="2"/>
        </w:numPr>
        <w:spacing w:after="90"/>
      </w:pPr>
      <w:r>
        <w:rPr>
          <w:color w:val="1A1A1A"/>
          <w:sz w:val="21"/>
          <w:szCs w:val="21"/>
        </w:rPr>
        <w:t xml:space="preserve">Commercial et industriel (station-service TOTAL)</w:t>
      </w:r>
    </w:p>
    <w:p>
      <w:pPr>
        <w:pStyle w:val="ListParagraph"/>
        <w:numPr>
          <w:ilvl w:val="0"/>
          <w:numId w:val="2"/>
        </w:numPr>
        <w:spacing w:after="90"/>
      </w:pPr>
      <w:r>
        <w:rPr>
          <w:color w:val="1A1A1A"/>
          <w:sz w:val="21"/>
          <w:szCs w:val="21"/>
        </w:rPr>
        <w:t xml:space="preserve">Infrastructures rurales et agricoles (PIDMA, VIVA-Bénoué)</w:t>
      </w:r>
    </w:p>
    <w:p>
      <w:pPr>
        <w:pStyle w:val="ListParagraph"/>
        <w:numPr>
          <w:ilvl w:val="0"/>
          <w:numId w:val="2"/>
        </w:numPr>
        <w:spacing w:after="90"/>
      </w:pPr>
      <w:r>
        <w:rPr>
          <w:color w:val="1A1A1A"/>
          <w:sz w:val="21"/>
          <w:szCs w:val="21"/>
        </w:rPr>
        <w:t xml:space="preserve">Réhabilitation et remise à niveau de bâtiments existants (CNPS, Crédit Foncier, BEAC)</w:t>
      </w:r>
    </w:p>
    <w:p>
      <w:pPr>
        <w:pStyle w:val="Heading1"/>
        <w:pBdr>
          <w:bottom w:val="single" w:color="3F6B33" w:sz="6" w:space="4"/>
        </w:pBdr>
        <w:spacing w:after="200" w:before="420"/>
      </w:pPr>
      <w:r>
        <w:rPr>
          <w:b/>
          <w:bCs/>
          <w:color w:val="1A1A1A"/>
          <w:sz w:val="30"/>
          <w:szCs w:val="30"/>
        </w:rPr>
        <w:t xml:space="preserve">8. Ce qu'il faut retenir pour le positionnement marketing</w:t>
      </w:r>
    </w:p>
    <w:p>
      <w:pPr>
        <w:pStyle w:val="ListParagraph"/>
        <w:numPr>
          <w:ilvl w:val="0"/>
          <w:numId w:val="2"/>
        </w:numPr>
        <w:spacing w:after="90"/>
      </w:pPr>
      <w:r>
        <w:rPr>
          <w:color w:val="1A1A1A"/>
          <w:sz w:val="21"/>
          <w:szCs w:val="21"/>
        </w:rPr>
        <w:t xml:space="preserve">BMK Architects n'est pas qu'un cabinet « résidentiel haut de gamme » comme le suggère la communication Instagram actuelle : son cœur de portefeuille est institutionnel et bancaire, avec des donneurs d'ordre de premier plan (BAD, BEAC, CNPS).</w:t>
      </w:r>
    </w:p>
    <w:p>
      <w:pPr>
        <w:pStyle w:val="ListParagraph"/>
        <w:numPr>
          <w:ilvl w:val="0"/>
          <w:numId w:val="2"/>
        </w:numPr>
        <w:spacing w:after="90"/>
      </w:pPr>
      <w:r>
        <w:rPr>
          <w:color w:val="1A1A1A"/>
          <w:sz w:val="21"/>
          <w:szCs w:val="21"/>
        </w:rPr>
        <w:t xml:space="preserve">Le cabinet couvre l'ensemble de la chaîne de valeur du projet : conception (APS à DCE), assistance aux appels d'offres, et suivi de chantier — un argument de guichet unique à mettre en avant.</w:t>
      </w:r>
    </w:p>
    <w:p>
      <w:pPr>
        <w:pStyle w:val="ListParagraph"/>
        <w:numPr>
          <w:ilvl w:val="0"/>
          <w:numId w:val="2"/>
        </w:numPr>
        <w:spacing w:after="90"/>
      </w:pPr>
      <w:r>
        <w:rPr>
          <w:color w:val="1A1A1A"/>
          <w:sz w:val="21"/>
          <w:szCs w:val="21"/>
        </w:rPr>
        <w:t xml:space="preserve">La double compétence architecture / urbanisme au sein de la direction est rare sur le marché camerounais et mérite d'être un axe de différenciation à part entière (voir Document 02, section Opportunités).</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72"/>
      </w:tabs>
    </w:pPr>
    <w:r>
      <w:rPr>
        <w:color w:val="5B5B5B"/>
        <w:sz w:val="15"/>
        <w:szCs w:val="15"/>
      </w:rPr>
      <w:t xml:space="preserve">BMK Architects — Doc. 01  |  Document interne — Usage équipe marketing</w:t>
    </w:r>
    <w:r>
      <w:t xml:space="preserve">	</w:t>
    </w:r>
    <w:r>
      <w:rPr>
        <w:color w:val="5B5B5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Contexte &amp; présentation de l'entreprise — BMK Architects</dc:title>
  <dc:creator>BMK Architects — Équipe Marketing</dc:creator>
  <cp:lastModifiedBy>Un-named</cp:lastModifiedBy>
  <cp:revision>1</cp:revision>
  <dcterms:created xsi:type="dcterms:W3CDTF">2026-08-02T08:42:10.205Z</dcterms:created>
  <dcterms:modified xsi:type="dcterms:W3CDTF">2026-08-02T08:42:10.205Z</dcterms:modified>
</cp:coreProperties>
</file>

<file path=docProps/custom.xml><?xml version="1.0" encoding="utf-8"?>
<Properties xmlns="http://schemas.openxmlformats.org/officeDocument/2006/custom-properties" xmlns:vt="http://schemas.openxmlformats.org/officeDocument/2006/docPropsVTypes"/>
</file>