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b/>
          <w:bCs/>
          <w:color w:val="3F6B33"/>
          <w:spacing w:val="20"/>
          <w:sz w:val="24"/>
          <w:szCs w:val="24"/>
        </w:rPr>
        <w:t xml:space="preserve">BMK ARCHITECTS</w:t>
      </w:r>
    </w:p>
    <w:p>
      <w:pPr>
        <w:pBdr>
          <w:bottom w:val="single" w:color="3F6B33" w:sz="12" w:space="8"/>
        </w:pBdr>
        <w:spacing w:after="500"/>
      </w:pPr>
      <w:r>
        <w:rPr>
          <w:b/>
          <w:bCs/>
          <w:color w:val="5B5B5B"/>
          <w:spacing w:val="16"/>
          <w:sz w:val="18"/>
          <w:szCs w:val="18"/>
        </w:rPr>
        <w:t xml:space="preserve">DOCUMENT MARKETING 02 / 04</w:t>
      </w:r>
    </w:p>
    <w:p>
      <w:pPr>
        <w:spacing w:after="240"/>
      </w:pPr>
      <w:r>
        <w:rPr>
          <w:b/>
          <w:bCs/>
          <w:color w:val="1A1A1A"/>
          <w:sz w:val="52"/>
          <w:szCs w:val="52"/>
        </w:rPr>
        <w:t xml:space="preserve">Analyse de la communication &amp; SWOT</w:t>
      </w:r>
    </w:p>
    <w:p>
      <w:pPr>
        <w:spacing w:after="1200"/>
      </w:pPr>
      <w:r>
        <w:rPr>
          <w:i/>
          <w:iCs/>
          <w:color w:val="5B5B5B"/>
          <w:sz w:val="26"/>
          <w:szCs w:val="26"/>
        </w:rPr>
        <w:t xml:space="preserve">Site web et Instagram : constats, axes d'amélioration, analyse SWOT détaillée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Préparé le :  </w:t>
      </w:r>
      <w:r>
        <w:rPr>
          <w:color w:val="5B5B5B"/>
          <w:sz w:val="20"/>
          <w:szCs w:val="20"/>
        </w:rPr>
        <w:t xml:space="preserve">2 août 2026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Destinataire :  </w:t>
      </w:r>
      <w:r>
        <w:rPr>
          <w:color w:val="5B5B5B"/>
          <w:sz w:val="20"/>
          <w:szCs w:val="20"/>
        </w:rPr>
        <w:t xml:space="preserve">Équipe marketing BMK Architects</w:t>
      </w:r>
    </w:p>
    <w:p>
      <w:pPr>
        <w:spacing w:after="80"/>
      </w:pPr>
      <w:r>
        <w:rPr>
          <w:b/>
          <w:bCs/>
          <w:color w:val="1A1A1A"/>
          <w:sz w:val="20"/>
          <w:szCs w:val="20"/>
        </w:rPr>
        <w:t xml:space="preserve">Périmètre observé :  </w:t>
      </w:r>
      <w:r>
        <w:rPr>
          <w:color w:val="5B5B5B"/>
          <w:sz w:val="20"/>
          <w:szCs w:val="20"/>
        </w:rPr>
        <w:t xml:space="preserve">bmkarchitects.com (captures d'écran) et @bmkarchitects sur Instagram, au 2 août 2026</w:t>
      </w:r>
    </w:p>
    <w:p>
      <w:r>
        <w:br w:type="page"/>
      </w:r>
    </w:p>
    <w:p>
      <w:pPr>
        <w:pStyle w:val="Heading1"/>
        <w:pBdr>
          <w:bottom w:val="single" w:color="3F6B33" w:sz="6" w:space="4"/>
        </w:pBdr>
        <w:spacing w:after="200" w:before="420"/>
      </w:pPr>
      <w:r>
        <w:rPr>
          <w:b/>
          <w:bCs/>
          <w:color w:val="1A1A1A"/>
          <w:sz w:val="30"/>
          <w:szCs w:val="30"/>
        </w:rPr>
        <w:t xml:space="preserve">1. Analyse du site web</w:t>
      </w:r>
    </w:p>
    <w:p>
      <w:pPr>
        <w:pStyle w:val="Heading2"/>
        <w:spacing w:after="140" w:before="300"/>
      </w:pPr>
      <w:r>
        <w:rPr>
          <w:b/>
          <w:bCs/>
          <w:color w:val="3F6B33"/>
          <w:sz w:val="24"/>
          <w:szCs w:val="24"/>
        </w:rPr>
        <w:t xml:space="preserve">1.1 Ce qui a été observé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Page d'accueil : positionnement de marque, chiffres clés (10 ans / 42 projets / 0 compromis), présentation des deux associés.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Fiches individuelles des associés : photo illustrée (style graphique noir &amp; blanc, silhouette + bâtiment en fond), formation, inscription à l'ordre, philosophie de travail.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Page « Projets » organisée par tags thématiques (#BGFI, #ECOLE, #NGOULMEKONG, #ATLAS, #CNPS, #PAD…), chaque fiche projet précisant type, maître d'ouvrage, surface utile, localisation, mission et équipe projet.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Identité visuelle cohérente : logo « BMK » (triangle vert + noir), filigrane systématique sur tous les visuels de projets (protection des rendus/photos).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Registre de langue sobre, factuel, technique — proche du discours d'un rapport d'activité que d'un site vitrine grand public.</w:t>
      </w:r>
    </w:p>
    <w:p>
      <w:pPr>
        <w:pStyle w:val="Heading2"/>
        <w:spacing w:after="140" w:before="300"/>
      </w:pPr>
      <w:r>
        <w:rPr>
          <w:b/>
          <w:bCs/>
          <w:color w:val="3F6B33"/>
          <w:sz w:val="24"/>
          <w:szCs w:val="24"/>
        </w:rPr>
        <w:t xml:space="preserve">1.2 Points forts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Crédibilité professionnelle immédiate : mise en avant des numéros d'inscription à l'ONAC, des diplômes, des maîtres d'ouvrage réels.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Fiches projets très structurées et transparentes (données techniques chiffrées), ce qui rassure une clientèle B2B/institutionnelle.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Identité graphique reconnaissable et protégée (filigrane).</w:t>
      </w:r>
    </w:p>
    <w:p>
      <w:pPr>
        <w:pStyle w:val="Heading2"/>
        <w:spacing w:after="140" w:before="300"/>
      </w:pPr>
      <w:r>
        <w:rPr>
          <w:b/>
          <w:bCs/>
          <w:color w:val="3F6B33"/>
          <w:sz w:val="24"/>
          <w:szCs w:val="24"/>
        </w:rPr>
        <w:t xml:space="preserve">1.3 Points d'amélioration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Aucune page « Services » centralisée n'a été identifiée : l'offre se déduit projet par projet plutôt que d'être formulée clairement (voir Document 03, qui reconstitue cette offre).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Aucun contenu de preuve sociale visible (témoignages clients, avis, logos de partenaires/clients institutionnels comme la BAD ou la CNPS — pourtant un atout majeur, cf. Document 01).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Pas de section actualités/blog : aucun contenu qui inscrit le cabinet dans une actualité ou une expertise partagée (veille réglementaire, retour d'expérience chantier, etc.).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Un seul point de conversion identifié (« Nous contacter »), sans coordonnées directes visibles sur les pages parcourues (téléphone, email, adresse).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Pas de version anglaise détectée, alors que plusieurs bailleurs et partenaires institutionnels du portefeuille (BAD notamment) opèrent en anglais.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Le ton reste très « catalogue technique » : peu d'éléments humains, de valeurs, de storytelling autour de la fondation du cabinet ou de ses réalisations les plus emblématiques.</w:t>
      </w:r>
    </w:p>
    <w:p>
      <w:pPr>
        <w:pStyle w:val="Heading1"/>
        <w:pBdr>
          <w:bottom w:val="single" w:color="3F6B33" w:sz="6" w:space="4"/>
        </w:pBdr>
        <w:spacing w:after="200" w:before="420"/>
      </w:pPr>
      <w:r>
        <w:rPr>
          <w:b/>
          <w:bCs/>
          <w:color w:val="1A1A1A"/>
          <w:sz w:val="30"/>
          <w:szCs w:val="30"/>
        </w:rPr>
        <w:t xml:space="preserve">2. Analyse du compte Instagram @bmkarchitects</w:t>
      </w:r>
    </w:p>
    <w:p>
      <w:pPr>
        <w:pStyle w:val="Heading2"/>
        <w:spacing w:after="140" w:before="300"/>
      </w:pPr>
      <w:r>
        <w:rPr>
          <w:b/>
          <w:bCs/>
          <w:color w:val="3F6B33"/>
          <w:sz w:val="24"/>
          <w:szCs w:val="24"/>
        </w:rPr>
        <w:t xml:space="preserve">2.1 Chiffres au 2 août 2026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53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Publications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Abonnés</w:t>
            </w:r>
          </w:p>
        </w:tc>
        <w:tc>
          <w:tcPr>
            <w:tcW w:type="dxa" w:w="5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196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Abonnements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44</w:t>
            </w:r>
          </w:p>
        </w:tc>
      </w:tr>
      <w:tr>
        <w:tc>
          <w:tcPr>
            <w:tcW w:type="dxa" w:w="42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Vues (30 derniers jours, tableau de bord pro)</w:t>
            </w:r>
          </w:p>
        </w:tc>
        <w:tc>
          <w:tcPr>
            <w:tcW w:type="dxa" w:w="53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50 600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Bio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« Cabinet d'Architecture et de Design au Cameroun » + lien vers le site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3F6B33"/>
          <w:sz w:val="24"/>
          <w:szCs w:val="24"/>
        </w:rPr>
        <w:t xml:space="preserve">2.2 Ce que montrent les 5 publications du compte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000"/>
        <w:gridCol w:w="900"/>
        <w:gridCol w:w="1400"/>
        <w:gridCol w:w="21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Publication</w:t>
            </w:r>
          </w:p>
        </w:tc>
        <w:tc>
          <w:tcPr>
            <w:tcW w:type="dxa" w:w="15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0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Vues</w:t>
            </w:r>
          </w:p>
        </w:tc>
        <w:tc>
          <w:tcPr>
            <w:tcW w:type="dxa" w:w="9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J'aime</w:t>
            </w:r>
          </w:p>
        </w:tc>
        <w:tc>
          <w:tcPr>
            <w:tcW w:type="dxa" w:w="14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Taux d'engagement*</w:t>
            </w:r>
          </w:p>
        </w:tc>
        <w:tc>
          <w:tcPr>
            <w:tcW w:type="dxa" w:w="21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Hashtags utilisés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Villa (entrée, perron pierre/bois)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n.d.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139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n.d.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n.d.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n.d.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Mixed use building (immeuble mixte)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 juillet 2026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13 200</w:t>
            </w:r>
          </w:p>
        </w:tc>
        <w:tc>
          <w:tcPr>
            <w:tcW w:type="dxa" w:w="9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280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2,1 %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#Architecture #ArchitectureDesign #Architect #ModernArchitecture #luxuryresidence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Entrance (porche, portail bois/métal)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n.d.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400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1,75 %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#archlovers #architecture #design #BmkArchitects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Résidence collective (typologies logements, 800 m²)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27 juin 2026</w:t>
            </w:r>
          </w:p>
        </w:tc>
        <w:tc>
          <w:tcPr>
            <w:tcW w:type="dxa" w:w="1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628</w:t>
            </w:r>
          </w:p>
        </w:tc>
        <w:tc>
          <w:tcPr>
            <w:tcW w:type="dxa" w:w="9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3,8 %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Aucun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Atlas (résidence collective, façade trapézoïdale)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 juin 2026</w:t>
            </w:r>
          </w:p>
        </w:tc>
        <w:tc>
          <w:tcPr>
            <w:tcW w:type="dxa" w:w="1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35 100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271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0,8 %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Aucun</w:t>
            </w:r>
          </w:p>
        </w:tc>
      </w:tr>
    </w:tbl>
    <w:p>
      <w:pPr>
        <w:spacing w:after="160"/>
        <w:jc w:val="left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* Taux d'engagement = mentions « J'aime » / vues. Toutes les publications à forte diffusion (13,2 K et 35,1 K vues) affichent un bouton « Booster à nouveau », signe que ces vues proviennent en grande partie de campagnes publicitaires payantes (Meta Ads) plutôt que de la portée organique. Fait notable : le hashtag de marque #BmkArchitects n'apparaît que sur une seule des cinq publications (« Entrance »), aux côtés de hashtags génériques (#archlovers, #architecture, #design) — son usage n'est pas systématisé.</w:t>
      </w:r>
    </w:p>
    <w:p>
      <w:pPr>
        <w:pBdr>
          <w:left w:val="single" w:color="5B5B5B" w:sz="12" w:space="6"/>
        </w:pBdr>
        <w:shd w:fill="F2F2F2" w:val="clear"/>
        <w:spacing w:after="200" w:before="100"/>
        <w:ind w:left="100"/>
      </w:pPr>
      <w:r>
        <w:rPr>
          <w:i/>
          <w:iCs/>
          <w:color w:val="5B5B5B"/>
          <w:sz w:val="19"/>
          <w:szCs w:val="19"/>
        </w:rPr>
        <w:t xml:space="preserve">Les publications s'échelonnent du 25 juin au 25 juillet 2026, soit un rythme récent d'environ une publication par semaine sur cette fenêtre — correct en soi, mais le compte ne totalise que 5 publications au total depuis sa création, ce qui reste très mince pour un cabinet actif depuis 2016.</w:t>
      </w:r>
    </w:p>
    <w:p>
      <w:pPr>
        <w:pStyle w:val="Heading2"/>
        <w:spacing w:after="140" w:before="300"/>
      </w:pPr>
      <w:r>
        <w:rPr>
          <w:b/>
          <w:bCs/>
          <w:color w:val="3F6B33"/>
          <w:sz w:val="24"/>
          <w:szCs w:val="24"/>
        </w:rPr>
        <w:t xml:space="preserve">2.3 Constats clés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Fréquence de publication historiquement très faible : </w:t>
      </w:r>
      <w:r>
        <w:rPr>
          <w:color w:val="1A1A1A"/>
          <w:sz w:val="21"/>
          <w:szCs w:val="21"/>
        </w:rPr>
        <w:t xml:space="preserve">5 publications au total pour un cabinet actif depuis 10 ans ; un sursaut récent (25 juin – 25 juillet, ~1 publication/semaine) suggère une reprise en main du compte plutôt qu'un calendrier éditorial installé dans la durée.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Écart marqué entre audience et engagement sur les publications boostées : </w:t>
      </w:r>
      <w:r>
        <w:rPr>
          <w:color w:val="1A1A1A"/>
          <w:sz w:val="21"/>
          <w:szCs w:val="21"/>
        </w:rPr>
        <w:t xml:space="preserve">les deux publications les plus vues (35 100 et 13 200 vues, toutes deux avec bouton « Booster à nouveau » actif) affichent des taux d'engagement de 0,8 % et 2,1 % — contre 3,8 % pour la publication « Résidence collective », non boostée mais mieux engagée relativement à sa portée. La publicité gonfle la portée sans proportionnellement fidéliser l'audience.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Conversion vue → abonné très faible : </w:t>
      </w:r>
      <w:r>
        <w:rPr>
          <w:color w:val="1A1A1A"/>
          <w:sz w:val="21"/>
          <w:szCs w:val="21"/>
        </w:rPr>
        <w:t xml:space="preserve">196 abonnés pour 50 600 vues sur 30 jours ; l'audience touchée par la publicité n'est pas transformée en communauté suivie.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Contenu mono-format : </w:t>
      </w:r>
      <w:r>
        <w:rPr>
          <w:color w:val="1A1A1A"/>
          <w:sz w:val="21"/>
          <w:szCs w:val="21"/>
        </w:rPr>
        <w:t xml:space="preserve">uniquement des rendus 3D / photos de bâtiments finis. Aucun contenu « coulisses » (chantier, équipe, clients, processus), aucun format pédagogique.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Usage du hashtag de marque non systématisé : </w:t>
      </w:r>
      <w:r>
        <w:rPr>
          <w:color w:val="1A1A1A"/>
          <w:sz w:val="21"/>
          <w:szCs w:val="21"/>
        </w:rPr>
        <w:t xml:space="preserve">le hashtag #BmkArchitects n'apparaît que sur 1 publication sur 5, aux côtés de hashtags génériques (#archlovers, #architecture, #ModernArchitecture, #luxuryresidence) sur 2 publications sur 5 ; les 2 publications les plus vues (Atlas, Résidence collective) n'ont aucun hashtag. Les légendes restent descriptives, sans question à l'audience ni appel à l'action.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Décalage de positionnement : </w:t>
      </w:r>
      <w:r>
        <w:rPr>
          <w:color w:val="1A1A1A"/>
          <w:sz w:val="21"/>
          <w:szCs w:val="21"/>
        </w:rPr>
        <w:t xml:space="preserve">la communication Instagram se concentre sur des projets résidentiels privés, alors que le portefeuille réel du cabinet est fortement institutionnel et bancaire (BAD, BEAC, CNPS — cf. Document 01). Ce décalage prive la marque de son argument de crédibilité le plus fort.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A1A1A"/>
          <w:sz w:val="21"/>
          <w:szCs w:val="21"/>
        </w:rPr>
        <w:t xml:space="preserve">Début d'interaction communautaire, encore marginal : </w:t>
      </w:r>
      <w:r>
        <w:rPr>
          <w:color w:val="1A1A1A"/>
          <w:sz w:val="21"/>
          <w:szCs w:val="21"/>
        </w:rPr>
        <w:t xml:space="preserve">un commentaire client positif a été observé (« Good job »), sans réponse visible de la marque ; une invitation à collaborer envoyée à l'associé Messie Bissi Fidèle-Léger (compte @fideleleger) restait en attente d'acceptation au moment de l'analyse, signe que les outils de coproduction de contenu entre associés ne sont pas encore pleinement activés.</w:t>
      </w:r>
    </w:p>
    <w:p>
      <w:pPr>
        <w:pStyle w:val="Heading1"/>
        <w:pBdr>
          <w:bottom w:val="single" w:color="3F6B33" w:sz="6" w:space="4"/>
        </w:pBdr>
        <w:spacing w:after="200" w:before="420"/>
      </w:pPr>
      <w:r>
        <w:rPr>
          <w:b/>
          <w:bCs/>
          <w:color w:val="1A1A1A"/>
          <w:sz w:val="30"/>
          <w:szCs w:val="30"/>
        </w:rPr>
        <w:t xml:space="preserve">3. Recommandations d'amélioration</w:t>
      </w:r>
    </w:p>
    <w:p>
      <w:pPr>
        <w:spacing w:after="100" w:before="200"/>
      </w:pPr>
      <w:r>
        <w:rPr>
          <w:b/>
          <w:bCs/>
          <w:color w:val="1A1A1A"/>
          <w:sz w:val="21"/>
          <w:szCs w:val="21"/>
        </w:rPr>
        <w:t xml:space="preserve">Site web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Créer une page « Services » claire et autonome (voir structure proposée en Document 03).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Ajouter une section « Références » ou « Ils nous font confiance » avec les grands clients institutionnels (dans le respect de la confidentialité contractuelle).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Ajouter des coordonnées directes visibles (téléphone, email, adresse) sur chaque page, pas uniquement via un lien « Contact 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Envisager une version anglaise, au moins pour les pages clés (accueil, services, contact), pour les interlocuteurs de bailleurs internationaux.</w:t>
      </w:r>
    </w:p>
    <w:p>
      <w:pPr>
        <w:spacing w:after="100" w:before="200"/>
      </w:pPr>
      <w:r>
        <w:rPr>
          <w:b/>
          <w:bCs/>
          <w:color w:val="1A1A1A"/>
          <w:sz w:val="21"/>
          <w:szCs w:val="21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Mettre en place un calendrier éditorial régulier (a minima 2 à 3 publications/semaine) mêlant projets résidentiels et institutionnels.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Diversifier les formats : Reels de chantier (avant/après, time-lapse), interviews courtes des deux associés, carrousels pédagogiques (« Les étapes d'un projet : de l'APS à la réception »).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Réintroduire les grands projets institutionnels en communication (sous une forme adaptée à la confidentialité) pour aligner l'image perçue sur la réalité du savoir-faire.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Enrichir la bio : ajouter une coordonnée directe (téléphone/WhatsApp professionnel) et la ville.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Systématiser l'usage du hashtag de marque #BmkArchitects (déjà utilisé une fois) sur 100 % des publications, en le combinant à 3-5 hashtags génériques pertinents (#Architecture, #ArchitectureCameroun, #ModernArchitecture…) sur chaque post, y compris les plus vus.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Activer l'interaction : répondre systématiquement aux commentaires (y compris les retours positifs déjà reçus), poser des questions en légende, utiliser les stories pour des sondages/coulisses, et finaliser les invitations de collaboration en attente entre associés pour que les deux comptes personnels relaient les publications du cabinet.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Transformer une partie du budget publicitaire actuel (déjà engagé, cf. bouton « Booster ») en objectif de croissance d'abonnés et pas seulement de vues, en travaillant le contenu qui donne envie de suivre le compte (valeur ajoutée récurrente, pas seulement du « beau rendu »).</w:t>
      </w:r>
    </w:p>
    <w:p>
      <w:pPr>
        <w:pStyle w:val="Heading1"/>
        <w:pBdr>
          <w:bottom w:val="single" w:color="3F6B33" w:sz="6" w:space="4"/>
        </w:pBdr>
        <w:spacing w:after="200" w:before="420"/>
      </w:pPr>
      <w:r>
        <w:rPr>
          <w:b/>
          <w:bCs/>
          <w:color w:val="1A1A1A"/>
          <w:sz w:val="30"/>
          <w:szCs w:val="30"/>
        </w:rPr>
        <w:t xml:space="preserve">4. Analyse SWOT détaillée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9F0E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3F6B33"/>
                <w:sz w:val="22"/>
                <w:szCs w:val="22"/>
              </w:rPr>
              <w:t xml:space="preserve">FORCES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Portefeuille réel très solide et diversifié : institutionnel, bancaire, résidentiel, urbanisme (cf. Document 01) — un niveau de crédibilité rare sur le marché local.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Deux associés qualifiés et inscrits à l'ONAC, avec une double compétence architecture + urbanisme.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Identité visuelle cohérente et protégée (logo, filigrane systématique).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Positionnement de marque clair sur l'exigence qualité (« 0 compromis »).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Maîtrise de bout en bout de la chaîne de projet (conception, appels d'offres, suivi de chantier).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Budget et pratique publicitaire Instagram déjà amorcés (base à optimiser plutôt qu'à créer).</w:t>
            </w:r>
          </w:p>
        </w:tc>
        <w:tc>
          <w:tcPr>
            <w:tcW w:type="dxa" w:w="4500"/>
            <w:shd w:fill="F7E9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A13B2E"/>
                <w:sz w:val="22"/>
                <w:szCs w:val="22"/>
              </w:rPr>
              <w:t xml:space="preserve">FAIBLESSES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Présence Instagram très jeune et peu développée (196 abonnés, 5 publications) au regard de 10 ans d'activité.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Aucun calendrier éditorial visible ; fréquence de publication insuffisante pour construire une audience.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Engagement organique très faible comparé aux vues (dépendance à la publicité payante).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Communication concentrée sur le résidentiel, alors que l'expertise institutionnelle/bancaire (BAD, BEAC, CNPS) — le vrai différenciateur — est absente des réseaux sociaux.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Absence de preuve sociale (témoignages, avis, références clients) sur le site comme sur Instagram.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Pas de page Services structurée ; l'offre n'est pas explicite pour un prospect qui découvre le cabinet.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Présence mono-canal (site + Instagram) ; pas de LinkedIn identifié, pourtant pertinent pour toucher les décideurs institutionnels et bancaires.</w:t>
            </w:r>
          </w:p>
        </w:tc>
      </w:tr>
      <w:tr>
        <w:tc>
          <w:tcPr>
            <w:tcW w:type="dxa" w:w="4500"/>
            <w:shd w:fill="E7EE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2C4A6B"/>
                <w:sz w:val="22"/>
                <w:szCs w:val="22"/>
              </w:rPr>
              <w:t xml:space="preserve">OPPORTUNITÉS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Marché du BTP camerounais parmi les plus dynamiques d'Afrique centrale (croissance annuelle moyenne de 7,4 % anticipée jusqu'en 2028).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Urbanisation rapide de Yaoundé et Douala : demande croissante en logements collectifs et en aménagement urbain.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Peu de cabinets camerounais concurrents ont une stratégie de contenu Instagram réellement aboutie : fenêtre pour prendre une avance perceptible.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Diaspora camerounaise investissant dans l'immobilier local : cible digitale, sensible aux rendus visuels et au sérieux perçu en ligne.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Portefeuille institutionnel déjà constitué (BAD, BEAC, CNPS, MAETUR) : tremplin naturel vers d'autres marchés publics et bancaires si cette expertise est mieux communiquée.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Complémentarité architecture/urbanisme de la direction, exploitable comme angle de communication différenciant (« penser le bâtiment ET la ville »).</w:t>
            </w:r>
          </w:p>
        </w:tc>
        <w:tc>
          <w:tcPr>
            <w:tcW w:type="dxa" w:w="4500"/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5B5B5B"/>
                <w:sz w:val="22"/>
                <w:szCs w:val="22"/>
              </w:rPr>
              <w:t xml:space="preserve">MENACES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Concurrents mieux installés numériquement (ex. ZFA Architects : 1 391 abonnés pour 24 publications) ou à rayonnement international (Hermann Kamte &amp; Associates, prix internationaux, presse Forbes Afrique) — cf. Document 04.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Cabinets historiques à forte réputation de bouche-à-oreille et portefeuille institutionnel ancien (ex. Cabinet Diwouta, plus de 35 ans d'activité).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Hausse continue des coûts de construction (ciment, matériaux) pouvant freiner la commande privée et compresser les marges des projets.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Dépendance à la publicité payante Instagram : coût récurrent sans garantie de conversion en clients qualifiés si le contenu ne change pas.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19"/>
                <w:szCs w:val="19"/>
              </w:rPr>
              <w:t xml:space="preserve">Risque de banalisation de l'image de marque si la communication reste uniquement un « catalogue visuel » sans storytelling ni différenciation.</w:t>
            </w:r>
          </w:p>
        </w:tc>
      </w:tr>
    </w:tbl>
    <w:p>
      <w:pPr>
        <w:pBdr>
          <w:left w:val="single" w:color="5B5B5B" w:sz="12" w:space="6"/>
        </w:pBdr>
        <w:shd w:fill="F2F2F2" w:val="clear"/>
        <w:spacing w:after="200" w:before="100"/>
        <w:ind w:left="100"/>
      </w:pPr>
      <w:r>
        <w:rPr>
          <w:i/>
          <w:iCs/>
          <w:color w:val="5B5B5B"/>
          <w:sz w:val="19"/>
          <w:szCs w:val="19"/>
        </w:rPr>
        <w:t xml:space="preserve">Sources : captures d'écran du site bmkarchitects.com et du profil Instagram @bmkarchitects fournies le 2 août 2026 ; recherches web sur le marché du BTP camerounais et les cabinets concurrents (voir Document 04 pour le détail et les sources).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72"/>
      </w:tabs>
    </w:pPr>
    <w:r>
      <w:rPr>
        <w:color w:val="5B5B5B"/>
        <w:sz w:val="15"/>
        <w:szCs w:val="15"/>
      </w:rPr>
      <w:t xml:space="preserve">BMK Architects — Doc. 02  |  Document interne — Usage équipe marketing</w:t>
    </w:r>
    <w:r>
      <w:t xml:space="preserve">	</w:t>
    </w:r>
    <w:r>
      <w:rPr>
        <w:color w:val="5B5B5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 la communication &amp; SWOT — BMK Architects</dc:title>
  <dc:creator>BMK Architects — Équipe Marketing</dc:creator>
  <cp:lastModifiedBy>Un-named</cp:lastModifiedBy>
  <cp:revision>1</cp:revision>
  <dcterms:created xsi:type="dcterms:W3CDTF">2026-08-02T08:44:27.955Z</dcterms:created>
  <dcterms:modified xsi:type="dcterms:W3CDTF">2026-08-02T08:44:27.955Z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