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3F6B33"/>
          <w:spacing w:val="20"/>
          <w:sz w:val="24"/>
          <w:szCs w:val="24"/>
        </w:rPr>
        <w:t xml:space="preserve">BMK ARCHITECTS</w:t>
      </w:r>
    </w:p>
    <w:p>
      <w:pPr>
        <w:pBdr>
          <w:bottom w:val="single" w:color="3F6B33" w:sz="12" w:space="8"/>
        </w:pBdr>
        <w:spacing w:after="500"/>
      </w:pPr>
      <w:r>
        <w:rPr>
          <w:b/>
          <w:bCs/>
          <w:color w:val="5B5B5B"/>
          <w:spacing w:val="16"/>
          <w:sz w:val="18"/>
          <w:szCs w:val="18"/>
        </w:rPr>
        <w:t xml:space="preserve">DOCUMENT MARKETING 03 / 04</w:t>
      </w:r>
    </w:p>
    <w:p>
      <w:pPr>
        <w:spacing w:after="240"/>
      </w:pPr>
      <w:r>
        <w:rPr>
          <w:b/>
          <w:bCs/>
          <w:color w:val="1A1A1A"/>
          <w:sz w:val="52"/>
          <w:szCs w:val="52"/>
        </w:rPr>
        <w:t xml:space="preserve">Offres de services</w:t>
      </w:r>
    </w:p>
    <w:p>
      <w:pPr>
        <w:spacing w:after="1200"/>
      </w:pPr>
      <w:r>
        <w:rPr>
          <w:i/>
          <w:iCs/>
          <w:color w:val="5B5B5B"/>
          <w:sz w:val="26"/>
          <w:szCs w:val="26"/>
        </w:rPr>
        <w:t xml:space="preserve">Reconstitution de l'offre de services de BMK Architects à partir des missions réellement menées</w:t>
      </w:r>
    </w:p>
    <w:p>
      <w:pPr>
        <w:spacing w:after="80"/>
      </w:pPr>
      <w:r>
        <w:rPr>
          <w:b/>
          <w:bCs/>
          <w:color w:val="1A1A1A"/>
          <w:sz w:val="20"/>
          <w:szCs w:val="20"/>
        </w:rPr>
        <w:t xml:space="preserve">Préparé le :  </w:t>
      </w:r>
      <w:r>
        <w:rPr>
          <w:color w:val="5B5B5B"/>
          <w:sz w:val="20"/>
          <w:szCs w:val="20"/>
        </w:rPr>
        <w:t xml:space="preserve">2 août 2026</w:t>
      </w:r>
    </w:p>
    <w:p>
      <w:pPr>
        <w:spacing w:after="80"/>
      </w:pPr>
      <w:r>
        <w:rPr>
          <w:b/>
          <w:bCs/>
          <w:color w:val="1A1A1A"/>
          <w:sz w:val="20"/>
          <w:szCs w:val="20"/>
        </w:rPr>
        <w:t xml:space="preserve">Destinataire :  </w:t>
      </w:r>
      <w:r>
        <w:rPr>
          <w:color w:val="5B5B5B"/>
          <w:sz w:val="20"/>
          <w:szCs w:val="20"/>
        </w:rPr>
        <w:t xml:space="preserve">Équipe marketing BMK Architects</w:t>
      </w:r>
    </w:p>
    <w:p>
      <w:pPr>
        <w:spacing w:after="80"/>
      </w:pPr>
      <w:r>
        <w:rPr>
          <w:b/>
          <w:bCs/>
          <w:color w:val="1A1A1A"/>
          <w:sz w:val="20"/>
          <w:szCs w:val="20"/>
        </w:rPr>
        <w:t xml:space="preserve">Méthode :  </w:t>
      </w:r>
      <w:r>
        <w:rPr>
          <w:color w:val="5B5B5B"/>
          <w:sz w:val="20"/>
          <w:szCs w:val="20"/>
        </w:rPr>
        <w:t xml:space="preserve">Aucune page « Services » dédiée n'a été identifiée sur le site ; cette offre est reconstruite à partir des compétences déclarées et des missions réalisées (CV de l'Associé-Gérant, fiches projets du site et d'Instagram)</w:t>
      </w:r>
    </w:p>
    <w:p>
      <w:r>
        <w:br w:type="page"/>
      </w:r>
    </w:p>
    <w:p>
      <w:pPr>
        <w:pBdr>
          <w:left w:val="single" w:color="5B5B5B" w:sz="12" w:space="6"/>
        </w:pBdr>
        <w:shd w:fill="F2F2F2" w:val="clear"/>
        <w:spacing w:after="200" w:before="100"/>
        <w:ind w:left="100"/>
      </w:pPr>
      <w:r>
        <w:rPr>
          <w:i/>
          <w:iCs/>
          <w:color w:val="5B5B5B"/>
          <w:sz w:val="19"/>
          <w:szCs w:val="19"/>
        </w:rPr>
        <w:t xml:space="preserve">Ce document sert de brouillon de travail pour rédiger la future page « Services » du site et les supports commerciaux. Il est recommandé de le faire valider et enrichir par les deux associés avant diffusion externe.</w:t>
      </w:r>
    </w:p>
    <w:p>
      <w:pPr>
        <w:pStyle w:val="Heading1"/>
        <w:pBdr>
          <w:bottom w:val="single" w:color="3F6B33" w:sz="6" w:space="4"/>
        </w:pBdr>
        <w:spacing w:after="200" w:before="420"/>
      </w:pPr>
      <w:r>
        <w:rPr>
          <w:b/>
          <w:bCs/>
          <w:color w:val="1A1A1A"/>
          <w:sz w:val="30"/>
          <w:szCs w:val="30"/>
        </w:rPr>
        <w:t xml:space="preserve">1. Vue d'ensemble de l'offre</w:t>
      </w:r>
    </w:p>
    <w:p>
      <w:pPr>
        <w:spacing w:after="160"/>
        <w:jc w:val="left"/>
      </w:pPr>
      <w:r>
        <w:rPr>
          <w:b w:val="false"/>
          <w:bCs w:val="false"/>
          <w:i w:val="false"/>
          <w:iCs w:val="false"/>
          <w:color w:val="1A1A1A"/>
          <w:sz w:val="21"/>
          <w:szCs w:val="21"/>
        </w:rPr>
        <w:t xml:space="preserve">BMK Architects intervient sur l'intégralité de la chaîne de valeur d'un projet de construction ou de réhabilitation : de la conception à la réception des travaux, en passant par l'assistance aux appels d'offres. Cette couverture complète — plutôt rare chez les petites structures — est un argument commercial à part entière : le client n'a qu'un seul interlocuteur du premier croquis à la livraison.</w:t>
      </w:r>
    </w:p>
    <w:p>
      <w:pPr>
        <w:pStyle w:val="Heading1"/>
        <w:pBdr>
          <w:bottom w:val="single" w:color="3F6B33" w:sz="6" w:space="4"/>
        </w:pBdr>
        <w:spacing w:after="200" w:before="420"/>
      </w:pPr>
      <w:r>
        <w:rPr>
          <w:b/>
          <w:bCs/>
          <w:color w:val="1A1A1A"/>
          <w:sz w:val="30"/>
          <w:szCs w:val="30"/>
        </w:rPr>
        <w:t xml:space="preserve">2. Détail des prestations</w:t>
      </w:r>
    </w:p>
    <w:p>
      <w:pPr>
        <w:pStyle w:val="Heading2"/>
        <w:spacing w:after="140" w:before="300"/>
      </w:pPr>
      <w:r>
        <w:rPr>
          <w:b/>
          <w:bCs/>
          <w:color w:val="3F6B33"/>
          <w:sz w:val="24"/>
          <w:szCs w:val="24"/>
        </w:rPr>
        <w:t xml:space="preserve">2.1 Conception architecturale et études techniques</w:t>
      </w:r>
    </w:p>
    <w:p>
      <w:pPr>
        <w:pStyle w:val="ListParagraph"/>
        <w:numPr>
          <w:ilvl w:val="0"/>
          <w:numId w:val="2"/>
        </w:numPr>
        <w:spacing w:after="90"/>
      </w:pPr>
      <w:r>
        <w:rPr>
          <w:color w:val="1A1A1A"/>
          <w:sz w:val="21"/>
          <w:szCs w:val="21"/>
        </w:rPr>
        <w:t xml:space="preserve">Esquisse et conception de projets résidentiels, tertiaires, institutionnels et mixtes.</w:t>
      </w:r>
    </w:p>
    <w:p>
      <w:pPr>
        <w:pStyle w:val="ListParagraph"/>
        <w:numPr>
          <w:ilvl w:val="0"/>
          <w:numId w:val="2"/>
        </w:numPr>
        <w:spacing w:after="90"/>
      </w:pPr>
      <w:r>
        <w:rPr>
          <w:color w:val="1A1A1A"/>
          <w:sz w:val="21"/>
          <w:szCs w:val="21"/>
        </w:rPr>
        <w:t xml:space="preserve">Élaboration des dossiers techniques réglementaires : APS (Avant-Projet Sommaire), APD (Avant-Projet Détaillé), PRO (Projet), DCE (Dossier de Consultation des Entreprises).</w:t>
      </w:r>
    </w:p>
    <w:p>
      <w:pPr>
        <w:pStyle w:val="ListParagraph"/>
        <w:numPr>
          <w:ilvl w:val="0"/>
          <w:numId w:val="2"/>
        </w:numPr>
        <w:spacing w:after="90"/>
      </w:pPr>
      <w:r>
        <w:rPr>
          <w:color w:val="1A1A1A"/>
          <w:sz w:val="21"/>
          <w:szCs w:val="21"/>
        </w:rPr>
        <w:t xml:space="preserve">Constitution des dossiers de permis de construire.</w:t>
      </w:r>
    </w:p>
    <w:p>
      <w:pPr>
        <w:pStyle w:val="ListParagraph"/>
        <w:numPr>
          <w:ilvl w:val="0"/>
          <w:numId w:val="2"/>
        </w:numPr>
        <w:spacing w:after="90"/>
      </w:pPr>
      <w:r>
        <w:rPr>
          <w:color w:val="1A1A1A"/>
          <w:sz w:val="21"/>
          <w:szCs w:val="21"/>
        </w:rPr>
        <w:t xml:space="preserve">Coordination des études techniques avec les bureaux d'études spécialisés (structure, fluides, VRD).</w:t>
      </w:r>
    </w:p>
    <w:p>
      <w:pPr>
        <w:pStyle w:val="ListParagraph"/>
        <w:numPr>
          <w:ilvl w:val="0"/>
          <w:numId w:val="2"/>
        </w:numPr>
        <w:spacing w:after="90"/>
      </w:pPr>
      <w:r>
        <w:rPr>
          <w:color w:val="1A1A1A"/>
          <w:sz w:val="21"/>
          <w:szCs w:val="21"/>
        </w:rPr>
        <w:t xml:space="preserve">Veille et application des réglementations d'urbanisme, de construction, de sécurité incendie et d'accessibilité.</w:t>
      </w:r>
    </w:p>
    <w:p>
      <w:pPr>
        <w:pStyle w:val="Heading2"/>
        <w:spacing w:after="140" w:before="300"/>
      </w:pPr>
      <w:r>
        <w:rPr>
          <w:b/>
          <w:bCs/>
          <w:color w:val="3F6B33"/>
          <w:sz w:val="24"/>
          <w:szCs w:val="24"/>
        </w:rPr>
        <w:t xml:space="preserve">2.2 Assistance à maîtrise d'ouvrage et appels d'offres</w:t>
      </w:r>
    </w:p>
    <w:p>
      <w:pPr>
        <w:pStyle w:val="ListParagraph"/>
        <w:numPr>
          <w:ilvl w:val="0"/>
          <w:numId w:val="2"/>
        </w:numPr>
        <w:spacing w:after="90"/>
      </w:pPr>
      <w:r>
        <w:rPr>
          <w:color w:val="1A1A1A"/>
          <w:sz w:val="21"/>
          <w:szCs w:val="21"/>
        </w:rPr>
        <w:t xml:space="preserve">Préparation des dossiers de consultation des entreprises.</w:t>
      </w:r>
    </w:p>
    <w:p>
      <w:pPr>
        <w:pStyle w:val="ListParagraph"/>
        <w:numPr>
          <w:ilvl w:val="0"/>
          <w:numId w:val="2"/>
        </w:numPr>
        <w:spacing w:after="90"/>
      </w:pPr>
      <w:r>
        <w:rPr>
          <w:color w:val="1A1A1A"/>
          <w:sz w:val="21"/>
          <w:szCs w:val="21"/>
        </w:rPr>
        <w:t xml:space="preserve">Analyse comparative des offres reçues.</w:t>
      </w:r>
    </w:p>
    <w:p>
      <w:pPr>
        <w:pStyle w:val="ListParagraph"/>
        <w:numPr>
          <w:ilvl w:val="0"/>
          <w:numId w:val="2"/>
        </w:numPr>
        <w:spacing w:after="90"/>
      </w:pPr>
      <w:r>
        <w:rPr>
          <w:color w:val="1A1A1A"/>
          <w:sz w:val="21"/>
          <w:szCs w:val="21"/>
        </w:rPr>
        <w:t xml:space="preserve">Élaboration des estimations budgétaires, métrés et plannings prévisionnels.</w:t>
      </w:r>
    </w:p>
    <w:p>
      <w:pPr>
        <w:pStyle w:val="ListParagraph"/>
        <w:numPr>
          <w:ilvl w:val="0"/>
          <w:numId w:val="2"/>
        </w:numPr>
        <w:spacing w:after="90"/>
      </w:pPr>
      <w:r>
        <w:rPr>
          <w:color w:val="1A1A1A"/>
          <w:sz w:val="21"/>
          <w:szCs w:val="21"/>
        </w:rPr>
        <w:t xml:space="preserve">Assistance au maître d'ouvrage durant les phases de passation des marchés.</w:t>
      </w:r>
    </w:p>
    <w:p>
      <w:pPr>
        <w:pStyle w:val="Heading2"/>
        <w:spacing w:after="140" w:before="300"/>
      </w:pPr>
      <w:r>
        <w:rPr>
          <w:b/>
          <w:bCs/>
          <w:color w:val="3F6B33"/>
          <w:sz w:val="24"/>
          <w:szCs w:val="24"/>
        </w:rPr>
        <w:t xml:space="preserve">2.3 Maîtrise d'œuvre et suivi de chantier</w:t>
      </w:r>
    </w:p>
    <w:p>
      <w:pPr>
        <w:pStyle w:val="ListParagraph"/>
        <w:numPr>
          <w:ilvl w:val="0"/>
          <w:numId w:val="2"/>
        </w:numPr>
        <w:spacing w:after="90"/>
      </w:pPr>
      <w:r>
        <w:rPr>
          <w:color w:val="1A1A1A"/>
          <w:sz w:val="21"/>
          <w:szCs w:val="21"/>
        </w:rPr>
        <w:t xml:space="preserve">Direction et coordination des travaux tous corps d'état.</w:t>
      </w:r>
    </w:p>
    <w:p>
      <w:pPr>
        <w:pStyle w:val="ListParagraph"/>
        <w:numPr>
          <w:ilvl w:val="0"/>
          <w:numId w:val="2"/>
        </w:numPr>
        <w:spacing w:after="90"/>
      </w:pPr>
      <w:r>
        <w:rPr>
          <w:color w:val="1A1A1A"/>
          <w:sz w:val="21"/>
          <w:szCs w:val="21"/>
        </w:rPr>
        <w:t xml:space="preserve">Contrôle du respect de la qualité, des délais et du budget.</w:t>
      </w:r>
    </w:p>
    <w:p>
      <w:pPr>
        <w:pStyle w:val="ListParagraph"/>
        <w:numPr>
          <w:ilvl w:val="0"/>
          <w:numId w:val="2"/>
        </w:numPr>
        <w:spacing w:after="90"/>
      </w:pPr>
      <w:r>
        <w:rPr>
          <w:color w:val="1A1A1A"/>
          <w:sz w:val="21"/>
          <w:szCs w:val="21"/>
        </w:rPr>
        <w:t xml:space="preserve">Animation des réunions de chantier, gestion des visas techniques.</w:t>
      </w:r>
    </w:p>
    <w:p>
      <w:pPr>
        <w:pStyle w:val="ListParagraph"/>
        <w:numPr>
          <w:ilvl w:val="0"/>
          <w:numId w:val="2"/>
        </w:numPr>
        <w:spacing w:after="90"/>
      </w:pPr>
      <w:r>
        <w:rPr>
          <w:color w:val="1A1A1A"/>
          <w:sz w:val="21"/>
          <w:szCs w:val="21"/>
        </w:rPr>
        <w:t xml:space="preserve">Réception des ouvrages.</w:t>
      </w:r>
    </w:p>
    <w:p>
      <w:pPr>
        <w:pStyle w:val="Heading2"/>
        <w:spacing w:after="140" w:before="300"/>
      </w:pPr>
      <w:r>
        <w:rPr>
          <w:b/>
          <w:bCs/>
          <w:color w:val="3F6B33"/>
          <w:sz w:val="24"/>
          <w:szCs w:val="24"/>
        </w:rPr>
        <w:t xml:space="preserve">2.4 Diagnostic, réhabilitation et remise à niveau</w:t>
      </w:r>
    </w:p>
    <w:p>
      <w:pPr>
        <w:pStyle w:val="ListParagraph"/>
        <w:numPr>
          <w:ilvl w:val="0"/>
          <w:numId w:val="2"/>
        </w:numPr>
        <w:spacing w:after="90"/>
      </w:pPr>
      <w:r>
        <w:rPr>
          <w:color w:val="1A1A1A"/>
          <w:sz w:val="21"/>
          <w:szCs w:val="21"/>
        </w:rPr>
        <w:t xml:space="preserve">Expertise technique et diagnostic de bâtiments existants (état des lieux).</w:t>
      </w:r>
    </w:p>
    <w:p>
      <w:pPr>
        <w:pStyle w:val="ListParagraph"/>
        <w:numPr>
          <w:ilvl w:val="0"/>
          <w:numId w:val="2"/>
        </w:numPr>
        <w:spacing w:after="90"/>
      </w:pPr>
      <w:r>
        <w:rPr>
          <w:color w:val="1A1A1A"/>
          <w:sz w:val="21"/>
          <w:szCs w:val="21"/>
        </w:rPr>
        <w:t xml:space="preserve">Conception de projets de réhabilitation et de réaménagement.</w:t>
      </w:r>
    </w:p>
    <w:p>
      <w:pPr>
        <w:pStyle w:val="ListParagraph"/>
        <w:numPr>
          <w:ilvl w:val="0"/>
          <w:numId w:val="2"/>
        </w:numPr>
        <w:spacing w:after="90"/>
      </w:pPr>
      <w:r>
        <w:rPr>
          <w:color w:val="1A1A1A"/>
          <w:sz w:val="21"/>
          <w:szCs w:val="21"/>
        </w:rPr>
        <w:t xml:space="preserve">Remise à niveau architecturale et technique d'agences et de sièges en exploitation.</w:t>
      </w:r>
    </w:p>
    <w:p>
      <w:pPr>
        <w:pBdr>
          <w:left w:val="single" w:color="5B5B5B" w:sz="12" w:space="6"/>
        </w:pBdr>
        <w:shd w:fill="F2F2F2" w:val="clear"/>
        <w:spacing w:after="200" w:before="100"/>
        <w:ind w:left="100"/>
      </w:pPr>
      <w:r>
        <w:rPr>
          <w:i/>
          <w:iCs/>
          <w:color w:val="5B5B5B"/>
          <w:sz w:val="19"/>
          <w:szCs w:val="19"/>
        </w:rPr>
        <w:t xml:space="preserve">Exemples vérifiés : réhabilitation de l'immeuble CNPS Mvog-Bi (Yaoundé), remise à niveau de l'agence Crédit Foncier du Cameroun, remise à niveau de la résidence du Gouverneur de la BEAC.</w:t>
      </w:r>
    </w:p>
    <w:p>
      <w:pPr>
        <w:pStyle w:val="Heading2"/>
        <w:spacing w:after="140" w:before="300"/>
      </w:pPr>
      <w:r>
        <w:rPr>
          <w:b/>
          <w:bCs/>
          <w:color w:val="3F6B33"/>
          <w:sz w:val="24"/>
          <w:szCs w:val="24"/>
        </w:rPr>
        <w:t xml:space="preserve">2.5 Urbanisme et aménagement à grande échelle</w:t>
      </w:r>
    </w:p>
    <w:p>
      <w:pPr>
        <w:pStyle w:val="ListParagraph"/>
        <w:numPr>
          <w:ilvl w:val="0"/>
          <w:numId w:val="2"/>
        </w:numPr>
        <w:spacing w:after="90"/>
      </w:pPr>
      <w:r>
        <w:rPr>
          <w:color w:val="1A1A1A"/>
          <w:sz w:val="21"/>
          <w:szCs w:val="21"/>
        </w:rPr>
        <w:t xml:space="preserve">Plans d'épannelage et plans-masse pour des opérations de lotissement.</w:t>
      </w:r>
    </w:p>
    <w:p>
      <w:pPr>
        <w:pStyle w:val="ListParagraph"/>
        <w:numPr>
          <w:ilvl w:val="0"/>
          <w:numId w:val="2"/>
        </w:numPr>
        <w:spacing w:after="90"/>
      </w:pPr>
      <w:r>
        <w:rPr>
          <w:color w:val="1A1A1A"/>
          <w:sz w:val="21"/>
          <w:szCs w:val="21"/>
        </w:rPr>
        <w:t xml:space="preserve">Conception de plans-types de logements pour des programmes de grande envergure.</w:t>
      </w:r>
    </w:p>
    <w:p>
      <w:pPr>
        <w:pBdr>
          <w:left w:val="single" w:color="5B5B5B" w:sz="12" w:space="6"/>
        </w:pBdr>
        <w:shd w:fill="F2F2F2" w:val="clear"/>
        <w:spacing w:after="200" w:before="100"/>
        <w:ind w:left="100"/>
      </w:pPr>
      <w:r>
        <w:rPr>
          <w:i/>
          <w:iCs/>
          <w:color w:val="5B5B5B"/>
          <w:sz w:val="19"/>
          <w:szCs w:val="19"/>
        </w:rPr>
        <w:t xml:space="preserve">Exemple vérifié : plans-types des 437 logements du lotissement MAETUR de Ngoulemekong, Yaoundé (Opération N°183).</w:t>
      </w:r>
    </w:p>
    <w:p>
      <w:pPr>
        <w:pStyle w:val="Heading2"/>
        <w:spacing w:after="140" w:before="300"/>
      </w:pPr>
      <w:r>
        <w:rPr>
          <w:b/>
          <w:bCs/>
          <w:color w:val="3F6B33"/>
          <w:sz w:val="24"/>
          <w:szCs w:val="24"/>
        </w:rPr>
        <w:t xml:space="preserve">2.6 Design et visualisation 3D</w:t>
      </w:r>
    </w:p>
    <w:p>
      <w:pPr>
        <w:pStyle w:val="ListParagraph"/>
        <w:numPr>
          <w:ilvl w:val="0"/>
          <w:numId w:val="2"/>
        </w:numPr>
        <w:spacing w:after="90"/>
      </w:pPr>
      <w:r>
        <w:rPr>
          <w:color w:val="1A1A1A"/>
          <w:sz w:val="21"/>
          <w:szCs w:val="21"/>
        </w:rPr>
        <w:t xml:space="preserve">Production de rendus 3D photoréalistes, utilisés en avant-vente et en communication (site web, Instagram).</w:t>
      </w:r>
    </w:p>
    <w:p>
      <w:pPr>
        <w:pStyle w:val="ListParagraph"/>
        <w:numPr>
          <w:ilvl w:val="0"/>
          <w:numId w:val="2"/>
        </w:numPr>
        <w:spacing w:after="90"/>
      </w:pPr>
      <w:r>
        <w:rPr>
          <w:color w:val="1A1A1A"/>
          <w:sz w:val="21"/>
          <w:szCs w:val="21"/>
        </w:rPr>
        <w:t xml:space="preserve">Support à la décision pour les maîtres d'ouvrage avant le lancement des travaux.</w:t>
      </w:r>
    </w:p>
    <w:p>
      <w:pPr>
        <w:pStyle w:val="Heading1"/>
        <w:pBdr>
          <w:bottom w:val="single" w:color="3F6B33" w:sz="6" w:space="4"/>
        </w:pBdr>
        <w:spacing w:after="200" w:before="420"/>
      </w:pPr>
      <w:r>
        <w:rPr>
          <w:b/>
          <w:bCs/>
          <w:color w:val="1A1A1A"/>
          <w:sz w:val="30"/>
          <w:szCs w:val="30"/>
        </w:rPr>
        <w:t xml:space="preserve">3. Secteurs et types de clients servis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100"/>
      </w:tblGrid>
      <w:tr>
        <w:trPr>
          <w:tblHeader/>
        </w:trPr>
        <w:tc>
          <w:tcPr>
            <w:tcW w:type="dxa" w:w="1900"/>
            <w:shd w:fill="1A1A1A" w:val="clear"/>
            <w:tcMar>
              <w:top w:type="dxa" w:w="90"/>
              <w:left w:type="dxa" w:w="110"/>
              <w:bottom w:type="dxa" w:w="90"/>
              <w:right w:type="dxa" w:w="110"/>
            </w:tcMar>
            <w:vAlign w:val="center"/>
          </w:tcPr>
          <w:p>
            <w:r>
              <w:rPr>
                <w:b/>
                <w:bCs/>
                <w:i w:val="false"/>
                <w:iCs w:val="false"/>
                <w:color w:val="FFFFFF"/>
                <w:sz w:val="19"/>
                <w:szCs w:val="19"/>
              </w:rPr>
              <w:t xml:space="preserve">Secteur</w:t>
            </w:r>
          </w:p>
        </w:tc>
        <w:tc>
          <w:tcPr>
            <w:tcW w:type="dxa" w:w="2600"/>
            <w:shd w:fill="1A1A1A" w:val="clear"/>
            <w:tcMar>
              <w:top w:type="dxa" w:w="90"/>
              <w:left w:type="dxa" w:w="110"/>
              <w:bottom w:type="dxa" w:w="90"/>
              <w:right w:type="dxa" w:w="110"/>
            </w:tcMar>
            <w:vAlign w:val="center"/>
          </w:tcPr>
          <w:p>
            <w:r>
              <w:rPr>
                <w:b/>
                <w:bCs/>
                <w:i w:val="false"/>
                <w:iCs w:val="false"/>
                <w:color w:val="FFFFFF"/>
                <w:sz w:val="19"/>
                <w:szCs w:val="19"/>
              </w:rPr>
              <w:t xml:space="preserve">Types de clients observés</w:t>
            </w:r>
          </w:p>
        </w:tc>
        <w:tc>
          <w:tcPr>
            <w:tcW w:type="dxa" w:w="3100"/>
            <w:shd w:fill="1A1A1A" w:val="clear"/>
            <w:tcMar>
              <w:top w:type="dxa" w:w="90"/>
              <w:left w:type="dxa" w:w="110"/>
              <w:bottom w:type="dxa" w:w="90"/>
              <w:right w:type="dxa" w:w="110"/>
            </w:tcMar>
            <w:vAlign w:val="center"/>
          </w:tcPr>
          <w:p>
            <w:r>
              <w:rPr>
                <w:b/>
                <w:bCs/>
                <w:i w:val="false"/>
                <w:iCs w:val="false"/>
                <w:color w:val="FFFFFF"/>
                <w:sz w:val="19"/>
                <w:szCs w:val="19"/>
              </w:rPr>
              <w:t xml:space="preserve">Exemples de missions</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Institutionnel / parapublic</w:t>
            </w:r>
          </w:p>
        </w:tc>
        <w:tc>
          <w:tcPr>
            <w:tcW w:type="dxa" w:w="2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Organismes d'État, bailleurs de fonds</w:t>
            </w:r>
          </w:p>
        </w:tc>
        <w:tc>
          <w:tcPr>
            <w:tcW w:type="dxa" w:w="31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BAD (bureau régional), CNPS (réhabilitation), BEAC (résidence de fonction)</w:t>
            </w:r>
          </w:p>
        </w:tc>
      </w:tr>
      <w:tr>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Bancaire / finance</w:t>
            </w:r>
          </w:p>
        </w:tc>
        <w:tc>
          <w:tcPr>
            <w:tcW w:type="dxa" w:w="2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Banques et établissements de crédit</w:t>
            </w:r>
          </w:p>
        </w:tc>
        <w:tc>
          <w:tcPr>
            <w:tcW w:type="dxa" w:w="31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BGFI Bank (agence), Crédit Foncier du Cameroun (agence)</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Logement social / aménagement</w:t>
            </w:r>
          </w:p>
        </w:tc>
        <w:tc>
          <w:tcPr>
            <w:tcW w:type="dxa" w:w="2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Sociétés d'aménagement urbain (MAETUR)</w:t>
            </w:r>
          </w:p>
        </w:tc>
        <w:tc>
          <w:tcPr>
            <w:tcW w:type="dxa" w:w="31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437 logements, lotissement Ngoulemekong</w:t>
            </w:r>
          </w:p>
        </w:tc>
      </w:tr>
      <w:tr>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Résidentiel privé</w:t>
            </w:r>
          </w:p>
        </w:tc>
        <w:tc>
          <w:tcPr>
            <w:tcW w:type="dxa" w:w="2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Particuliers, promoteurs privés</w:t>
            </w:r>
          </w:p>
        </w:tc>
        <w:tc>
          <w:tcPr>
            <w:tcW w:type="dxa" w:w="31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Résidence « Atlas », résidences collectives, villas</w:t>
            </w:r>
          </w:p>
        </w:tc>
      </w:tr>
      <w:tr>
        <w:tc>
          <w:tcPr>
            <w:tcW w:type="dxa" w:w="19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Commercial / industriel</w:t>
            </w:r>
          </w:p>
        </w:tc>
        <w:tc>
          <w:tcPr>
            <w:tcW w:type="dxa" w:w="26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Grands groupes pétroliers/distribution</w:t>
            </w:r>
          </w:p>
        </w:tc>
        <w:tc>
          <w:tcPr>
            <w:tcW w:type="dxa" w:w="3100"/>
            <w:shd w:fill="FFFFFF" w:val="clear"/>
            <w:tcMar>
              <w:top w:type="dxa" w:w="90"/>
              <w:left w:type="dxa" w:w="110"/>
              <w:bottom w:type="dxa" w:w="90"/>
              <w:right w:type="dxa" w:w="110"/>
            </w:tcMar>
            <w:vAlign w:val="center"/>
          </w:tcPr>
          <w:p>
            <w:r>
              <w:rPr>
                <w:b w:val="false"/>
                <w:bCs w:val="false"/>
                <w:i w:val="false"/>
                <w:iCs w:val="false"/>
                <w:color w:val="1A1A1A"/>
                <w:sz w:val="19"/>
                <w:szCs w:val="19"/>
              </w:rPr>
              <w:t xml:space="preserve">Station-service TOTAL, Maroua</w:t>
            </w:r>
          </w:p>
        </w:tc>
      </w:tr>
      <w:tr>
        <w:tc>
          <w:tcPr>
            <w:tcW w:type="dxa" w:w="19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Rural / agricole</w:t>
            </w:r>
          </w:p>
        </w:tc>
        <w:tc>
          <w:tcPr>
            <w:tcW w:type="dxa" w:w="26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Projets de développement (bailleurs, coopératives)</w:t>
            </w:r>
          </w:p>
        </w:tc>
        <w:tc>
          <w:tcPr>
            <w:tcW w:type="dxa" w:w="3100"/>
            <w:shd w:fill="F2F2F2" w:val="clear"/>
            <w:tcMar>
              <w:top w:type="dxa" w:w="90"/>
              <w:left w:type="dxa" w:w="110"/>
              <w:bottom w:type="dxa" w:w="90"/>
              <w:right w:type="dxa" w:w="110"/>
            </w:tcMar>
            <w:vAlign w:val="center"/>
          </w:tcPr>
          <w:p>
            <w:r>
              <w:rPr>
                <w:b w:val="false"/>
                <w:bCs w:val="false"/>
                <w:i w:val="false"/>
                <w:iCs w:val="false"/>
                <w:color w:val="1A1A1A"/>
                <w:sz w:val="19"/>
                <w:szCs w:val="19"/>
              </w:rPr>
              <w:t xml:space="preserve">PIDMA (24 coopératives), VIVA-Bénoué</w:t>
            </w:r>
          </w:p>
        </w:tc>
      </w:tr>
    </w:tbl>
    <w:p>
      <w:pPr>
        <w:pStyle w:val="Heading1"/>
        <w:pBdr>
          <w:bottom w:val="single" w:color="3F6B33" w:sz="6" w:space="4"/>
        </w:pBdr>
        <w:spacing w:after="200" w:before="420"/>
      </w:pPr>
      <w:r>
        <w:rPr>
          <w:b/>
          <w:bCs/>
          <w:color w:val="1A1A1A"/>
          <w:sz w:val="30"/>
          <w:szCs w:val="30"/>
        </w:rPr>
        <w:t xml:space="preserve">4. Proposition de structuration pour la page « Services » du site</w:t>
      </w:r>
    </w:p>
    <w:p>
      <w:pPr>
        <w:spacing w:after="160"/>
        <w:jc w:val="left"/>
      </w:pPr>
      <w:r>
        <w:rPr>
          <w:b w:val="false"/>
          <w:bCs w:val="false"/>
          <w:i w:val="false"/>
          <w:iCs w:val="false"/>
          <w:color w:val="1A1A1A"/>
          <w:sz w:val="21"/>
          <w:szCs w:val="21"/>
        </w:rPr>
        <w:t xml:space="preserve">Sur la base de l'analyse ci-dessus, il est recommandé d'organiser la future page Services autour de 4 grandes entrées, plus lisibles pour un visiteur non technique que la nomenclature APS/APD/DCE :</w:t>
      </w:r>
    </w:p>
    <w:p>
      <w:pPr>
        <w:pStyle w:val="ListParagraph"/>
        <w:numPr>
          <w:ilvl w:val="0"/>
          <w:numId w:val="2"/>
        </w:numPr>
        <w:spacing w:after="90"/>
      </w:pPr>
      <w:r>
        <w:rPr>
          <w:b/>
          <w:bCs/>
          <w:color w:val="1A1A1A"/>
          <w:sz w:val="21"/>
          <w:szCs w:val="21"/>
        </w:rPr>
        <w:t xml:space="preserve">1. Conception architecturale </w:t>
      </w:r>
      <w:r>
        <w:rPr>
          <w:color w:val="1A1A1A"/>
          <w:sz w:val="21"/>
          <w:szCs w:val="21"/>
        </w:rPr>
        <w:t xml:space="preserve">— de l'idée au permis de construire.</w:t>
      </w:r>
    </w:p>
    <w:p>
      <w:pPr>
        <w:pStyle w:val="ListParagraph"/>
        <w:numPr>
          <w:ilvl w:val="0"/>
          <w:numId w:val="2"/>
        </w:numPr>
        <w:spacing w:after="90"/>
      </w:pPr>
      <w:r>
        <w:rPr>
          <w:b/>
          <w:bCs/>
          <w:color w:val="1A1A1A"/>
          <w:sz w:val="21"/>
          <w:szCs w:val="21"/>
        </w:rPr>
        <w:t xml:space="preserve">2. Réhabilitation &amp; remise à niveau </w:t>
      </w:r>
      <w:r>
        <w:rPr>
          <w:color w:val="1A1A1A"/>
          <w:sz w:val="21"/>
          <w:szCs w:val="21"/>
        </w:rPr>
        <w:t xml:space="preserve">— donner une seconde vie aux bâtiments existants.</w:t>
      </w:r>
    </w:p>
    <w:p>
      <w:pPr>
        <w:pStyle w:val="ListParagraph"/>
        <w:numPr>
          <w:ilvl w:val="0"/>
          <w:numId w:val="2"/>
        </w:numPr>
        <w:spacing w:after="90"/>
      </w:pPr>
      <w:r>
        <w:rPr>
          <w:b/>
          <w:bCs/>
          <w:color w:val="1A1A1A"/>
          <w:sz w:val="21"/>
          <w:szCs w:val="21"/>
        </w:rPr>
        <w:t xml:space="preserve">3. Suivi de chantier &amp; maîtrise d'œuvre </w:t>
      </w:r>
      <w:r>
        <w:rPr>
          <w:color w:val="1A1A1A"/>
          <w:sz w:val="21"/>
          <w:szCs w:val="21"/>
        </w:rPr>
        <w:t xml:space="preserve">— garantir qualité, délais et budget jusqu'à la réception.</w:t>
      </w:r>
    </w:p>
    <w:p>
      <w:pPr>
        <w:pStyle w:val="ListParagraph"/>
        <w:numPr>
          <w:ilvl w:val="0"/>
          <w:numId w:val="2"/>
        </w:numPr>
        <w:spacing w:after="90"/>
      </w:pPr>
      <w:r>
        <w:rPr>
          <w:b/>
          <w:bCs/>
          <w:color w:val="1A1A1A"/>
          <w:sz w:val="21"/>
          <w:szCs w:val="21"/>
        </w:rPr>
        <w:t xml:space="preserve">4. Urbanisme &amp; grands projets </w:t>
      </w:r>
      <w:r>
        <w:rPr>
          <w:color w:val="1A1A1A"/>
          <w:sz w:val="21"/>
          <w:szCs w:val="21"/>
        </w:rPr>
        <w:t xml:space="preserve">— penser le bâtiment à l'échelle du quartier et de la ville.</w:t>
      </w:r>
    </w:p>
    <w:p>
      <w:pPr>
        <w:pBdr>
          <w:left w:val="single" w:color="5B5B5B" w:sz="12" w:space="6"/>
        </w:pBdr>
        <w:shd w:fill="F2F2F2" w:val="clear"/>
        <w:spacing w:after="200" w:before="100"/>
        <w:ind w:left="100"/>
      </w:pPr>
      <w:r>
        <w:rPr>
          <w:i/>
          <w:iCs/>
          <w:color w:val="5B5B5B"/>
          <w:sz w:val="19"/>
          <w:szCs w:val="19"/>
        </w:rPr>
        <w:t xml:space="preserve">Chaque entrée peut être illustrée par un projet phare déjà réalisé (ex. Atlas pour le résidentiel, CNPS pour la réhabilitation, Ngoulemekong pour l'urbanisme) afin d'ancrer l'offre dans des réalisations concrètes plutôt que dans un vocabulaire uniquement technique.</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72"/>
      </w:tabs>
    </w:pPr>
    <w:r>
      <w:rPr>
        <w:color w:val="5B5B5B"/>
        <w:sz w:val="15"/>
        <w:szCs w:val="15"/>
      </w:rPr>
      <w:t xml:space="preserve">BMK Architects — Doc. 03  |  Document interne — Usage équipe marketing</w:t>
    </w:r>
    <w:r>
      <w:t xml:space="preserve">	</w:t>
    </w:r>
    <w:r>
      <w:rPr>
        <w:color w:val="5B5B5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Offres de services — BMK Architects</dc:title>
  <dc:creator>BMK Architects — Équipe Marketing</dc:creator>
  <cp:lastModifiedBy>Un-named</cp:lastModifiedBy>
  <cp:revision>1</cp:revision>
  <dcterms:created xsi:type="dcterms:W3CDTF">2026-08-02T08:42:10.438Z</dcterms:created>
  <dcterms:modified xsi:type="dcterms:W3CDTF">2026-08-02T08:42:10.438Z</dcterms:modified>
</cp:coreProperties>
</file>

<file path=docProps/custom.xml><?xml version="1.0" encoding="utf-8"?>
<Properties xmlns="http://schemas.openxmlformats.org/officeDocument/2006/custom-properties" xmlns:vt="http://schemas.openxmlformats.org/officeDocument/2006/docPropsVTypes"/>
</file>