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3F6B33"/>
          <w:spacing w:val="20"/>
          <w:sz w:val="24"/>
          <w:szCs w:val="24"/>
        </w:rPr>
        <w:t xml:space="preserve">BMK ARCHITECTS</w:t>
      </w:r>
    </w:p>
    <w:p>
      <w:pPr>
        <w:pBdr>
          <w:bottom w:val="single" w:color="3F6B33" w:sz="12" w:space="8"/>
        </w:pBdr>
        <w:spacing w:after="500"/>
      </w:pPr>
      <w:r>
        <w:rPr>
          <w:b/>
          <w:bCs/>
          <w:color w:val="5B5B5B"/>
          <w:spacing w:val="16"/>
          <w:sz w:val="18"/>
          <w:szCs w:val="18"/>
        </w:rPr>
        <w:t xml:space="preserve">DOCUMENT MARKETING 04 / 04</w:t>
      </w:r>
    </w:p>
    <w:p>
      <w:pPr>
        <w:spacing w:after="240"/>
      </w:pPr>
      <w:r>
        <w:rPr>
          <w:b/>
          <w:bCs/>
          <w:color w:val="1A1A1A"/>
          <w:sz w:val="52"/>
          <w:szCs w:val="52"/>
        </w:rPr>
        <w:t xml:space="preserve">Analyse de la concurrence au Cameroun</w:t>
      </w:r>
    </w:p>
    <w:p>
      <w:pPr>
        <w:spacing w:after="1200"/>
      </w:pPr>
      <w:r>
        <w:rPr>
          <w:i/>
          <w:iCs/>
          <w:color w:val="5B5B5B"/>
          <w:sz w:val="26"/>
          <w:szCs w:val="26"/>
        </w:rPr>
        <w:t xml:space="preserve">Panorama des principaux cabinets d'architecture concurrents et enseignements pour BMK Architects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Préparé le :  </w:t>
      </w:r>
      <w:r>
        <w:rPr>
          <w:color w:val="5B5B5B"/>
          <w:sz w:val="20"/>
          <w:szCs w:val="20"/>
        </w:rPr>
        <w:t xml:space="preserve">2 août 2026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Destinataire :  </w:t>
      </w:r>
      <w:r>
        <w:rPr>
          <w:color w:val="5B5B5B"/>
          <w:sz w:val="20"/>
          <w:szCs w:val="20"/>
        </w:rPr>
        <w:t xml:space="preserve">Équipe marketing BMK Architects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Sources :  </w:t>
      </w:r>
      <w:r>
        <w:rPr>
          <w:color w:val="5B5B5B"/>
          <w:sz w:val="20"/>
          <w:szCs w:val="20"/>
        </w:rPr>
        <w:t xml:space="preserve">Recherches web (sites officiels, Instagram, presse) — données à confirmer/actualiser, notamment les statistiques de réseaux sociaux, sujettes à évolution rapide</w:t>
      </w:r>
    </w:p>
    <w:p>
      <w:r>
        <w:br w:type="page"/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1. Contexte du marché camerounais du BTP et de l'architecture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 secteur du BTP au Cameroun connaît une croissance annuelle moyenne estimée à 7,4 % jusqu'en 2028, ce qui en fait l'un des marchés les plus dynamiques d'Afrique centrale et de l'Ouest.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 coût médian de construction d'une maison de standing courant est estimé autour de 336 000 FCFA/m² habitable (hors terrain) en 2026, avec une fourchette de 281 000 à 343 000 FCFA/m² selon la typologie.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La hausse du prix des matériaux (ciment à partir de ~6 200 FCFA/sac) pèse sur les devis et peut freiner la commande privée, renforçant l'intérêt des marchés institutionnels et bancaires pour les cabinets qui y ont déjà accès — comme BMK Architects.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Yaoundé et Douala concentrent l'essentiel de la demande institutionnelle, bancaire et résidentielle haut de gamme ; c'est aussi là que se trouvent la plupart des cabinets concurrents identifiés.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2. Profils des principaux concurrents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2.1 Hermann Kamte &amp; Associates (HKA) — Yaoundé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Fondateur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Hermann Kamte, architecte camerounais, diplômé EAMAU (Lomé) en 2016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Architecture, urbanisme, design, recherche et développement — forte dimension recherche/identité culturelle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Distinctions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American Prize of Architecture, A'Design Awards, WAFX Prize 2017 (1er prix « identité culturelle » au World Architecture Festival)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Rayonnement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Presse internationale (Forbes Afrique, Quartz), exposition à la Roca London Gallery, projets en Afrique, Europe, Amérique du Nord et Asie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Réseaux sociaux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Compte personnel du fondateur @hermann_kamte (≈1 270 abonnés) + compte du cabinet @hka_associates — stratégie de marque personnelle forte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2.2 ZF Architects / ZFA Architects — Yaoundé (Biyem-Assi)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Collectif pluridisciplinaire : architectes, designers, ingénieurs, urbanistes, économistes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Architecture, ingénierie, urbanisme, paysage et design, du bâtiment à la ville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Réseaux sociaux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Instagram @zfa.architects : ≈1 391 abonnés, 33 comptes suivis, 24 publications — volume de contenu nettement supérieur à BMK Architects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2.3 CBCC Architects — Yaoundé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Cabinet « full service » : architecture, design d'intérieur, visualisation 3D, orienté clientèle commerciale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Présence digitale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Multi-plateforme : Behance (portfolio pro), Instagram et Facebook (grand public) — audiences professionnelles et grand public traitées séparément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2.4 ASFO Architect — Douala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Fondateur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M. Asfo, diplômé de l'École Nationale d'Architecture de Paris, cabinet fondé en 2010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Taille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Équipe d'environ 15 professionnels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Conception, construction et rénovation pour le résidentiel, le commercial et l'industriel — neuf et restructuration, bureaux, hôtellerie, logement, commerce, équipements publics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2.5 Cabinet d'Architecture Diwouta — Douala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Fondatrice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Danièle Diwouta-Kotto, cabinet créé en 1989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Ancienneté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Plus de 35 ans d'exercice — la plus ancienne référence identifiée sur ce panorama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Réalisations emblématiques</w:t>
            </w:r>
          </w:p>
        </w:tc>
        <w:tc>
          <w:tcPr>
            <w:tcW w:type="dxa" w:w="6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Réhabilitation SCB, Société Générale, immeuble Allianz ; extension de l'École Américaine ; installations du Douala International Terminal (port) ; gymnase du Lycée français ; pavillon médical de l'hôpital de Kribi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Notoriété</w:t>
            </w:r>
          </w:p>
        </w:tc>
        <w:tc>
          <w:tcPr>
            <w:tcW w:type="dxa" w:w="6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Projet public marquant — le « Kiosque à eau » de Bessengue (Douala, 2003), commande doual'art, ancré dans la mémoire urbaine locale</w:t>
            </w:r>
          </w:p>
        </w:tc>
      </w:tr>
    </w:tbl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3. Tableau comparatif synthétique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200"/>
        <w:gridCol w:w="3100"/>
        <w:gridCol w:w="1600"/>
      </w:tblGrid>
      <w:tr>
        <w:trPr>
          <w:tblHeader/>
        </w:trPr>
        <w:tc>
          <w:tcPr>
            <w:tcW w:type="dxa" w:w="23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Cabinet</w:t>
            </w:r>
          </w:p>
        </w:tc>
        <w:tc>
          <w:tcPr>
            <w:tcW w:type="dxa" w:w="13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Ville</w:t>
            </w:r>
          </w:p>
        </w:tc>
        <w:tc>
          <w:tcPr>
            <w:tcW w:type="dxa" w:w="1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Création</w:t>
            </w:r>
          </w:p>
        </w:tc>
        <w:tc>
          <w:tcPr>
            <w:tcW w:type="dxa" w:w="31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Spécialité dominante</w:t>
            </w:r>
          </w:p>
        </w:tc>
        <w:tc>
          <w:tcPr>
            <w:tcW w:type="dxa" w:w="1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Abonnés Instagram (ordre de grandeur)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BMK Architects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Yaoundé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2016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Institutionnel, bancaire, résidentiel, urbanisme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≈ 196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Hermann Kamte &amp; Associates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Yaoundé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2016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Recherche, identité culturelle, rayonnement international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≈ 1 270 (compte fondateur)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ZF / ZFA Architects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Yaoundé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n.c.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Pluridisciplinaire architecture-urbanisme-ingénierie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≈ 1 391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CBCC Architects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Yaoundé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n.c.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Commercial, design d'intérieur, visualisation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n.c.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ASFO Architect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Douala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2010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Résidentiel, commercial, industriel (neuf + rénovation)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n.c.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Cabinet Diwouta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Douala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1989</w:t>
            </w:r>
          </w:p>
        </w:tc>
        <w:tc>
          <w:tcPr>
            <w:tcW w:type="dxa" w:w="3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Réhabilitation patrimoniale, institutionnel, projets publics emblématiques</w:t>
            </w:r>
          </w:p>
        </w:tc>
        <w:tc>
          <w:tcPr>
            <w:tcW w:type="dxa" w:w="1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n.c.</w:t>
            </w:r>
          </w:p>
        </w:tc>
      </w:tr>
    </w:tbl>
    <w:p>
      <w:pPr>
        <w:pBdr>
          <w:left w:val="single" w:color="5B5B5B" w:sz="12" w:space="6"/>
        </w:pBdr>
        <w:shd w:fill="F2F2F2" w:val="clear"/>
        <w:spacing w:after="200" w:before="100"/>
        <w:ind w:left="100"/>
      </w:pPr>
      <w:r>
        <w:rPr>
          <w:i/>
          <w:iCs/>
          <w:color w:val="5B5B5B"/>
          <w:sz w:val="19"/>
          <w:szCs w:val="19"/>
        </w:rPr>
        <w:t xml:space="preserve">« n.c. » = donnée non confirmée par les recherches disponibles au 2 août 2026. Les chiffres d'abonnés évoluent vite ; à vérifier en temps réel avant toute utilisation en présentation externe.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4. Ce que BMK Architects doit apprendre de chacun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De Hermann Kamte &amp; Associates : </w:t>
      </w:r>
      <w:r>
        <w:rPr>
          <w:color w:val="1A1A1A"/>
          <w:sz w:val="21"/>
          <w:szCs w:val="21"/>
        </w:rPr>
        <w:t xml:space="preserve">construire une marque personnelle forte autour des fondateurs (interviews, tribunes, concours internationaux) pour générer de la crédibilité et des retombées presse, au-delà des seuls réseaux sociaux.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De ZFA Architects : </w:t>
      </w:r>
      <w:r>
        <w:rPr>
          <w:color w:val="1A1A1A"/>
          <w:sz w:val="21"/>
          <w:szCs w:val="21"/>
        </w:rPr>
        <w:t xml:space="preserve">publier avec un volume et une régularité bien supérieurs (24 publications contre 5) même avec une petite structure — la constance prime sur le volume de budget publicitaire.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De CBCC Architects : </w:t>
      </w:r>
      <w:r>
        <w:rPr>
          <w:color w:val="1A1A1A"/>
          <w:sz w:val="21"/>
          <w:szCs w:val="21"/>
        </w:rPr>
        <w:t xml:space="preserve">occuper plusieurs plateformes en fonction des publics : Behance/LinkedIn pour la crédibilité professionnelle (maîtres d'ouvrage, confrères), Instagram/Facebook pour le grand public et les particuliers.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D'ASFO Architect : </w:t>
      </w:r>
      <w:r>
        <w:rPr>
          <w:color w:val="1A1A1A"/>
          <w:sz w:val="21"/>
          <w:szCs w:val="21"/>
        </w:rPr>
        <w:t xml:space="preserve">formuler une offre de services large et explicitement documentée (neuf et rénovation, résidentiel/commercial/industriel) — exactement ce que le Document 03 propose de construire pour BMK.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Du Cabinet Diwouta : </w:t>
      </w:r>
      <w:r>
        <w:rPr>
          <w:color w:val="1A1A1A"/>
          <w:sz w:val="21"/>
          <w:szCs w:val="21"/>
        </w:rPr>
        <w:t xml:space="preserve">la durée et la réputation se construisent aussi par des réalisations urbaines marquantes et visibles dans l'espace public (ex. Kiosque à eau), qui ancrent une notoriété durable indépendamment des algorithmes des réseaux sociaux.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5. Recommandations stratégiques pour BMK Architects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Augmenter significativement le rythme de publication (viser la fourchette de ZFA Architects : ~2 publications/semaine) plutôt que de compter sur des posts ponctuels boostés.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Mettre en avant le portefeuille institutionnel et bancaire (BAD, BEAC, CNPS) comme argument de différenciation face à des concurrents plus positionnés résidentiel/commercial — un angle que peu de concurrents identifiés occupent aussi fortement.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Envisager une présence LinkedIn, pertinente pour toucher les décideurs de banques et d'institutions, un canal qu'aucun des concurrents analysés ne semble exploiter de façon visible.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Développer un ou deux projets « signature » visibles dans l'espace public ou fortement relayés (à l'image du Kiosque à eau de Cabinet Diwouta ou du Lagos Wooden Tower de Hermann Kamte) pour ancrer une notoriété qui dépasse les statistiques Instagram.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Documenter et publier une offre de services claire (cf. Document 03), un point sur lequel ASFO Architect est en avance et où BMK peut rapidement combler l'écart.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Surveiller trimestriellement les comptes Instagram des concurrents cités (abonnés, fréquence, formats) pour ajuster la stratégie de contenu dans la durée.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72"/>
      </w:tabs>
    </w:pPr>
    <w:r>
      <w:rPr>
        <w:color w:val="5B5B5B"/>
        <w:sz w:val="15"/>
        <w:szCs w:val="15"/>
      </w:rPr>
      <w:t xml:space="preserve">BMK Architects — Doc. 04  |  Document interne — Usage équipe marketing</w:t>
    </w:r>
    <w:r>
      <w:t xml:space="preserve">	</w:t>
    </w:r>
    <w:r>
      <w:rPr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la concurrence au Cameroun — BMK Architects</dc:title>
  <dc:creator>BMK Architects — Équipe Marketing</dc:creator>
  <cp:lastModifiedBy>Un-named</cp:lastModifiedBy>
  <cp:revision>1</cp:revision>
  <dcterms:created xsi:type="dcterms:W3CDTF">2026-08-02T08:42:10.540Z</dcterms:created>
  <dcterms:modified xsi:type="dcterms:W3CDTF">2026-08-02T08:42:10.540Z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