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t xml:space="preserve"/>
      </w:r>
    </w:p>
    <w:p>
      <w:pPr>
        <w:spacing w:after="80" w:before="0"/>
      </w:pPr>
      <w:r>
        <w:t xml:space="preserve"/>
      </w:r>
    </w:p>
    <w:p>
      <w:pPr>
        <w:spacing w:after="80" w:before="0"/>
        <w:jc w:val="center"/>
      </w:pPr>
      <w:r>
        <w:rPr>
          <w:rFonts w:ascii="Arial" w:cs="Arial" w:eastAsia="Arial" w:hAnsi="Arial"/>
          <w:b/>
          <w:bCs/>
          <w:color w:val="1F3864"/>
          <w:sz w:val="32"/>
          <w:szCs w:val="32"/>
        </w:rPr>
        <w:t xml:space="preserve">Thaw-Induced Structural Degradation of Highway Pavements During Extreme Weather Events:</w:t>
      </w:r>
    </w:p>
    <w:p>
      <w:pPr>
        <w:spacing w:after="360" w:before="0"/>
        <w:jc w:val="center"/>
      </w:pPr>
      <w:r>
        <w:rPr>
          <w:rFonts w:ascii="Arial" w:cs="Arial" w:eastAsia="Arial" w:hAnsi="Arial"/>
          <w:b/>
          <w:bCs/>
          <w:color w:val="1F3864"/>
          <w:sz w:val="32"/>
          <w:szCs w:val="32"/>
        </w:rPr>
        <w:t xml:space="preserve">A 1D Finite Difference Thermal Model with Bearing Capacity Analysis</w:t>
      </w:r>
    </w:p>
    <w:p>
      <w:pPr>
        <w:spacing w:after="80" w:before="0"/>
        <w:jc w:val="center"/>
      </w:pPr>
      <w:r>
        <w:rPr>
          <w:rFonts w:ascii="Times New Roman" w:cs="Times New Roman" w:eastAsia="Times New Roman" w:hAnsi="Times New Roman"/>
          <w:sz w:val="22"/>
          <w:szCs w:val="22"/>
        </w:rPr>
        <w:t xml:space="preserve">Author Name</w:t>
      </w:r>
    </w:p>
    <w:p>
      <w:pPr>
        <w:spacing w:after="80" w:before="0"/>
        <w:jc w:val="center"/>
      </w:pPr>
      <w:r>
        <w:rPr>
          <w:rFonts w:ascii="Times New Roman" w:cs="Times New Roman" w:eastAsia="Times New Roman" w:hAnsi="Times New Roman"/>
          <w:sz w:val="20"/>
          <w:szCs w:val="20"/>
        </w:rPr>
        <w:t xml:space="preserve">Department of Civil Engineering</w:t>
      </w:r>
    </w:p>
    <w:p>
      <w:pPr>
        <w:spacing w:after="80" w:before="0"/>
        <w:jc w:val="center"/>
      </w:pPr>
      <w:r>
        <w:rPr>
          <w:rFonts w:ascii="Times New Roman" w:cs="Times New Roman" w:eastAsia="Times New Roman" w:hAnsi="Times New Roman"/>
          <w:sz w:val="20"/>
          <w:szCs w:val="20"/>
        </w:rPr>
        <w:t xml:space="preserve">University / Institution Name</w:t>
      </w:r>
    </w:p>
    <w:p>
      <w:pPr>
        <w:spacing w:after="80" w:before="0"/>
        <w:jc w:val="center"/>
      </w:pPr>
      <w:r>
        <w:rPr>
          <w:rFonts w:ascii="Times New Roman" w:cs="Times New Roman" w:eastAsia="Times New Roman" w:hAnsi="Times New Roman"/>
          <w:sz w:val="20"/>
          <w:szCs w:val="20"/>
        </w:rPr>
        <w:t xml:space="preserve">hello@trigteq.com</w:t>
      </w:r>
    </w:p>
    <w:p>
      <w:pPr>
        <w:spacing w:after="80" w:before="0"/>
      </w:pPr>
      <w:r>
        <w:t xml:space="preserve"/>
      </w:r>
    </w:p>
    <w:p>
      <w:pPr>
        <w:spacing w:after="80" w:before="0"/>
        <w:jc w:val="center"/>
      </w:pPr>
      <w:r>
        <w:rPr>
          <w:rFonts w:ascii="Times New Roman" w:cs="Times New Roman" w:eastAsia="Times New Roman" w:hAnsi="Times New Roman"/>
          <w:sz w:val="20"/>
          <w:szCs w:val="20"/>
        </w:rPr>
        <w:t xml:space="preserve">June 2026</w:t>
      </w:r>
    </w:p>
    <w:p>
      <w:pPr>
        <w:spacing w:after="80" w:before="0"/>
      </w:pPr>
      <w:r>
        <w:t xml:space="preserve"/>
      </w:r>
    </w:p>
    <w:p>
      <w:pPr>
        <w:spacing w:after="80" w:before="0"/>
      </w:pPr>
      <w:r>
        <w:t xml:space="preserve"/>
      </w:r>
    </w:p>
    <w:p>
      <w:pPr>
        <w:pBdr>
          <w:bottom w:val="single" w:color="AAAAAA" w:sz="4" w:space="1"/>
        </w:pBdr>
        <w:spacing w:after="120" w:before="120"/>
      </w:pPr>
    </w:p>
    <w:p>
      <w:pPr>
        <w:spacing w:after="80" w:before="160"/>
        <w:jc w:val="center"/>
      </w:pPr>
      <w:r>
        <w:rPr>
          <w:rFonts w:ascii="Arial" w:cs="Arial" w:eastAsia="Arial" w:hAnsi="Arial"/>
          <w:b/>
          <w:bCs/>
          <w:sz w:val="24"/>
          <w:szCs w:val="24"/>
        </w:rPr>
        <w:t xml:space="preserve">ABSTRACT</w:t>
      </w:r>
    </w:p>
    <w:p>
      <w:pPr>
        <w:spacing w:after="160" w:before="0"/>
        <w:jc w:val="both"/>
      </w:pPr>
      <w:r>
        <w:rPr>
          <w:rFonts w:ascii="Times New Roman" w:cs="Times New Roman" w:eastAsia="Times New Roman" w:hAnsi="Times New Roman"/>
          <w:sz w:val="22"/>
          <w:szCs w:val="22"/>
        </w:rPr>
        <w:t xml:space="preserve">Extreme spring thaw events increasingly threaten the structural integrity of highway pavements, as accelerated soil moisture release combined with sustained above-freezing air temperatures create conditions that standard design models do not adequately capture. This paper presents a one-dimensional explicit finite difference thermal model of a four-layer pavement system subjected to a 120-hour Chinook-type warm-air intrusion event. The model solves the heat diffusion equation across asphalt, granular base, subbase, and subgrade layers using thermophysical properties drawn from established literature. Results demonstrate that under extreme thaw conditions, the freeze front can penetrate into the subgrade within 60 hours, triggering non-linear bearing capacity loss calibrated to AASHTO thaw-weakening factors. The Bearing Capacity Index (BCI) drops below 80% (load restriction threshold) and 60% (road closure threshold) for a sustained period, with a minimum of 50% recorded at peak thaw depth. The findings underscore that conventional diurnal temperature models underestimate subgrade exposure duration and recommend that load restriction protocols incorporate air mass persistence forecasts rather than threshold temperatures alone.</w:t>
      </w:r>
    </w:p>
    <w:p>
      <w:pPr>
        <w:spacing w:after="200" w:before="80"/>
      </w:pPr>
      <w:r>
        <w:rPr>
          <w:rFonts w:ascii="Times New Roman" w:cs="Times New Roman" w:eastAsia="Times New Roman" w:hAnsi="Times New Roman"/>
          <w:b/>
          <w:bCs/>
          <w:sz w:val="22"/>
          <w:szCs w:val="22"/>
        </w:rPr>
        <w:t xml:space="preserve">Keywords: </w:t>
      </w:r>
      <w:r>
        <w:rPr>
          <w:rFonts w:ascii="Times New Roman" w:cs="Times New Roman" w:eastAsia="Times New Roman" w:hAnsi="Times New Roman"/>
          <w:sz w:val="22"/>
          <w:szCs w:val="22"/>
        </w:rPr>
        <w:t xml:space="preserve">spring thaw, pavement structural degradation, thermal diffusion, bearing capacity, finite difference model, extreme weather</w:t>
      </w:r>
    </w:p>
    <w:p>
      <w:pPr>
        <w:pBdr>
          <w:bottom w:val="single" w:color="AAAAAA" w:sz="4" w:space="1"/>
        </w:pBdr>
        <w:spacing w:after="120" w:before="120"/>
      </w:pPr>
    </w:p>
    <w:p>
      <w:r>
        <w:br w:type="page"/>
      </w:r>
    </w:p>
    <w:p>
      <w:pPr>
        <w:pStyle w:val="Heading1"/>
        <w:spacing w:after="120" w:before="360"/>
      </w:pPr>
      <w:r>
        <w:rPr>
          <w:rFonts w:ascii="Arial" w:cs="Arial" w:eastAsia="Arial" w:hAnsi="Arial"/>
          <w:b/>
          <w:bCs/>
          <w:sz w:val="28"/>
          <w:szCs w:val="28"/>
        </w:rPr>
        <w:t xml:space="preserve">1. Introduction</w:t>
      </w:r>
    </w:p>
    <w:p>
      <w:pPr>
        <w:spacing w:after="160" w:before="0"/>
        <w:jc w:val="both"/>
      </w:pPr>
      <w:r>
        <w:rPr>
          <w:rFonts w:ascii="Times New Roman" w:cs="Times New Roman" w:eastAsia="Times New Roman" w:hAnsi="Times New Roman"/>
          <w:sz w:val="22"/>
          <w:szCs w:val="22"/>
        </w:rPr>
        <w:t xml:space="preserve">Highway pavement systems in cold-climate regions are subject to cyclical freeze-thaw processes that progressively degrade structural integrity. During spring thaw, water released from melting ice lenses in the subgrade cannot drain rapidly, generating excess pore pressure that dramatically reduces the load-bearing capacity of pavement foundations. This phenomenon, known as thaw weakening, is a primary driver of spring road damage costs in northern countries, estimated at over $5 billion annually in North America alone (NCHRP, 2020).</w:t>
      </w:r>
    </w:p>
    <w:p>
      <w:pPr>
        <w:spacing w:after="160" w:before="0"/>
        <w:jc w:val="both"/>
      </w:pPr>
      <w:r>
        <w:rPr>
          <w:rFonts w:ascii="Times New Roman" w:cs="Times New Roman" w:eastAsia="Times New Roman" w:hAnsi="Times New Roman"/>
          <w:sz w:val="22"/>
          <w:szCs w:val="22"/>
        </w:rPr>
        <w:t xml:space="preserve">Climate change has increased the frequency of extreme thermal events in which sustained warm air masses — Chinook winds in North America, Foehn events in Europe — drive rapid surface temperature increases that persist across multiple diurnal cycles. Unlike conventional spring thaw, these events maintain above-zero nighttime temperatures, eliminating the partial refreezing that normally limits thaw penetration depth. Existing thaw-weakening models, including the AASHTO Mechanistic-Empirical Pavement Design Guide (MEPDG), are calibrated against moderate climate assumptions and may underpredict subgrade exposure under extreme events.</w:t>
      </w:r>
    </w:p>
    <w:p>
      <w:pPr>
        <w:spacing w:after="160" w:before="0"/>
        <w:jc w:val="both"/>
      </w:pPr>
      <w:r>
        <w:rPr>
          <w:rFonts w:ascii="Times New Roman" w:cs="Times New Roman" w:eastAsia="Times New Roman" w:hAnsi="Times New Roman"/>
          <w:sz w:val="22"/>
          <w:szCs w:val="22"/>
        </w:rPr>
        <w:t xml:space="preserve">This paper addresses that gap with three specific contributions: (1) a validated 1D finite difference thermal model of a four-layer pavement system under extreme warm-air forcing; (2) a non-linear Bearing Capacity Index (BCI) function calibrated to observed thaw-weakening behavior; and (3) quantification of the duration and severity of load restriction thresholds during a simulated 120-hour extreme thaw event. The model is implemented in Python with full source code provided in Appendix A.</w:t>
      </w:r>
    </w:p>
    <w:p>
      <w:pPr>
        <w:pStyle w:val="Heading2"/>
        <w:spacing w:after="80" w:before="240"/>
      </w:pPr>
      <w:r>
        <w:rPr>
          <w:rFonts w:ascii="Arial" w:cs="Arial" w:eastAsia="Arial" w:hAnsi="Arial"/>
          <w:b/>
          <w:bCs/>
          <w:sz w:val="24"/>
          <w:szCs w:val="24"/>
        </w:rPr>
        <w:t xml:space="preserve">1.1 Research Objectives</w:t>
      </w:r>
    </w:p>
    <w:p>
      <w:pPr>
        <w:spacing w:after="160" w:before="0"/>
        <w:jc w:val="both"/>
      </w:pPr>
      <w:r>
        <w:rPr>
          <w:rFonts w:ascii="Times New Roman" w:cs="Times New Roman" w:eastAsia="Times New Roman" w:hAnsi="Times New Roman"/>
          <w:sz w:val="22"/>
          <w:szCs w:val="22"/>
        </w:rPr>
        <w:t xml:space="preserve">This study pursues three objectives:</w:t>
      </w:r>
    </w:p>
    <w:p>
      <w:pPr>
        <w:pStyle w:val="ListParagraph"/>
        <w:numPr>
          <w:ilvl w:val="0"/>
          <w:numId w:val="2"/>
        </w:numPr>
        <w:spacing w:after="80" w:before="0"/>
      </w:pPr>
      <w:r>
        <w:rPr>
          <w:rFonts w:ascii="Times New Roman" w:cs="Times New Roman" w:eastAsia="Times New Roman" w:hAnsi="Times New Roman"/>
          <w:sz w:val="22"/>
          <w:szCs w:val="22"/>
        </w:rPr>
        <w:t xml:space="preserve">Develop a computationally efficient 1D thermal diffusion model of pavement layer response to extreme surface temperature forcing.</w:t>
      </w:r>
    </w:p>
    <w:p>
      <w:pPr>
        <w:pStyle w:val="ListParagraph"/>
        <w:numPr>
          <w:ilvl w:val="0"/>
          <w:numId w:val="2"/>
        </w:numPr>
        <w:spacing w:after="80" w:before="0"/>
      </w:pPr>
      <w:r>
        <w:rPr>
          <w:rFonts w:ascii="Times New Roman" w:cs="Times New Roman" w:eastAsia="Times New Roman" w:hAnsi="Times New Roman"/>
          <w:sz w:val="22"/>
          <w:szCs w:val="22"/>
        </w:rPr>
        <w:t xml:space="preserve">Quantify the relationship between thaw front penetration depth and bearing capacity loss using a non-linear BCI formulation.</w:t>
      </w:r>
    </w:p>
    <w:p>
      <w:pPr>
        <w:pStyle w:val="ListParagraph"/>
        <w:numPr>
          <w:ilvl w:val="0"/>
          <w:numId w:val="2"/>
        </w:numPr>
        <w:spacing w:after="200" w:before="0"/>
      </w:pPr>
      <w:r>
        <w:rPr>
          <w:rFonts w:ascii="Times New Roman" w:cs="Times New Roman" w:eastAsia="Times New Roman" w:hAnsi="Times New Roman"/>
          <w:sz w:val="22"/>
          <w:szCs w:val="22"/>
        </w:rPr>
        <w:t xml:space="preserve">Identify the duration and severity of conditions requiring load restrictions or road closure under extreme thaw scenarios.</w:t>
      </w:r>
    </w:p>
    <w:p>
      <w:pPr>
        <w:pStyle w:val="Heading1"/>
        <w:spacing w:after="120" w:before="360"/>
      </w:pPr>
      <w:r>
        <w:rPr>
          <w:rFonts w:ascii="Arial" w:cs="Arial" w:eastAsia="Arial" w:hAnsi="Arial"/>
          <w:b/>
          <w:bCs/>
          <w:sz w:val="28"/>
          <w:szCs w:val="28"/>
        </w:rPr>
        <w:t xml:space="preserve">2. Literature Review</w:t>
      </w:r>
    </w:p>
    <w:p>
      <w:pPr>
        <w:pStyle w:val="Heading2"/>
        <w:spacing w:after="80" w:before="240"/>
      </w:pPr>
      <w:r>
        <w:rPr>
          <w:rFonts w:ascii="Arial" w:cs="Arial" w:eastAsia="Arial" w:hAnsi="Arial"/>
          <w:b/>
          <w:bCs/>
          <w:sz w:val="24"/>
          <w:szCs w:val="24"/>
        </w:rPr>
        <w:t xml:space="preserve">2.1 Freeze-Thaw Mechanics in Pavement Subgrades</w:t>
      </w:r>
    </w:p>
    <w:p>
      <w:pPr>
        <w:spacing w:after="160" w:before="0"/>
        <w:jc w:val="both"/>
      </w:pPr>
      <w:r>
        <w:rPr>
          <w:rFonts w:ascii="Times New Roman" w:cs="Times New Roman" w:eastAsia="Times New Roman" w:hAnsi="Times New Roman"/>
          <w:sz w:val="22"/>
          <w:szCs w:val="22"/>
        </w:rPr>
        <w:t xml:space="preserve">The freeze-thaw cycle in pavement systems is governed by the Stefan equation and its extensions, which describe the advance of a freeze front as a function of surface temperature, soil thermal properties, and latent heat of fusion (Aldrich &amp; Paynter, 1953). Frost heave occurs when capillary suction draws water toward the freezing front, forming ice lenses that displace the overlying soil mass. Upon thawing, these lenses release water into a soil matrix that cannot drain instantaneously, generating excess porewater pressure and collapsing effective stress.</w:t>
      </w:r>
    </w:p>
    <w:p>
      <w:pPr>
        <w:spacing w:after="160" w:before="0"/>
        <w:jc w:val="both"/>
      </w:pPr>
      <w:r>
        <w:rPr>
          <w:rFonts w:ascii="Times New Roman" w:cs="Times New Roman" w:eastAsia="Times New Roman" w:hAnsi="Times New Roman"/>
          <w:sz w:val="22"/>
          <w:szCs w:val="22"/>
        </w:rPr>
        <w:t xml:space="preserve">Andersland and Ladanyi (2004) documented that frozen fine-grained soils exhibit a 60-80% reduction in California Bearing Ratio (CBR) values during the critical thaw period, with recovery requiring 2-6 weeks depending on drainage characteristics. The AASHTO thaw-weakening model applies a seasonal adjustment factor to structural number that reduces allowable axle loads to 25-50% of full-strength values during thaw periods.</w:t>
      </w:r>
    </w:p>
    <w:p>
      <w:pPr>
        <w:pStyle w:val="Heading2"/>
        <w:spacing w:after="80" w:before="240"/>
      </w:pPr>
      <w:r>
        <w:rPr>
          <w:rFonts w:ascii="Arial" w:cs="Arial" w:eastAsia="Arial" w:hAnsi="Arial"/>
          <w:b/>
          <w:bCs/>
          <w:sz w:val="24"/>
          <w:szCs w:val="24"/>
        </w:rPr>
        <w:t xml:space="preserve">2.2 Thermal Models of Pavement Systems</w:t>
      </w:r>
    </w:p>
    <w:p>
      <w:pPr>
        <w:spacing w:after="160" w:before="0"/>
        <w:jc w:val="both"/>
      </w:pPr>
      <w:r>
        <w:rPr>
          <w:rFonts w:ascii="Times New Roman" w:cs="Times New Roman" w:eastAsia="Times New Roman" w:hAnsi="Times New Roman"/>
          <w:sz w:val="22"/>
          <w:szCs w:val="22"/>
        </w:rPr>
        <w:t xml:space="preserve">One-dimensional thermal models of pavement systems have a long history, beginning with the analytical solutions of Berggren (1943) for frost penetration in soil. Numerical approaches using finite difference and finite element methods have extended these models to account for multi-layer systems, phase change latent heat, and variable boundary conditions (Qin et al., 2009; Ling et al., 2015). The MEPDG incorporates a 1D finite difference climate module (EICM) calibrated to North American climate stations.</w:t>
      </w:r>
    </w:p>
    <w:p>
      <w:pPr>
        <w:spacing w:after="160" w:before="0"/>
        <w:jc w:val="both"/>
      </w:pPr>
      <w:r>
        <w:rPr>
          <w:rFonts w:ascii="Times New Roman" w:cs="Times New Roman" w:eastAsia="Times New Roman" w:hAnsi="Times New Roman"/>
          <w:sz w:val="22"/>
          <w:szCs w:val="22"/>
        </w:rPr>
        <w:t xml:space="preserve">A key limitation of existing models is their reliance on historical climate normals for boundary condition specification. Michaelides et al. (2020) demonstrated that Chinook-type warm air intrusion events produce surface temperature anomalies of 10-18°C above seasonal norms, sustained for 3-7 days, which fall outside the calibration envelope of standard models. This paper addresses this gap by explicitly modeling a sustained warm-air forcing scenario.</w:t>
      </w:r>
    </w:p>
    <w:p>
      <w:pPr>
        <w:pStyle w:val="Heading2"/>
        <w:spacing w:after="80" w:before="240"/>
      </w:pPr>
      <w:r>
        <w:rPr>
          <w:rFonts w:ascii="Arial" w:cs="Arial" w:eastAsia="Arial" w:hAnsi="Arial"/>
          <w:b/>
          <w:bCs/>
          <w:sz w:val="24"/>
          <w:szCs w:val="24"/>
        </w:rPr>
        <w:t xml:space="preserve">2.3 Bearing Capacity Degradation During Thaw</w:t>
      </w:r>
    </w:p>
    <w:p>
      <w:pPr>
        <w:spacing w:after="160" w:before="0"/>
        <w:jc w:val="both"/>
      </w:pPr>
      <w:r>
        <w:rPr>
          <w:rFonts w:ascii="Times New Roman" w:cs="Times New Roman" w:eastAsia="Times New Roman" w:hAnsi="Times New Roman"/>
          <w:sz w:val="22"/>
          <w:szCs w:val="22"/>
        </w:rPr>
        <w:t xml:space="preserve">The relationship between thaw depth and bearing capacity loss is non-linear and sensitive to the drainage characteristics of the subgrade material. Simonsen and Isacsson (1999) showed that the critical period for bearing capacity loss corresponds to 10-40% thaw penetration of the subgrade, when excess porewater cannot drain through still-frozen material below. After 50% thaw, drainage begins to recover and strength partially returns.</w:t>
      </w:r>
    </w:p>
    <w:p>
      <w:pPr>
        <w:spacing w:after="160" w:before="0"/>
        <w:jc w:val="both"/>
      </w:pPr>
      <w:r>
        <w:rPr>
          <w:rFonts w:ascii="Times New Roman" w:cs="Times New Roman" w:eastAsia="Times New Roman" w:hAnsi="Times New Roman"/>
          <w:sz w:val="22"/>
          <w:szCs w:val="22"/>
        </w:rPr>
        <w:t xml:space="preserve">Load restriction programs in northern jurisdictions (Canada, Scandinavia, Alaska) typically apply 50-75% load reductions when surface thaw conditions are detected, without regard to thaw depth or duration of the forcing event. This paper argues that extreme events require duration-aware restriction protocols tied to air mass persistence forecasts.</w:t>
      </w:r>
    </w:p>
    <w:p>
      <w:r>
        <w:br w:type="page"/>
      </w:r>
    </w:p>
    <w:p>
      <w:pPr>
        <w:pStyle w:val="Heading1"/>
        <w:spacing w:after="120" w:before="360"/>
      </w:pPr>
      <w:r>
        <w:rPr>
          <w:rFonts w:ascii="Arial" w:cs="Arial" w:eastAsia="Arial" w:hAnsi="Arial"/>
          <w:b/>
          <w:bCs/>
          <w:sz w:val="28"/>
          <w:szCs w:val="28"/>
        </w:rPr>
        <w:t xml:space="preserve">3. Methodology</w:t>
      </w:r>
    </w:p>
    <w:p>
      <w:pPr>
        <w:pStyle w:val="Heading2"/>
        <w:spacing w:after="80" w:before="240"/>
      </w:pPr>
      <w:r>
        <w:rPr>
          <w:rFonts w:ascii="Arial" w:cs="Arial" w:eastAsia="Arial" w:hAnsi="Arial"/>
          <w:b/>
          <w:bCs/>
          <w:sz w:val="24"/>
          <w:szCs w:val="24"/>
        </w:rPr>
        <w:t xml:space="preserve">3.1 Model Domain and Pavement Structure</w:t>
      </w:r>
    </w:p>
    <w:p>
      <w:pPr>
        <w:spacing w:after="160" w:before="0"/>
        <w:jc w:val="both"/>
      </w:pPr>
      <w:r>
        <w:rPr>
          <w:rFonts w:ascii="Times New Roman" w:cs="Times New Roman" w:eastAsia="Times New Roman" w:hAnsi="Times New Roman"/>
          <w:sz w:val="22"/>
          <w:szCs w:val="22"/>
        </w:rPr>
        <w:t xml:space="preserve">The model domain represents a typical asphalt highway cross-section with four layers: a 0.10 m asphalt surface, a 0.25 m granular base, a 0.30 m subbase, and a 0.50 m subgrade. Total modeled depth is 1.15 m, extending below the expected thaw penetration depth under extreme conditions. Thermophysical properties are assigned per layer based on values reported in Cengel (2003) and NCHRP Report 459 (Table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1760"/>
        <w:gridCol w:w="2000"/>
      </w:tblGrid>
      <w:tr>
        <w:trPr>
          <w:tblHeader/>
        </w:trPr>
        <w:tc>
          <w:tcPr>
            <w:tcW w:type="dxa" w:w="2000"/>
            <w:tcBorders>
              <w:top w:val="single" w:color="CCCCCC" w:sz="1"/>
              <w:left w:val="single" w:color="CCCCCC" w:sz="1"/>
              <w:bottom w:val="single" w:color="CCCCCC" w:sz="1"/>
              <w:right w:val="single" w:color="CCCCCC" w:sz="1"/>
            </w:tcBorders>
            <w:shd w:fill="2E5B8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Layer</w:t>
            </w:r>
          </w:p>
        </w:tc>
        <w:tc>
          <w:tcPr>
            <w:tcW w:type="dxa" w:w="1800"/>
            <w:tcBorders>
              <w:top w:val="single" w:color="CCCCCC" w:sz="1"/>
              <w:left w:val="single" w:color="CCCCCC" w:sz="1"/>
              <w:bottom w:val="single" w:color="CCCCCC" w:sz="1"/>
              <w:right w:val="single" w:color="CCCCCC" w:sz="1"/>
            </w:tcBorders>
            <w:shd w:fill="2E5B8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Thickness (m)</w:t>
            </w:r>
          </w:p>
        </w:tc>
        <w:tc>
          <w:tcPr>
            <w:tcW w:type="dxa" w:w="1800"/>
            <w:tcBorders>
              <w:top w:val="single" w:color="CCCCCC" w:sz="1"/>
              <w:left w:val="single" w:color="CCCCCC" w:sz="1"/>
              <w:bottom w:val="single" w:color="CCCCCC" w:sz="1"/>
              <w:right w:val="single" w:color="CCCCCC" w:sz="1"/>
            </w:tcBorders>
            <w:shd w:fill="2E5B8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 (W/m·K)</w:t>
            </w:r>
          </w:p>
        </w:tc>
        <w:tc>
          <w:tcPr>
            <w:tcW w:type="dxa" w:w="1760"/>
            <w:tcBorders>
              <w:top w:val="single" w:color="CCCCCC" w:sz="1"/>
              <w:left w:val="single" w:color="CCCCCC" w:sz="1"/>
              <w:bottom w:val="single" w:color="CCCCCC" w:sz="1"/>
              <w:right w:val="single" w:color="CCCCCC" w:sz="1"/>
            </w:tcBorders>
            <w:shd w:fill="2E5B8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rho (kg/m³)</w:t>
            </w:r>
          </w:p>
        </w:tc>
        <w:tc>
          <w:tcPr>
            <w:tcW w:type="dxa" w:w="2000"/>
            <w:tcBorders>
              <w:top w:val="single" w:color="CCCCCC" w:sz="1"/>
              <w:left w:val="single" w:color="CCCCCC" w:sz="1"/>
              <w:bottom w:val="single" w:color="CCCCCC" w:sz="1"/>
              <w:right w:val="single" w:color="CCCCCC" w:sz="1"/>
            </w:tcBorders>
            <w:shd w:fill="2E5B8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cp (J/kg·K)</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Asphalt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1.05</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2300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920</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Granular Base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0.25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1.30</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840</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Subbase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0.30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0.90</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1800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800</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Subgrade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0.50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0.50</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1600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1200</w:t>
            </w:r>
          </w:p>
        </w:tc>
      </w:tr>
    </w:tbl>
    <w:p>
      <w:pPr>
        <w:spacing w:after="200" w:before="60"/>
        <w:jc w:val="center"/>
      </w:pPr>
      <w:r>
        <w:rPr>
          <w:rFonts w:ascii="Arial" w:cs="Arial" w:eastAsia="Arial" w:hAnsi="Arial"/>
          <w:i/>
          <w:iCs/>
          <w:color w:val="444444"/>
          <w:sz w:val="18"/>
          <w:szCs w:val="18"/>
        </w:rPr>
        <w:t xml:space="preserve">Table 1. Pavement layer thermophysical properties used in the simulation.</w:t>
      </w:r>
    </w:p>
    <w:p>
      <w:pPr>
        <w:pStyle w:val="Heading2"/>
        <w:spacing w:after="80" w:before="240"/>
      </w:pPr>
      <w:r>
        <w:rPr>
          <w:rFonts w:ascii="Arial" w:cs="Arial" w:eastAsia="Arial" w:hAnsi="Arial"/>
          <w:b/>
          <w:bCs/>
          <w:sz w:val="24"/>
          <w:szCs w:val="24"/>
        </w:rPr>
        <w:t xml:space="preserve">3.2 Governing Equation</w:t>
      </w:r>
    </w:p>
    <w:p>
      <w:pPr>
        <w:spacing w:after="160" w:before="0"/>
        <w:jc w:val="both"/>
      </w:pPr>
      <w:r>
        <w:rPr>
          <w:rFonts w:ascii="Times New Roman" w:cs="Times New Roman" w:eastAsia="Times New Roman" w:hAnsi="Times New Roman"/>
          <w:sz w:val="22"/>
          <w:szCs w:val="22"/>
        </w:rPr>
        <w:t xml:space="preserve">Heat conduction in each layer is governed by the 1D diffusion equation:</w:t>
      </w:r>
    </w:p>
    <w:p>
      <w:pPr>
        <w:spacing w:after="80" w:before="80"/>
        <w:jc w:val="center"/>
      </w:pPr>
      <w:r>
        <w:rPr>
          <w:rFonts w:ascii="Courier New" w:cs="Courier New" w:eastAsia="Courier New" w:hAnsi="Courier New"/>
          <w:b/>
          <w:bCs/>
          <w:sz w:val="26"/>
          <w:szCs w:val="26"/>
        </w:rPr>
        <w:t xml:space="preserve">∂T/∂t = α · ∂²T/∂z²</w:t>
      </w:r>
    </w:p>
    <w:p>
      <w:pPr>
        <w:spacing w:after="160" w:before="0"/>
        <w:jc w:val="both"/>
      </w:pPr>
      <w:r>
        <w:rPr>
          <w:rFonts w:ascii="Times New Roman" w:cs="Times New Roman" w:eastAsia="Times New Roman" w:hAnsi="Times New Roman"/>
          <w:sz w:val="22"/>
          <w:szCs w:val="22"/>
        </w:rPr>
        <w:t xml:space="preserve">where T is temperature (°C), t is time (s), z is depth (m), and α = k/(ρ·cₚ) is the thermal diffusivity (m²/s). Latent heat effects at the phase change boundary are not explicitly modeled in this first-version study; this is a acknowledged simplification that slightly overestimates thaw penetration rate and is flagged as a direction for future work.</w:t>
      </w:r>
    </w:p>
    <w:p>
      <w:pPr>
        <w:pStyle w:val="Heading2"/>
        <w:spacing w:after="80" w:before="240"/>
      </w:pPr>
      <w:r>
        <w:rPr>
          <w:rFonts w:ascii="Arial" w:cs="Arial" w:eastAsia="Arial" w:hAnsi="Arial"/>
          <w:b/>
          <w:bCs/>
          <w:sz w:val="24"/>
          <w:szCs w:val="24"/>
        </w:rPr>
        <w:t xml:space="preserve">3.3 Numerical Scheme</w:t>
      </w:r>
    </w:p>
    <w:p>
      <w:pPr>
        <w:spacing w:after="160" w:before="0"/>
        <w:jc w:val="both"/>
      </w:pPr>
      <w:r>
        <w:rPr>
          <w:rFonts w:ascii="Times New Roman" w:cs="Times New Roman" w:eastAsia="Times New Roman" w:hAnsi="Times New Roman"/>
          <w:sz w:val="22"/>
          <w:szCs w:val="22"/>
        </w:rPr>
        <w:t xml:space="preserve">The governing equation is discretized using an explicit forward-in-time, centered-in-space (FTCS) finite difference scheme with spatial step dz = 0.05 m and time step dt = 30 s. The von Neumann stability condition r = α·dt/dz² &lt; 0.5 is satisfied for all layers (r_max = 0.0093). The domain contains N = 24 nodes. Boundary conditions are:</w:t>
      </w:r>
    </w:p>
    <w:p>
      <w:pPr>
        <w:pStyle w:val="ListParagraph"/>
        <w:numPr>
          <w:ilvl w:val="0"/>
          <w:numId w:val="2"/>
        </w:numPr>
        <w:spacing w:after="80" w:before="0"/>
      </w:pPr>
      <w:r>
        <w:rPr>
          <w:rFonts w:ascii="Times New Roman" w:cs="Times New Roman" w:eastAsia="Times New Roman" w:hAnsi="Times New Roman"/>
          <w:sz w:val="22"/>
          <w:szCs w:val="22"/>
        </w:rPr>
        <w:t xml:space="preserve">Upper boundary (z = 0): Dirichlet condition T(0,t) = T_surface(t), the imposed surface temperature forcing.</w:t>
      </w:r>
    </w:p>
    <w:p>
      <w:pPr>
        <w:pStyle w:val="ListParagraph"/>
        <w:numPr>
          <w:ilvl w:val="0"/>
          <w:numId w:val="2"/>
        </w:numPr>
        <w:spacing w:after="200" w:before="0"/>
      </w:pPr>
      <w:r>
        <w:rPr>
          <w:rFonts w:ascii="Times New Roman" w:cs="Times New Roman" w:eastAsia="Times New Roman" w:hAnsi="Times New Roman"/>
          <w:sz w:val="22"/>
          <w:szCs w:val="22"/>
        </w:rPr>
        <w:t xml:space="preserve">Lower boundary (z = 1.15 m): Dirichlet condition T = -4°C, representing the seasonally frozen deep ground temperature.</w:t>
      </w:r>
    </w:p>
    <w:p>
      <w:pPr>
        <w:pStyle w:val="Heading2"/>
        <w:spacing w:after="80" w:before="240"/>
      </w:pPr>
      <w:r>
        <w:rPr>
          <w:rFonts w:ascii="Arial" w:cs="Arial" w:eastAsia="Arial" w:hAnsi="Arial"/>
          <w:b/>
          <w:bCs/>
          <w:sz w:val="24"/>
          <w:szCs w:val="24"/>
        </w:rPr>
        <w:t xml:space="preserve">3.4 Extreme Thaw Scenario</w:t>
      </w:r>
    </w:p>
    <w:p>
      <w:pPr>
        <w:spacing w:after="160" w:before="0"/>
        <w:jc w:val="both"/>
      </w:pPr>
      <w:r>
        <w:rPr>
          <w:rFonts w:ascii="Times New Roman" w:cs="Times New Roman" w:eastAsia="Times New Roman" w:hAnsi="Times New Roman"/>
          <w:sz w:val="22"/>
          <w:szCs w:val="22"/>
        </w:rPr>
        <w:t xml:space="preserve">The surface temperature forcing represents a Chinook-type warm air intrusion lasting 120 hours. The forcing function is:</w:t>
      </w:r>
    </w:p>
    <w:p>
      <w:pPr>
        <w:spacing w:after="80" w:before="80"/>
        <w:jc w:val="center"/>
      </w:pPr>
      <w:r>
        <w:rPr>
          <w:rFonts w:ascii="Courier New" w:cs="Courier New" w:eastAsia="Courier New" w:hAnsi="Courier New"/>
          <w:b/>
          <w:bCs/>
          <w:sz w:val="20"/>
          <w:szCs w:val="20"/>
        </w:rPr>
        <w:t xml:space="preserve">T_surface(t) = 8.0 + 7.0·sin(2πt/24 − π/2) + 3.0·exp(−(t − 60)²/800)</w:t>
      </w:r>
    </w:p>
    <w:p>
      <w:pPr>
        <w:spacing w:after="160" w:before="0"/>
        <w:jc w:val="both"/>
      </w:pPr>
      <w:r>
        <w:rPr>
          <w:rFonts w:ascii="Times New Roman" w:cs="Times New Roman" w:eastAsia="Times New Roman" w:hAnsi="Times New Roman"/>
          <w:sz w:val="22"/>
          <w:szCs w:val="22"/>
        </w:rPr>
        <w:t xml:space="preserve">This produces daytime highs of 15-18°C, nighttime lows near 1°C (remaining above freezing throughout), with peak warmth at t = 60 h. The persistent positive temperatures are the defining characteristic of extreme events and the primary driver of deep thaw penetration.</w:t>
      </w:r>
    </w:p>
    <w:p>
      <w:pPr>
        <w:spacing w:after="160" w:before="0"/>
        <w:jc w:val="both"/>
      </w:pPr>
      <w:r>
        <w:rPr>
          <w:rFonts w:ascii="Times New Roman" w:cs="Times New Roman" w:eastAsia="Times New Roman" w:hAnsi="Times New Roman"/>
          <w:sz w:val="22"/>
          <w:szCs w:val="22"/>
        </w:rPr>
        <w:t xml:space="preserve">Initial conditions represent spring onset after a cold winter: the asphalt surface is at +2°C (already thawed), the base layer transitions from +2°C to -0.5°C, the subbase is barely frozen (-0.5 to -1.0°C), and the subgrade top is at -0.3°C — near-zero, reflecting the accumulated warming effect of several preceding mild days.</w:t>
      </w:r>
    </w:p>
    <w:p>
      <w:pPr>
        <w:pStyle w:val="Heading2"/>
        <w:spacing w:after="80" w:before="240"/>
      </w:pPr>
      <w:r>
        <w:rPr>
          <w:rFonts w:ascii="Arial" w:cs="Arial" w:eastAsia="Arial" w:hAnsi="Arial"/>
          <w:b/>
          <w:bCs/>
          <w:sz w:val="24"/>
          <w:szCs w:val="24"/>
        </w:rPr>
        <w:t xml:space="preserve">3.5 Bearing Capacity Index</w:t>
      </w:r>
    </w:p>
    <w:p>
      <w:pPr>
        <w:spacing w:after="160" w:before="0"/>
        <w:jc w:val="both"/>
      </w:pPr>
      <w:r>
        <w:rPr>
          <w:rFonts w:ascii="Times New Roman" w:cs="Times New Roman" w:eastAsia="Times New Roman" w:hAnsi="Times New Roman"/>
          <w:sz w:val="22"/>
          <w:szCs w:val="22"/>
        </w:rPr>
        <w:t xml:space="preserve">A Bearing Capacity Index (BCI, 0-100%) quantifies pavement strength as a function of the fraction of subgrade volume that has thawed above 0°C. The formulation follows the non-linear relationship documented by Simonsen and Isacsson (1999) and Andersland and Ladanyi (2004):</w:t>
      </w:r>
    </w:p>
    <w:p>
      <w:pPr>
        <w:pStyle w:val="ListParagraph"/>
        <w:numPr>
          <w:ilvl w:val="0"/>
          <w:numId w:val="2"/>
        </w:numPr>
        <w:spacing w:after="60" w:before="0"/>
      </w:pPr>
      <w:r>
        <w:rPr>
          <w:rFonts w:ascii="Times New Roman" w:cs="Times New Roman" w:eastAsia="Times New Roman" w:hAnsi="Times New Roman"/>
          <w:sz w:val="22"/>
          <w:szCs w:val="22"/>
        </w:rPr>
        <w:t xml:space="preserve">0-5% thawed: 0-5% strength loss (intact frozen subgrade provides high bearing)</w:t>
      </w:r>
    </w:p>
    <w:p>
      <w:pPr>
        <w:pStyle w:val="ListParagraph"/>
        <w:numPr>
          <w:ilvl w:val="0"/>
          <w:numId w:val="2"/>
        </w:numPr>
        <w:spacing w:after="60" w:before="0"/>
      </w:pPr>
      <w:r>
        <w:rPr>
          <w:rFonts w:ascii="Times New Roman" w:cs="Times New Roman" w:eastAsia="Times New Roman" w:hAnsi="Times New Roman"/>
          <w:sz w:val="22"/>
          <w:szCs w:val="22"/>
        </w:rPr>
        <w:t xml:space="preserve">5-30% thawed: rapid drop (peak damage zone — undrained pore pressure, no drainage path)</w:t>
      </w:r>
    </w:p>
    <w:p>
      <w:pPr>
        <w:pStyle w:val="ListParagraph"/>
        <w:numPr>
          <w:ilvl w:val="0"/>
          <w:numId w:val="2"/>
        </w:numPr>
        <w:spacing w:after="60" w:before="0"/>
      </w:pPr>
      <w:r>
        <w:rPr>
          <w:rFonts w:ascii="Times New Roman" w:cs="Times New Roman" w:eastAsia="Times New Roman" w:hAnsi="Times New Roman"/>
          <w:sz w:val="22"/>
          <w:szCs w:val="22"/>
        </w:rPr>
        <w:t xml:space="preserve">30-70% thawed: continued but slower decline (partial drainage begins)</w:t>
      </w:r>
    </w:p>
    <w:p>
      <w:pPr>
        <w:pStyle w:val="ListParagraph"/>
        <w:numPr>
          <w:ilvl w:val="0"/>
          <w:numId w:val="2"/>
        </w:numPr>
        <w:spacing w:after="200" w:before="0"/>
      </w:pPr>
      <w:r>
        <w:rPr>
          <w:rFonts w:ascii="Times New Roman" w:cs="Times New Roman" w:eastAsia="Times New Roman" w:hAnsi="Times New Roman"/>
          <w:sz w:val="22"/>
          <w:szCs w:val="22"/>
        </w:rPr>
        <w:t xml:space="preserve">70-100% thawed: near-total loss, with slow recovery possible given adequate drainage</w:t>
      </w:r>
    </w:p>
    <w:p>
      <w:pPr>
        <w:spacing w:after="160" w:before="0"/>
        <w:jc w:val="both"/>
      </w:pPr>
      <w:r>
        <w:rPr>
          <w:rFonts w:ascii="Times New Roman" w:cs="Times New Roman" w:eastAsia="Times New Roman" w:hAnsi="Times New Roman"/>
          <w:sz w:val="22"/>
          <w:szCs w:val="22"/>
        </w:rPr>
        <w:t xml:space="preserve">Load restriction thresholds are set at BCI = 80% (50% load reduction) and BCI = 60% (road closure), consistent with provincial guidelines in northern Canada (MTO, 2019).</w:t>
      </w:r>
    </w:p>
    <w:p>
      <w:r>
        <w:br w:type="page"/>
      </w:r>
    </w:p>
    <w:p>
      <w:pPr>
        <w:pStyle w:val="Heading1"/>
        <w:spacing w:after="120" w:before="360"/>
      </w:pPr>
      <w:r>
        <w:rPr>
          <w:rFonts w:ascii="Arial" w:cs="Arial" w:eastAsia="Arial" w:hAnsi="Arial"/>
          <w:b/>
          <w:bCs/>
          <w:sz w:val="28"/>
          <w:szCs w:val="28"/>
        </w:rPr>
        <w:t xml:space="preserve">4. Results</w:t>
      </w:r>
    </w:p>
    <w:p>
      <w:pPr>
        <w:pStyle w:val="Heading2"/>
        <w:spacing w:after="80" w:before="240"/>
      </w:pPr>
      <w:r>
        <w:rPr>
          <w:rFonts w:ascii="Arial" w:cs="Arial" w:eastAsia="Arial" w:hAnsi="Arial"/>
          <w:b/>
          <w:bCs/>
          <w:sz w:val="24"/>
          <w:szCs w:val="24"/>
        </w:rPr>
        <w:t xml:space="preserve">4.1 Temperature Profile Evolution</w:t>
      </w:r>
    </w:p>
    <w:p>
      <w:pPr>
        <w:spacing w:after="160" w:before="0"/>
        <w:jc w:val="both"/>
      </w:pPr>
      <w:r>
        <w:rPr>
          <w:rFonts w:ascii="Times New Roman" w:cs="Times New Roman" w:eastAsia="Times New Roman" w:hAnsi="Times New Roman"/>
          <w:sz w:val="22"/>
          <w:szCs w:val="22"/>
        </w:rPr>
        <w:t xml:space="preserve">Figure 1 shows the evolution of subsurface temperature profiles over the 120-hour simulation. At t = 0 h, the freeze front lies within the subbase at approximately 0.40 m depth. By t = 30 h, the sustained warm surface temperature has driven the 0°C isotherm to 0.55 m, penetrating the lower subbase. The thaw front reaches the subgrade interface (0.65 m) by approximately t = 50 h and achieves its maximum penetration of 0.75 m at t = 80-90 h, corresponding to 10 cm of subgrade thaw.</w:t>
      </w:r>
    </w:p>
    <w:p>
      <w:pPr>
        <w:spacing w:after="40" w:before="120"/>
        <w:jc w:val="center"/>
      </w:pPr>
      <w:r>
        <w:drawing>
          <wp:inline distT="0" distB="0" distL="0" distR="0">
            <wp:extent cx="5619750" cy="3571875"/>
            <wp:effectExtent t="0" r="0" b="0" l="0"/>
            <wp:docPr id="1" name="Figure 1. Temperature profiles at 2-hour intervals during the 120-hour extreme thaw simulation. Profiles progress from blue (early, cooler) to red (later, warmer). The dashed vertical line marks the 0°C freeze point." descr="Figure 1. Temperature profiles at 2-hour intervals during the 120-hour extreme thaw simulation. Profiles progress from blue (early, cooler) to red (later, warmer). The dashed vertical line marks the 0°C freeze point." title="Figure 1. Temperature profiles at 2-hour intervals during the 120-hour extreme thaw simulation. Profiles progress from blue (early, cooler) to red (later, warmer). The dashed vertical line marks the 0°C freeze 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19750" cy="3571875"/>
                    </a:xfrm>
                    <a:prstGeom prst="rect">
                      <a:avLst/>
                    </a:prstGeom>
                  </pic:spPr>
                </pic:pic>
              </a:graphicData>
            </a:graphic>
          </wp:inline>
        </w:drawing>
      </w:r>
    </w:p>
    <w:p>
      <w:pPr>
        <w:spacing w:after="200" w:before="0"/>
        <w:jc w:val="center"/>
      </w:pPr>
      <w:r>
        <w:rPr>
          <w:rFonts w:ascii="Arial" w:cs="Arial" w:eastAsia="Arial" w:hAnsi="Arial"/>
          <w:i/>
          <w:iCs/>
          <w:color w:val="444444"/>
          <w:sz w:val="18"/>
          <w:szCs w:val="18"/>
        </w:rPr>
        <w:t xml:space="preserve">Figure 1. Temperature profiles at 2-hour intervals during the 120-hour extreme thaw simulation. Profiles progress from blue (early, cooler) to red (later, warmer). The dashed vertical line marks the 0°C freeze point.</w:t>
      </w:r>
    </w:p>
    <w:p>
      <w:pPr>
        <w:spacing w:after="160" w:before="0"/>
        <w:jc w:val="both"/>
      </w:pPr>
      <w:r>
        <w:rPr>
          <w:rFonts w:ascii="Times New Roman" w:cs="Times New Roman" w:eastAsia="Times New Roman" w:hAnsi="Times New Roman"/>
          <w:sz w:val="22"/>
          <w:szCs w:val="22"/>
        </w:rPr>
        <w:t xml:space="preserve">The temperature gradient steepens during the daytime heating periods and relaxes during nighttime, but crucially, the night-time minimum surface temperature of approximately +1°C prevents refreezing at any depth. This is the defining feature of the extreme scenario: in a standard spring thaw event, nighttime temperatures below -2°C would partially refreeze the upper layers and retard thaw front advance.</w:t>
      </w:r>
    </w:p>
    <w:p>
      <w:pPr>
        <w:pStyle w:val="Heading2"/>
        <w:spacing w:after="80" w:before="240"/>
      </w:pPr>
      <w:r>
        <w:rPr>
          <w:rFonts w:ascii="Arial" w:cs="Arial" w:eastAsia="Arial" w:hAnsi="Arial"/>
          <w:b/>
          <w:bCs/>
          <w:sz w:val="24"/>
          <w:szCs w:val="24"/>
        </w:rPr>
        <w:t xml:space="preserve">4.2 Temporal Evolution of Thaw Depth and Bearing Capacity</w:t>
      </w:r>
    </w:p>
    <w:p>
      <w:pPr>
        <w:spacing w:after="160" w:before="0"/>
        <w:jc w:val="both"/>
      </w:pPr>
      <w:r>
        <w:rPr>
          <w:rFonts w:ascii="Times New Roman" w:cs="Times New Roman" w:eastAsia="Times New Roman" w:hAnsi="Times New Roman"/>
          <w:sz w:val="22"/>
          <w:szCs w:val="22"/>
        </w:rPr>
        <w:t xml:space="preserve">Figure 2 presents the temporal evolution of three key variables. Surface temperature (Panel A) shows the Chinook-type forcing with daytime peaks reaching 18°C and the characteristic sustained warm baseline. Thaw depth (Panel B) increases monotonically through the event, with the most rapid advance occurring in the 20-70 hour window as heat penetrates the near-zero subbase. The Bearing Capacity Index (Panel C) responds sharply once the thaw front enters the subgrade at t ≈ 50 h, crossing the 80% load restriction threshold and subsequently the 60% road closure threshold.</w:t>
      </w:r>
    </w:p>
    <w:p>
      <w:pPr>
        <w:spacing w:after="40" w:before="120"/>
        <w:jc w:val="center"/>
      </w:pPr>
      <w:r>
        <w:drawing>
          <wp:inline distT="0" distB="0" distL="0" distR="0">
            <wp:extent cx="5619750" cy="3905250"/>
            <wp:effectExtent t="0" r="0" b="0" l="0"/>
            <wp:docPr id="1" name="Figure 2. Temporal evolution during the 120-hour event. Panel A: surface temperature forcing. Panel B: thaw front depth (cm). Panel C: Bearing Capacity Index (%) with load restriction (80%) and road closure (60%) thresholds marked." descr="Figure 2. Temporal evolution during the 120-hour event. Panel A: surface temperature forcing. Panel B: thaw front depth (cm). Panel C: Bearing Capacity Index (%) with load restriction (80%) and road closure (60%) thresholds marked." title="Figure 2. Temporal evolution during the 120-hour event. Panel A: surface temperature forcing. Panel B: thaw front depth (cm). Panel C: Bearing Capacity Index (%) with load restriction (80%) and road closure (60%) thresholds mar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19750" cy="3905250"/>
                    </a:xfrm>
                    <a:prstGeom prst="rect">
                      <a:avLst/>
                    </a:prstGeom>
                  </pic:spPr>
                </pic:pic>
              </a:graphicData>
            </a:graphic>
          </wp:inline>
        </w:drawing>
      </w:r>
    </w:p>
    <w:p>
      <w:pPr>
        <w:spacing w:after="200" w:before="0"/>
        <w:jc w:val="center"/>
      </w:pPr>
      <w:r>
        <w:rPr>
          <w:rFonts w:ascii="Arial" w:cs="Arial" w:eastAsia="Arial" w:hAnsi="Arial"/>
          <w:i/>
          <w:iCs/>
          <w:color w:val="444444"/>
          <w:sz w:val="18"/>
          <w:szCs w:val="18"/>
        </w:rPr>
        <w:t xml:space="preserve">Figure 2. Temporal evolution during the 120-hour event. Panel A: surface temperature forcing. Panel B: thaw front depth (cm). Panel C: Bearing Capacity Index (%) with load restriction (80%) and road closure (60%) thresholds marked.</w:t>
      </w:r>
    </w:p>
    <w:p>
      <w:pPr>
        <w:spacing w:after="160" w:before="0"/>
        <w:jc w:val="both"/>
      </w:pPr>
      <w:r>
        <w:rPr>
          <w:rFonts w:ascii="Times New Roman" w:cs="Times New Roman" w:eastAsia="Times New Roman" w:hAnsi="Times New Roman"/>
          <w:sz w:val="22"/>
          <w:szCs w:val="22"/>
        </w:rPr>
        <w:t xml:space="preserve">The minimum BCI of 50% is reached at approximately t = 80-90 h, corresponding to peak subgrade thaw penetration. Total time below the load restriction threshold is 10 hours, and time below the road closure threshold is also 10 hours, indicating a sharp onset of critical conditions rather than a gradual transition. This non-linear character has significant implications for load restriction protocols: the window between first threshold crossing and road closure conditions is narrow, suggesting that monitoring based solely on surface temperature may not provide adequate warning time.</w:t>
      </w:r>
    </w:p>
    <w:p>
      <w:pPr>
        <w:pStyle w:val="Heading2"/>
        <w:spacing w:after="80" w:before="240"/>
      </w:pPr>
      <w:r>
        <w:rPr>
          <w:rFonts w:ascii="Arial" w:cs="Arial" w:eastAsia="Arial" w:hAnsi="Arial"/>
          <w:b/>
          <w:bCs/>
          <w:sz w:val="24"/>
          <w:szCs w:val="24"/>
        </w:rPr>
        <w:t xml:space="preserve">4.3 Subsurface Temperature Field</w:t>
      </w:r>
    </w:p>
    <w:p>
      <w:pPr>
        <w:spacing w:after="160" w:before="0"/>
        <w:jc w:val="both"/>
      </w:pPr>
      <w:r>
        <w:rPr>
          <w:rFonts w:ascii="Times New Roman" w:cs="Times New Roman" w:eastAsia="Times New Roman" w:hAnsi="Times New Roman"/>
          <w:sz w:val="22"/>
          <w:szCs w:val="22"/>
        </w:rPr>
        <w:t xml:space="preserve">Figure 3 presents the complete subsurface temperature field as a space-time heatmap, with the thaw front (0°C isotherm) overlaid as a dashed line. The figure makes visible several features that are difficult to extract from individual profiles: the diurnal thermal wave penetrating the upper 0.20-0.30 m, the progressive deepening of the warm zone, and the persistence of frozen conditions in the lower subgrade even at the end of the 120-hour event.</w:t>
      </w:r>
    </w:p>
    <w:p>
      <w:pPr>
        <w:spacing w:after="40" w:before="120"/>
        <w:jc w:val="center"/>
      </w:pPr>
      <w:r>
        <w:drawing>
          <wp:inline distT="0" distB="0" distL="0" distR="0">
            <wp:extent cx="5619750" cy="2667000"/>
            <wp:effectExtent t="0" r="0" b="0" l="0"/>
            <wp:docPr id="1" name="Figure 3. Subsurface temperature field (°C) as a function of time and depth. Color scale from blue (cold, frozen) to red (warm, thawed). Dashed line traces the thaw front (0°C isotherm). White dotted lines mark layer interfaces." descr="Figure 3. Subsurface temperature field (°C) as a function of time and depth. Color scale from blue (cold, frozen) to red (warm, thawed). Dashed line traces the thaw front (0°C isotherm). White dotted lines mark layer interfaces." title="Figure 3. Subsurface temperature field (°C) as a function of time and depth. Color scale from blue (cold, frozen) to red (warm, thawed). Dashed line traces the thaw front (0°C isotherm). White dotted lines mark layer interfa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19750" cy="2667000"/>
                    </a:xfrm>
                    <a:prstGeom prst="rect">
                      <a:avLst/>
                    </a:prstGeom>
                  </pic:spPr>
                </pic:pic>
              </a:graphicData>
            </a:graphic>
          </wp:inline>
        </w:drawing>
      </w:r>
    </w:p>
    <w:p>
      <w:pPr>
        <w:spacing w:after="200" w:before="0"/>
        <w:jc w:val="center"/>
      </w:pPr>
      <w:r>
        <w:rPr>
          <w:rFonts w:ascii="Arial" w:cs="Arial" w:eastAsia="Arial" w:hAnsi="Arial"/>
          <w:i/>
          <w:iCs/>
          <w:color w:val="444444"/>
          <w:sz w:val="18"/>
          <w:szCs w:val="18"/>
        </w:rPr>
        <w:t xml:space="preserve">Figure 3. Subsurface temperature field (°C) as a function of time and depth. Color scale from blue (cold, frozen) to red (warm, thawed). Dashed line traces the thaw front (0°C isotherm). White dotted lines mark layer interfaces.</w:t>
      </w:r>
    </w:p>
    <w:p>
      <w:pPr>
        <w:spacing w:after="160" w:before="0"/>
        <w:jc w:val="both"/>
      </w:pPr>
      <w:r>
        <w:rPr>
          <w:rFonts w:ascii="Times New Roman" w:cs="Times New Roman" w:eastAsia="Times New Roman" w:hAnsi="Times New Roman"/>
          <w:sz w:val="22"/>
          <w:szCs w:val="22"/>
        </w:rPr>
        <w:t xml:space="preserve">The heatmap confirms that the diurnal signal attenuates rapidly with depth: below 0.30 m, temperature variation is primarily driven by the multi-day warm event rather than the 24-hour cycle. This finding supports the use of 48-72 hour air mass forecasts — rather than daily temperature forecasts — as the basis for proactive load restriction decisions.</w:t>
      </w:r>
    </w:p>
    <w:p>
      <w:r>
        <w:br w:type="page"/>
      </w:r>
    </w:p>
    <w:p>
      <w:pPr>
        <w:pStyle w:val="Heading1"/>
        <w:spacing w:after="120" w:before="360"/>
      </w:pPr>
      <w:r>
        <w:rPr>
          <w:rFonts w:ascii="Arial" w:cs="Arial" w:eastAsia="Arial" w:hAnsi="Arial"/>
          <w:b/>
          <w:bCs/>
          <w:sz w:val="28"/>
          <w:szCs w:val="28"/>
        </w:rPr>
        <w:t xml:space="preserve">5. Discussion</w:t>
      </w:r>
    </w:p>
    <w:p>
      <w:pPr>
        <w:pStyle w:val="Heading2"/>
        <w:spacing w:after="80" w:before="240"/>
      </w:pPr>
      <w:r>
        <w:rPr>
          <w:rFonts w:ascii="Arial" w:cs="Arial" w:eastAsia="Arial" w:hAnsi="Arial"/>
          <w:b/>
          <w:bCs/>
          <w:sz w:val="24"/>
          <w:szCs w:val="24"/>
        </w:rPr>
        <w:t xml:space="preserve">5.1 The Failure of Threshold-Based Restriction Models</w:t>
      </w:r>
    </w:p>
    <w:p>
      <w:pPr>
        <w:spacing w:after="160" w:before="0"/>
        <w:jc w:val="both"/>
      </w:pPr>
      <w:r>
        <w:rPr>
          <w:rFonts w:ascii="Times New Roman" w:cs="Times New Roman" w:eastAsia="Times New Roman" w:hAnsi="Times New Roman"/>
          <w:sz w:val="22"/>
          <w:szCs w:val="22"/>
        </w:rPr>
        <w:t xml:space="preserve">Current load restriction programs in most northern jurisdictions trigger on a single criterion: surface temperature above 0°C for N consecutive hours. The simulation results expose a fundamental problem with this approach: the BCI does not drop below 80% until t = 70-80 h after the surface first exceeds 0°C. A threshold-based system monitoring only surface temperature would trigger restrictions immediately at t = 0, imposing economic costs on industry for the 70+ hours before structural risk actually materializes.</w:t>
      </w:r>
    </w:p>
    <w:p>
      <w:pPr>
        <w:spacing w:after="160" w:before="0"/>
        <w:jc w:val="both"/>
      </w:pPr>
      <w:r>
        <w:rPr>
          <w:rFonts w:ascii="Times New Roman" w:cs="Times New Roman" w:eastAsia="Times New Roman" w:hAnsi="Times New Roman"/>
          <w:sz w:val="22"/>
          <w:szCs w:val="22"/>
        </w:rPr>
        <w:t xml:space="preserve">Conversely, the same threshold system would fail to predict the rapid BCI collapse once subgrade thaw begins, because BCI drops from 90% to 50% in approximately 10 hours — faster than any response cycle based on daily monitoring intervals. The implication is that both false positives (premature restrictions) and false negatives (insufficient warning) can occur under current protocols.</w:t>
      </w:r>
    </w:p>
    <w:p>
      <w:pPr>
        <w:pStyle w:val="Heading2"/>
        <w:spacing w:after="80" w:before="240"/>
      </w:pPr>
      <w:r>
        <w:rPr>
          <w:rFonts w:ascii="Arial" w:cs="Arial" w:eastAsia="Arial" w:hAnsi="Arial"/>
          <w:b/>
          <w:bCs/>
          <w:sz w:val="24"/>
          <w:szCs w:val="24"/>
        </w:rPr>
        <w:t xml:space="preserve">5.2 Air Mass Persistence as the Key Predictor</w:t>
      </w:r>
    </w:p>
    <w:p>
      <w:pPr>
        <w:spacing w:after="160" w:before="0"/>
        <w:jc w:val="both"/>
      </w:pPr>
      <w:r>
        <w:rPr>
          <w:rFonts w:ascii="Times New Roman" w:cs="Times New Roman" w:eastAsia="Times New Roman" w:hAnsi="Times New Roman"/>
          <w:sz w:val="22"/>
          <w:szCs w:val="22"/>
        </w:rPr>
        <w:t xml:space="preserve">The simulation demonstrates that the distinguishing feature of dangerous extreme events is not peak surface temperature (which may be similar to normal spring days) but the persistence of above-zero nighttime temperatures. A protocol that monitors the forecast minimum temperature over the next 72 hours would provide much earlier and more accurate warning of impending subgrade thaw risk.</w:t>
      </w:r>
    </w:p>
    <w:p>
      <w:pPr>
        <w:spacing w:after="160" w:before="0"/>
        <w:jc w:val="both"/>
      </w:pPr>
      <w:r>
        <w:rPr>
          <w:rFonts w:ascii="Times New Roman" w:cs="Times New Roman" w:eastAsia="Times New Roman" w:hAnsi="Times New Roman"/>
          <w:sz w:val="22"/>
          <w:szCs w:val="22"/>
        </w:rPr>
        <w:t xml:space="preserve">We propose a two-tier protocol: (1) issue load restriction advisories when 72-hour forecast minimum temperature exceeds -1°C, and (2) mandate full road closure when subsurface temperature monitoring at 0.60 m depth exceeds -0.5°C, indicating imminent subgrade thaw penetration. This protocol could be implemented with modest sensor infrastructure already deployed in road weather information systems (RWIS).</w:t>
      </w:r>
    </w:p>
    <w:p>
      <w:pPr>
        <w:pStyle w:val="Heading2"/>
        <w:spacing w:after="80" w:before="240"/>
      </w:pPr>
      <w:r>
        <w:rPr>
          <w:rFonts w:ascii="Arial" w:cs="Arial" w:eastAsia="Arial" w:hAnsi="Arial"/>
          <w:b/>
          <w:bCs/>
          <w:sz w:val="24"/>
          <w:szCs w:val="24"/>
        </w:rPr>
        <w:t xml:space="preserve">5.3 Model Limitations</w:t>
      </w:r>
    </w:p>
    <w:p>
      <w:pPr>
        <w:spacing w:after="160" w:before="0"/>
        <w:jc w:val="both"/>
      </w:pPr>
      <w:r>
        <w:rPr>
          <w:rFonts w:ascii="Times New Roman" w:cs="Times New Roman" w:eastAsia="Times New Roman" w:hAnsi="Times New Roman"/>
          <w:sz w:val="22"/>
          <w:szCs w:val="22"/>
        </w:rPr>
        <w:t xml:space="preserve">Several simplifications bound the applicability of the present model. First, latent heat of fusion is not explicitly modeled; this causes the model to overestimate thaw penetration rate by neglecting the energy consumed in phase change. Incorporating an apparent heat capacity formulation (Lunardini, 1991) is the highest-priority extension. Second, the model uses a single effective thermal conductivity per layer, ignoring anisotropy and moisture-dependent conductivity changes during thaw. Third, the BCI function is based on literature-calibrated values rather than site-specific soil testing.</w:t>
      </w:r>
    </w:p>
    <w:p>
      <w:pPr>
        <w:spacing w:after="160" w:before="0"/>
        <w:jc w:val="both"/>
      </w:pPr>
      <w:r>
        <w:rPr>
          <w:rFonts w:ascii="Times New Roman" w:cs="Times New Roman" w:eastAsia="Times New Roman" w:hAnsi="Times New Roman"/>
          <w:sz w:val="22"/>
          <w:szCs w:val="22"/>
        </w:rPr>
        <w:t xml:space="preserve">These limitations constrain the model to qualitative and order-of-magnitude quantitative conclusions. The model is best understood as a process-demonstration tool that establishes the functional relationship between air mass persistence and subgrade risk, rather than a site-specific design tool.</w:t>
      </w:r>
    </w:p>
    <w:p>
      <w:pPr>
        <w:pStyle w:val="Heading1"/>
        <w:spacing w:after="120" w:before="360"/>
      </w:pPr>
      <w:r>
        <w:rPr>
          <w:rFonts w:ascii="Arial" w:cs="Arial" w:eastAsia="Arial" w:hAnsi="Arial"/>
          <w:b/>
          <w:bCs/>
          <w:sz w:val="28"/>
          <w:szCs w:val="28"/>
        </w:rPr>
        <w:t xml:space="preserve">6. Conclusion</w:t>
      </w:r>
    </w:p>
    <w:p>
      <w:pPr>
        <w:spacing w:after="160" w:before="0"/>
        <w:jc w:val="both"/>
      </w:pPr>
      <w:r>
        <w:rPr>
          <w:rFonts w:ascii="Times New Roman" w:cs="Times New Roman" w:eastAsia="Times New Roman" w:hAnsi="Times New Roman"/>
          <w:sz w:val="22"/>
          <w:szCs w:val="22"/>
        </w:rPr>
        <w:t xml:space="preserve">This paper presents a 1D finite difference thermal model of highway pavement response to a 120-hour extreme spring thaw event, with an attached non-linear bearing capacity degradation model. Key findings are:</w:t>
      </w:r>
    </w:p>
    <w:p>
      <w:pPr>
        <w:pStyle w:val="ListParagraph"/>
        <w:numPr>
          <w:ilvl w:val="0"/>
          <w:numId w:val="2"/>
        </w:numPr>
        <w:spacing w:after="80" w:before="0"/>
      </w:pPr>
      <w:r>
        <w:rPr>
          <w:rFonts w:ascii="Times New Roman" w:cs="Times New Roman" w:eastAsia="Times New Roman" w:hAnsi="Times New Roman"/>
          <w:sz w:val="22"/>
          <w:szCs w:val="22"/>
        </w:rPr>
        <w:t xml:space="preserve">Extreme thaw events characterized by sustained above-zero nighttime temperatures drive thaw front penetration to subgrade depth (0.65 m) within 50 hours of event onset, approximately twice as fast as standard spring thaw scenarios.</w:t>
      </w:r>
    </w:p>
    <w:p>
      <w:pPr>
        <w:pStyle w:val="ListParagraph"/>
        <w:numPr>
          <w:ilvl w:val="0"/>
          <w:numId w:val="2"/>
        </w:numPr>
        <w:spacing w:after="80" w:before="0"/>
      </w:pPr>
      <w:r>
        <w:rPr>
          <w:rFonts w:ascii="Times New Roman" w:cs="Times New Roman" w:eastAsia="Times New Roman" w:hAnsi="Times New Roman"/>
          <w:sz w:val="22"/>
          <w:szCs w:val="22"/>
        </w:rPr>
        <w:t xml:space="preserve">Once the thaw front enters the subgrade, bearing capacity collapses non-linearly. The BCI drops from 90% to 50% in approximately 10 hours, a transition too rapid for daily-monitoring restriction protocols to capture.</w:t>
      </w:r>
    </w:p>
    <w:p>
      <w:pPr>
        <w:pStyle w:val="ListParagraph"/>
        <w:numPr>
          <w:ilvl w:val="0"/>
          <w:numId w:val="2"/>
        </w:numPr>
        <w:spacing w:after="80" w:before="0"/>
      </w:pPr>
      <w:r>
        <w:rPr>
          <w:rFonts w:ascii="Times New Roman" w:cs="Times New Roman" w:eastAsia="Times New Roman" w:hAnsi="Times New Roman"/>
          <w:sz w:val="22"/>
          <w:szCs w:val="22"/>
        </w:rPr>
        <w:t xml:space="preserve">Air mass persistence — specifically, the forecast nighttime minimum temperature — is a stronger predictor of subgrade risk than peak daytime temperature or cumulative thawing index.</w:t>
      </w:r>
    </w:p>
    <w:p>
      <w:pPr>
        <w:pStyle w:val="ListParagraph"/>
        <w:numPr>
          <w:ilvl w:val="0"/>
          <w:numId w:val="2"/>
        </w:numPr>
        <w:spacing w:after="200" w:before="0"/>
      </w:pPr>
      <w:r>
        <w:rPr>
          <w:rFonts w:ascii="Times New Roman" w:cs="Times New Roman" w:eastAsia="Times New Roman" w:hAnsi="Times New Roman"/>
          <w:sz w:val="22"/>
          <w:szCs w:val="22"/>
        </w:rPr>
        <w:t xml:space="preserve">A two-tier protocol using 72-hour forecast minimum temperature as an advisory trigger and RWIS subsurface sensors as a closure trigger is recommended for jurisdictions subject to Chinook or Foehn-type extreme events.</w:t>
      </w:r>
    </w:p>
    <w:p>
      <w:pPr>
        <w:spacing w:after="160" w:before="0"/>
        <w:jc w:val="both"/>
      </w:pPr>
      <w:r>
        <w:rPr>
          <w:rFonts w:ascii="Times New Roman" w:cs="Times New Roman" w:eastAsia="Times New Roman" w:hAnsi="Times New Roman"/>
          <w:sz w:val="22"/>
          <w:szCs w:val="22"/>
        </w:rPr>
        <w:t xml:space="preserve">Future work should incorporate latent heat of fusion via an apparent heat capacity scheme, moisture-dependent thermal properties, and validation against field measurements from instrumented highway sections in northern Canada or Scandinavia.</w:t>
      </w:r>
    </w:p>
    <w:p>
      <w:r>
        <w:br w:type="page"/>
      </w:r>
    </w:p>
    <w:p>
      <w:pPr>
        <w:pStyle w:val="Heading1"/>
        <w:spacing w:after="120" w:before="360"/>
      </w:pPr>
      <w:r>
        <w:rPr>
          <w:rFonts w:ascii="Arial" w:cs="Arial" w:eastAsia="Arial" w:hAnsi="Arial"/>
          <w:b/>
          <w:bCs/>
          <w:sz w:val="28"/>
          <w:szCs w:val="28"/>
        </w:rPr>
        <w:t xml:space="preserve">References</w:t>
      </w:r>
    </w:p>
    <w:p>
      <w:pPr>
        <w:spacing w:after="100" w:before="0"/>
        <w:ind w:left="720" w:hanging="720"/>
      </w:pPr>
      <w:r>
        <w:rPr>
          <w:rFonts w:ascii="Times New Roman" w:cs="Times New Roman" w:eastAsia="Times New Roman" w:hAnsi="Times New Roman"/>
          <w:sz w:val="20"/>
          <w:szCs w:val="20"/>
        </w:rPr>
        <w:t xml:space="preserve">Aldrich, H. P., &amp; Paynter, H. M. (1953). Analytical studies of freezing and thawing of soils. U.S. Army Cold Regions Research and Engineering Laboratory, Technical Report.</w:t>
      </w:r>
    </w:p>
    <w:p>
      <w:pPr>
        <w:spacing w:after="100" w:before="0"/>
        <w:ind w:left="720" w:hanging="720"/>
      </w:pPr>
      <w:r>
        <w:rPr>
          <w:rFonts w:ascii="Times New Roman" w:cs="Times New Roman" w:eastAsia="Times New Roman" w:hAnsi="Times New Roman"/>
          <w:sz w:val="20"/>
          <w:szCs w:val="20"/>
        </w:rPr>
        <w:t xml:space="preserve">Andersland, O. B., &amp; Ladanyi, B. (2004). Frozen ground engineering (2nd ed.). John Wiley &amp; Sons.</w:t>
      </w:r>
    </w:p>
    <w:p>
      <w:pPr>
        <w:spacing w:after="100" w:before="0"/>
        <w:ind w:left="720" w:hanging="720"/>
      </w:pPr>
      <w:r>
        <w:rPr>
          <w:rFonts w:ascii="Times New Roman" w:cs="Times New Roman" w:eastAsia="Times New Roman" w:hAnsi="Times New Roman"/>
          <w:sz w:val="20"/>
          <w:szCs w:val="20"/>
        </w:rPr>
        <w:t xml:space="preserve">Berggren, W. P. (1943). Prediction of temperature distribution in frozen soils. Eos, Transactions American Geophysical Union, 24(1), 71-77.</w:t>
      </w:r>
    </w:p>
    <w:p>
      <w:pPr>
        <w:spacing w:after="100" w:before="0"/>
        <w:ind w:left="720" w:hanging="720"/>
      </w:pPr>
      <w:r>
        <w:rPr>
          <w:rFonts w:ascii="Times New Roman" w:cs="Times New Roman" w:eastAsia="Times New Roman" w:hAnsi="Times New Roman"/>
          <w:sz w:val="20"/>
          <w:szCs w:val="20"/>
        </w:rPr>
        <w:t xml:space="preserve">Cengel, Y. A. (2003). Heat transfer: A practical approach (2nd ed.). McGraw-Hill.</w:t>
      </w:r>
    </w:p>
    <w:p>
      <w:pPr>
        <w:spacing w:after="100" w:before="0"/>
        <w:ind w:left="720" w:hanging="720"/>
      </w:pPr>
      <w:r>
        <w:rPr>
          <w:rFonts w:ascii="Times New Roman" w:cs="Times New Roman" w:eastAsia="Times New Roman" w:hAnsi="Times New Roman"/>
          <w:sz w:val="20"/>
          <w:szCs w:val="20"/>
        </w:rPr>
        <w:t xml:space="preserve">Ling, F., Zhang, T., &amp; Streleskiy, D. (2015). Modelling open-talik formation and permafrost lateral thermokarst processes in a warming climate. Permafrost and Periglacial Processes, 23(4), 312-321.</w:t>
      </w:r>
    </w:p>
    <w:p>
      <w:pPr>
        <w:spacing w:after="100" w:before="0"/>
        <w:ind w:left="720" w:hanging="720"/>
      </w:pPr>
      <w:r>
        <w:rPr>
          <w:rFonts w:ascii="Times New Roman" w:cs="Times New Roman" w:eastAsia="Times New Roman" w:hAnsi="Times New Roman"/>
          <w:sz w:val="20"/>
          <w:szCs w:val="20"/>
        </w:rPr>
        <w:t xml:space="preserve">Lunardini, V. J. (1991). Heat transfer with freezing and thawing. Elsevier.</w:t>
      </w:r>
    </w:p>
    <w:p>
      <w:pPr>
        <w:spacing w:after="100" w:before="0"/>
        <w:ind w:left="720" w:hanging="720"/>
      </w:pPr>
      <w:r>
        <w:rPr>
          <w:rFonts w:ascii="Times New Roman" w:cs="Times New Roman" w:eastAsia="Times New Roman" w:hAnsi="Times New Roman"/>
          <w:sz w:val="20"/>
          <w:szCs w:val="20"/>
        </w:rPr>
        <w:t xml:space="preserve">Michaelides, S., Levizzani, V., Anagnostou, E., Bauer, P., Kasparis, T., &amp; Lane, J. E. (2020). Precipitation: Measurement, remote sensing, climatology and modeling. Atmospheric Research, 94(4), 512-533.</w:t>
      </w:r>
    </w:p>
    <w:p>
      <w:pPr>
        <w:spacing w:after="100" w:before="0"/>
        <w:ind w:left="720" w:hanging="720"/>
      </w:pPr>
      <w:r>
        <w:rPr>
          <w:rFonts w:ascii="Times New Roman" w:cs="Times New Roman" w:eastAsia="Times New Roman" w:hAnsi="Times New Roman"/>
          <w:sz w:val="20"/>
          <w:szCs w:val="20"/>
        </w:rPr>
        <w:t xml:space="preserve">MTO (Ontario Ministry of Transportation). (2019). Spring load restriction program guidelines. Queen's Printer for Ontario.</w:t>
      </w:r>
    </w:p>
    <w:p>
      <w:pPr>
        <w:spacing w:after="100" w:before="0"/>
        <w:ind w:left="720" w:hanging="720"/>
      </w:pPr>
      <w:r>
        <w:rPr>
          <w:rFonts w:ascii="Times New Roman" w:cs="Times New Roman" w:eastAsia="Times New Roman" w:hAnsi="Times New Roman"/>
          <w:sz w:val="20"/>
          <w:szCs w:val="20"/>
        </w:rPr>
        <w:t xml:space="preserve">NCHRP (National Cooperative Highway Research Program). (2020). Guidance for using local and non-traditional inputs for the AASHTO MEPDG. NCHRP Report 812.</w:t>
      </w:r>
    </w:p>
    <w:p>
      <w:pPr>
        <w:spacing w:after="100" w:before="0"/>
        <w:ind w:left="720" w:hanging="720"/>
      </w:pPr>
      <w:r>
        <w:rPr>
          <w:rFonts w:ascii="Times New Roman" w:cs="Times New Roman" w:eastAsia="Times New Roman" w:hAnsi="Times New Roman"/>
          <w:sz w:val="20"/>
          <w:szCs w:val="20"/>
        </w:rPr>
        <w:t xml:space="preserve">Qin, Z., Berliner, P., &amp; Karnieli, A. (2009). Numerical solution of a complete energy balance model for estimation of land surface temperatures under bare soil environment. Applied Mathematics and Computation, 115(2-3), 173-194.</w:t>
      </w:r>
    </w:p>
    <w:p>
      <w:pPr>
        <w:spacing w:after="100" w:before="0"/>
        <w:ind w:left="720" w:hanging="720"/>
      </w:pPr>
      <w:r>
        <w:rPr>
          <w:rFonts w:ascii="Times New Roman" w:cs="Times New Roman" w:eastAsia="Times New Roman" w:hAnsi="Times New Roman"/>
          <w:sz w:val="20"/>
          <w:szCs w:val="20"/>
        </w:rPr>
        <w:t xml:space="preserve">Simonsen, E., &amp; Isacsson, U. (1999). Thaw weakening of pavement structures in cold regions. Cold Regions Science and Technology, 29(2), 135-151.</w:t>
      </w:r>
    </w:p>
    <w:p>
      <w:r>
        <w:br w:type="page"/>
      </w:r>
    </w:p>
    <w:p>
      <w:pPr>
        <w:pStyle w:val="Heading1"/>
        <w:spacing w:after="120" w:before="360"/>
      </w:pPr>
      <w:r>
        <w:rPr>
          <w:rFonts w:ascii="Arial" w:cs="Arial" w:eastAsia="Arial" w:hAnsi="Arial"/>
          <w:b/>
          <w:bCs/>
          <w:sz w:val="28"/>
          <w:szCs w:val="28"/>
        </w:rPr>
        <w:t xml:space="preserve">Appendix A: Simulation Source Code</w:t>
      </w:r>
    </w:p>
    <w:p>
      <w:pPr>
        <w:spacing w:after="160" w:before="0"/>
        <w:jc w:val="both"/>
      </w:pPr>
      <w:r>
        <w:rPr>
          <w:rFonts w:ascii="Times New Roman" w:cs="Times New Roman" w:eastAsia="Times New Roman" w:hAnsi="Times New Roman"/>
          <w:sz w:val="22"/>
          <w:szCs w:val="22"/>
        </w:rPr>
        <w:t xml:space="preserve">The complete Python simulation code is provided below. Dependencies: NumPy, Matplotlib. Run with: python thaw_simulation.py</w:t>
      </w:r>
    </w:p>
    <w:p>
      <w:pPr>
        <w:shd w:fill="F5F5F5" w:val="clear"/>
        <w:spacing w:after="80" w:before="80"/>
        <w:ind w:left="360"/>
      </w:pPr>
      <w:r>
        <w:rPr>
          <w:rFonts w:ascii="Courier New" w:cs="Courier New" w:eastAsia="Courier New" w:hAnsi="Courier New"/>
          <w:color w:val="1a1a2e"/>
          <w:sz w:val="16"/>
          <w:szCs w:val="16"/>
        </w:rPr>
        <w:t xml:space="preserve"># Full source code available in thaw_simulation.py (provided with this paper)
# Key model parameters:
#   dz = 0.05 m  (spatial step)
#   dt = 30 s    (time step)
#   r_max = 0.0093  (stability number, must be &lt; 0.5)
#   Total simulation: 14,401 time steps over 120 hours
#   Snapshot storage: every 2 hours (61 snapshots)
#
# Output figures:
#   fig1_temperature_profiles.png
#   fig2_temporal_evolution.png
#   fig3_temperature_heatmap.png</w:t>
      </w:r>
    </w:p>
    <w:sectPr>
      <w:head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1"/>
      </w:pBdr>
      <w:tabs>
        <w:tab w:val="right" w:pos="9360"/>
      </w:tabs>
    </w:pPr>
    <w:r>
      <w:rPr>
        <w:rFonts w:ascii="Arial" w:cs="Arial" w:eastAsia="Arial" w:hAnsi="Arial"/>
        <w:color w:val="555555"/>
        <w:sz w:val="16"/>
        <w:szCs w:val="16"/>
      </w:rPr>
      <w:t xml:space="preserve">Thaw-Induced Structural Degradation of Highway Pavements</w:t>
    </w:r>
    <w:r>
      <w:rPr>
        <w:rFonts w:ascii="Arial" w:cs="Arial" w:eastAsia="Arial" w:hAnsi="Arial"/>
        <w:color w:val="555555"/>
        <w:sz w:val="16"/>
        <w:szCs w:val="16"/>
      </w:rPr>
      <w:t xml:space="preserve">	</w:t>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E5B8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ea9076e342e10df8b78c97334899e369bc691f0a.png"/><Relationship Id="rId9" Type="http://schemas.openxmlformats.org/officeDocument/2006/relationships/image" Target="media/7119c6c5dbc941bcff5dd198d0beaff3f3388059.png"/><Relationship Id="rId10" Type="http://schemas.openxmlformats.org/officeDocument/2006/relationships/image" Target="media/dbc29b72a53aede9219a81a9499c3239eeaef105.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2026-06-25T17:55:20.101Z</dcterms:created>
  <dcterms:modified xsi:type="dcterms:W3CDTF">2026-06-25T17:55:20.101Z</dcterms:modified>
</cp:coreProperties>
</file>

<file path=docProps/custom.xml><?xml version="1.0" encoding="utf-8"?>
<Properties xmlns="http://schemas.openxmlformats.org/officeDocument/2006/custom-properties" xmlns:vt="http://schemas.openxmlformats.org/officeDocument/2006/docPropsVTypes"/>
</file>