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F44982" w14:textId="77777777" w:rsidR="003C60E1" w:rsidRPr="003C60E1" w:rsidRDefault="003C60E1" w:rsidP="003C60E1">
      <w:pPr>
        <w:adjustRightInd w:val="0"/>
        <w:snapToGrid w:val="0"/>
        <w:spacing w:line="480" w:lineRule="auto"/>
        <w:jc w:val="center"/>
        <w:rPr>
          <w:rFonts w:ascii="Times New Roman" w:hAnsi="Times New Roman" w:cs="Times New Roman"/>
          <w:b/>
          <w:bCs/>
        </w:rPr>
      </w:pPr>
    </w:p>
    <w:p w14:paraId="6C570846" w14:textId="77777777" w:rsidR="003C60E1" w:rsidRPr="003C60E1" w:rsidRDefault="003C60E1" w:rsidP="003C60E1">
      <w:pPr>
        <w:adjustRightInd w:val="0"/>
        <w:snapToGrid w:val="0"/>
        <w:spacing w:line="480" w:lineRule="auto"/>
        <w:jc w:val="center"/>
        <w:rPr>
          <w:rFonts w:ascii="Times New Roman" w:hAnsi="Times New Roman" w:cs="Times New Roman"/>
          <w:b/>
          <w:bCs/>
        </w:rPr>
      </w:pPr>
    </w:p>
    <w:p w14:paraId="3681C028" w14:textId="77777777" w:rsidR="003C60E1" w:rsidRPr="003C60E1" w:rsidRDefault="003C60E1" w:rsidP="003C60E1">
      <w:pPr>
        <w:adjustRightInd w:val="0"/>
        <w:snapToGrid w:val="0"/>
        <w:spacing w:line="480" w:lineRule="auto"/>
        <w:jc w:val="center"/>
        <w:rPr>
          <w:rFonts w:ascii="Times New Roman" w:hAnsi="Times New Roman" w:cs="Times New Roman"/>
          <w:b/>
          <w:bCs/>
        </w:rPr>
      </w:pPr>
    </w:p>
    <w:p w14:paraId="1269F448" w14:textId="77777777" w:rsidR="003C60E1" w:rsidRPr="003C60E1" w:rsidRDefault="003C60E1" w:rsidP="003C60E1">
      <w:pPr>
        <w:adjustRightInd w:val="0"/>
        <w:snapToGrid w:val="0"/>
        <w:spacing w:line="480" w:lineRule="auto"/>
        <w:jc w:val="center"/>
        <w:rPr>
          <w:rFonts w:ascii="Times New Roman" w:hAnsi="Times New Roman" w:cs="Times New Roman"/>
          <w:b/>
          <w:bCs/>
        </w:rPr>
      </w:pPr>
    </w:p>
    <w:p w14:paraId="1F674C27" w14:textId="77777777" w:rsidR="003C60E1" w:rsidRPr="003C60E1" w:rsidRDefault="003C60E1" w:rsidP="0041588E">
      <w:pPr>
        <w:adjustRightInd w:val="0"/>
        <w:snapToGrid w:val="0"/>
        <w:spacing w:line="480" w:lineRule="auto"/>
        <w:rPr>
          <w:rFonts w:ascii="Times New Roman" w:hAnsi="Times New Roman" w:cs="Times New Roman"/>
          <w:b/>
          <w:bCs/>
        </w:rPr>
      </w:pPr>
    </w:p>
    <w:p w14:paraId="55AE5D94" w14:textId="77777777" w:rsidR="003C60E1" w:rsidRPr="003C60E1" w:rsidRDefault="003C60E1" w:rsidP="003C60E1">
      <w:pPr>
        <w:adjustRightInd w:val="0"/>
        <w:snapToGrid w:val="0"/>
        <w:spacing w:line="480" w:lineRule="auto"/>
        <w:jc w:val="center"/>
        <w:rPr>
          <w:rFonts w:ascii="Times New Roman" w:hAnsi="Times New Roman" w:cs="Times New Roman"/>
          <w:b/>
          <w:bCs/>
        </w:rPr>
      </w:pPr>
    </w:p>
    <w:p w14:paraId="1101133F" w14:textId="77777777" w:rsidR="003C60E1" w:rsidRPr="003C60E1" w:rsidRDefault="003C60E1" w:rsidP="003C60E1">
      <w:pPr>
        <w:adjustRightInd w:val="0"/>
        <w:snapToGrid w:val="0"/>
        <w:spacing w:line="480" w:lineRule="auto"/>
        <w:jc w:val="center"/>
        <w:rPr>
          <w:rFonts w:ascii="Times New Roman" w:hAnsi="Times New Roman" w:cs="Times New Roman"/>
          <w:b/>
          <w:bCs/>
        </w:rPr>
      </w:pPr>
    </w:p>
    <w:p w14:paraId="0112FEAB" w14:textId="714C1121" w:rsidR="00B06A80" w:rsidRPr="003C60E1" w:rsidRDefault="00F6536E" w:rsidP="003C60E1">
      <w:pPr>
        <w:adjustRightInd w:val="0"/>
        <w:snapToGrid w:val="0"/>
        <w:spacing w:line="480" w:lineRule="auto"/>
        <w:jc w:val="center"/>
        <w:rPr>
          <w:rFonts w:ascii="Times New Roman" w:hAnsi="Times New Roman" w:cs="Times New Roman"/>
          <w:b/>
          <w:bCs/>
        </w:rPr>
      </w:pPr>
      <w:r w:rsidRPr="003C60E1">
        <w:rPr>
          <w:rFonts w:ascii="Times New Roman" w:hAnsi="Times New Roman" w:cs="Times New Roman"/>
          <w:b/>
          <w:bCs/>
        </w:rPr>
        <w:t>Expansion of Intensive Care Capacity at Ajax Pickering Hospital: A Case Study of Structural Change in a Regional Health System</w:t>
      </w:r>
    </w:p>
    <w:p w14:paraId="5CD02216" w14:textId="77777777" w:rsidR="003C60E1" w:rsidRPr="003C60E1" w:rsidRDefault="003C60E1" w:rsidP="003C60E1">
      <w:pPr>
        <w:adjustRightInd w:val="0"/>
        <w:snapToGrid w:val="0"/>
        <w:spacing w:line="480" w:lineRule="auto"/>
        <w:jc w:val="center"/>
        <w:rPr>
          <w:rFonts w:ascii="Times New Roman" w:hAnsi="Times New Roman" w:cs="Times New Roman"/>
        </w:rPr>
      </w:pPr>
      <w:r w:rsidRPr="003C60E1">
        <w:rPr>
          <w:rFonts w:ascii="Times New Roman" w:hAnsi="Times New Roman" w:cs="Times New Roman"/>
        </w:rPr>
        <w:t>Ameer Ghany</w:t>
      </w:r>
    </w:p>
    <w:p w14:paraId="37B89962" w14:textId="77777777" w:rsidR="003C60E1" w:rsidRPr="003C60E1" w:rsidRDefault="003C60E1" w:rsidP="003C60E1">
      <w:pPr>
        <w:adjustRightInd w:val="0"/>
        <w:snapToGrid w:val="0"/>
        <w:spacing w:line="480" w:lineRule="auto"/>
        <w:jc w:val="center"/>
        <w:rPr>
          <w:rFonts w:ascii="Times New Roman" w:hAnsi="Times New Roman" w:cs="Times New Roman"/>
        </w:rPr>
      </w:pPr>
      <w:r w:rsidRPr="003C60E1">
        <w:rPr>
          <w:rFonts w:ascii="Times New Roman" w:hAnsi="Times New Roman" w:cs="Times New Roman"/>
        </w:rPr>
        <w:t>Master of Health Studies MHST 621</w:t>
      </w:r>
    </w:p>
    <w:p w14:paraId="3FE113F3" w14:textId="77777777" w:rsidR="003C60E1" w:rsidRPr="003C60E1" w:rsidRDefault="003C60E1" w:rsidP="003C60E1">
      <w:pPr>
        <w:adjustRightInd w:val="0"/>
        <w:snapToGrid w:val="0"/>
        <w:spacing w:line="480" w:lineRule="auto"/>
        <w:jc w:val="center"/>
        <w:rPr>
          <w:rFonts w:ascii="Times New Roman" w:hAnsi="Times New Roman" w:cs="Times New Roman"/>
        </w:rPr>
      </w:pPr>
      <w:r w:rsidRPr="003C60E1">
        <w:rPr>
          <w:rFonts w:ascii="Times New Roman" w:hAnsi="Times New Roman" w:cs="Times New Roman"/>
        </w:rPr>
        <w:t>Dr. Peter Istvan</w:t>
      </w:r>
    </w:p>
    <w:p w14:paraId="38C738D4" w14:textId="6BFD220D" w:rsidR="003C60E1" w:rsidRPr="003C60E1" w:rsidRDefault="003C60E1" w:rsidP="003C60E1">
      <w:pPr>
        <w:adjustRightInd w:val="0"/>
        <w:snapToGrid w:val="0"/>
        <w:spacing w:line="480" w:lineRule="auto"/>
        <w:jc w:val="center"/>
        <w:rPr>
          <w:rFonts w:ascii="Times New Roman" w:hAnsi="Times New Roman" w:cs="Times New Roman"/>
        </w:rPr>
      </w:pPr>
      <w:r w:rsidRPr="003C60E1">
        <w:rPr>
          <w:rFonts w:ascii="Times New Roman" w:hAnsi="Times New Roman" w:cs="Times New Roman"/>
        </w:rPr>
        <w:t>March 30, 2026</w:t>
      </w:r>
    </w:p>
    <w:p w14:paraId="63BD20DB" w14:textId="77777777" w:rsidR="00F6536E" w:rsidRPr="003C60E1" w:rsidRDefault="00F6536E" w:rsidP="00F6536E">
      <w:pPr>
        <w:adjustRightInd w:val="0"/>
        <w:snapToGrid w:val="0"/>
        <w:spacing w:line="480" w:lineRule="auto"/>
        <w:rPr>
          <w:rFonts w:ascii="Times New Roman" w:hAnsi="Times New Roman" w:cs="Times New Roman"/>
        </w:rPr>
      </w:pPr>
    </w:p>
    <w:p w14:paraId="69A2603A" w14:textId="77777777" w:rsidR="00F6536E" w:rsidRPr="003C60E1" w:rsidRDefault="00F6536E" w:rsidP="00F6536E">
      <w:pPr>
        <w:adjustRightInd w:val="0"/>
        <w:snapToGrid w:val="0"/>
        <w:spacing w:line="480" w:lineRule="auto"/>
        <w:rPr>
          <w:rFonts w:ascii="Times New Roman" w:hAnsi="Times New Roman" w:cs="Times New Roman"/>
        </w:rPr>
      </w:pPr>
    </w:p>
    <w:p w14:paraId="155275C7" w14:textId="77777777" w:rsidR="00F6536E" w:rsidRPr="003C60E1" w:rsidRDefault="00F6536E" w:rsidP="00F6536E">
      <w:pPr>
        <w:adjustRightInd w:val="0"/>
        <w:snapToGrid w:val="0"/>
        <w:spacing w:line="480" w:lineRule="auto"/>
        <w:rPr>
          <w:rFonts w:ascii="Times New Roman" w:hAnsi="Times New Roman" w:cs="Times New Roman"/>
        </w:rPr>
      </w:pPr>
    </w:p>
    <w:p w14:paraId="177D0B91" w14:textId="77777777" w:rsidR="00F6536E" w:rsidRPr="003C60E1" w:rsidRDefault="00F6536E" w:rsidP="00F6536E">
      <w:pPr>
        <w:adjustRightInd w:val="0"/>
        <w:snapToGrid w:val="0"/>
        <w:spacing w:line="480" w:lineRule="auto"/>
        <w:rPr>
          <w:rFonts w:ascii="Times New Roman" w:hAnsi="Times New Roman" w:cs="Times New Roman"/>
        </w:rPr>
      </w:pPr>
    </w:p>
    <w:p w14:paraId="33317CF6" w14:textId="77777777" w:rsidR="00F6536E" w:rsidRPr="003C60E1" w:rsidRDefault="00F6536E" w:rsidP="00F6536E">
      <w:pPr>
        <w:adjustRightInd w:val="0"/>
        <w:snapToGrid w:val="0"/>
        <w:spacing w:line="480" w:lineRule="auto"/>
        <w:rPr>
          <w:rFonts w:ascii="Times New Roman" w:hAnsi="Times New Roman" w:cs="Times New Roman"/>
        </w:rPr>
      </w:pPr>
    </w:p>
    <w:p w14:paraId="0C93C78E" w14:textId="77777777" w:rsidR="00F6536E" w:rsidRPr="003C60E1" w:rsidRDefault="00F6536E" w:rsidP="00F6536E">
      <w:pPr>
        <w:adjustRightInd w:val="0"/>
        <w:snapToGrid w:val="0"/>
        <w:spacing w:line="480" w:lineRule="auto"/>
        <w:rPr>
          <w:rFonts w:ascii="Times New Roman" w:hAnsi="Times New Roman" w:cs="Times New Roman"/>
        </w:rPr>
      </w:pPr>
    </w:p>
    <w:p w14:paraId="1C5B526D" w14:textId="77777777" w:rsidR="00F6536E" w:rsidRPr="003C60E1" w:rsidRDefault="00F6536E" w:rsidP="00F6536E">
      <w:pPr>
        <w:adjustRightInd w:val="0"/>
        <w:snapToGrid w:val="0"/>
        <w:spacing w:line="480" w:lineRule="auto"/>
        <w:rPr>
          <w:rFonts w:ascii="Times New Roman" w:hAnsi="Times New Roman" w:cs="Times New Roman"/>
        </w:rPr>
      </w:pPr>
    </w:p>
    <w:p w14:paraId="7675F024" w14:textId="77777777" w:rsidR="00F6536E" w:rsidRPr="003C60E1" w:rsidRDefault="00F6536E" w:rsidP="00F6536E">
      <w:pPr>
        <w:adjustRightInd w:val="0"/>
        <w:snapToGrid w:val="0"/>
        <w:spacing w:line="480" w:lineRule="auto"/>
        <w:rPr>
          <w:rFonts w:ascii="Times New Roman" w:hAnsi="Times New Roman" w:cs="Times New Roman"/>
        </w:rPr>
      </w:pPr>
    </w:p>
    <w:p w14:paraId="32A68012" w14:textId="77777777" w:rsidR="000F222C" w:rsidRDefault="000F222C" w:rsidP="00F6536E">
      <w:pPr>
        <w:adjustRightInd w:val="0"/>
        <w:snapToGrid w:val="0"/>
        <w:spacing w:line="480" w:lineRule="auto"/>
        <w:rPr>
          <w:rFonts w:ascii="Times New Roman" w:hAnsi="Times New Roman" w:cs="Times New Roman"/>
        </w:rPr>
      </w:pPr>
    </w:p>
    <w:p w14:paraId="56754BA7" w14:textId="77777777" w:rsidR="0041588E" w:rsidRDefault="0041588E" w:rsidP="009A4B91">
      <w:pPr>
        <w:adjustRightInd w:val="0"/>
        <w:snapToGrid w:val="0"/>
        <w:spacing w:line="480" w:lineRule="auto"/>
        <w:jc w:val="center"/>
        <w:rPr>
          <w:rFonts w:ascii="Times New Roman" w:hAnsi="Times New Roman" w:cs="Times New Roman"/>
          <w:b/>
          <w:bCs/>
        </w:rPr>
      </w:pPr>
    </w:p>
    <w:p w14:paraId="0FB3C1A6" w14:textId="7724B65F" w:rsidR="00F6536E" w:rsidRPr="003C60E1" w:rsidRDefault="00F6536E" w:rsidP="009A4B91">
      <w:pPr>
        <w:adjustRightInd w:val="0"/>
        <w:snapToGrid w:val="0"/>
        <w:spacing w:line="480" w:lineRule="auto"/>
        <w:jc w:val="center"/>
        <w:rPr>
          <w:rFonts w:ascii="Times New Roman" w:hAnsi="Times New Roman" w:cs="Times New Roman"/>
          <w:b/>
          <w:bCs/>
        </w:rPr>
      </w:pPr>
      <w:r w:rsidRPr="003C60E1">
        <w:rPr>
          <w:rFonts w:ascii="Times New Roman" w:hAnsi="Times New Roman" w:cs="Times New Roman"/>
          <w:b/>
          <w:bCs/>
        </w:rPr>
        <w:lastRenderedPageBreak/>
        <w:t>Expansion of Intensive Care Capacity at Ajax Pickering Hospital</w:t>
      </w:r>
    </w:p>
    <w:p w14:paraId="7E18B160" w14:textId="6CE42A25" w:rsidR="00F6536E" w:rsidRPr="003C60E1" w:rsidRDefault="00F6536E" w:rsidP="0041588E">
      <w:pPr>
        <w:adjustRightInd w:val="0"/>
        <w:snapToGrid w:val="0"/>
        <w:spacing w:line="480" w:lineRule="auto"/>
        <w:ind w:firstLine="720"/>
        <w:rPr>
          <w:rFonts w:ascii="Times New Roman" w:hAnsi="Times New Roman" w:cs="Times New Roman"/>
        </w:rPr>
      </w:pPr>
      <w:r w:rsidRPr="003C60E1">
        <w:rPr>
          <w:rFonts w:ascii="Times New Roman" w:hAnsi="Times New Roman" w:cs="Times New Roman"/>
        </w:rPr>
        <w:t>Lakeridge Health is a multi-site hospital network serving Ontario’s Durham Region, with facilities in Oshawa, Ajax-Pickering, Bowmanville, and Port Perry. The organization provides services to a growing population, including emergency care, inpatient treatment, surgical programs, and specialized clinical services. In recent years, Durham Region has experienced steady population growth, rising urban density, and an increasing number of older adults who require access to complex healthcare services (Statistics Canada, 2022).</w:t>
      </w:r>
    </w:p>
    <w:p w14:paraId="1459B94C" w14:textId="0831BD8A" w:rsidR="00F6536E" w:rsidRPr="003C60E1" w:rsidRDefault="00F6536E" w:rsidP="0041588E">
      <w:pPr>
        <w:adjustRightInd w:val="0"/>
        <w:snapToGrid w:val="0"/>
        <w:spacing w:line="480" w:lineRule="auto"/>
        <w:ind w:firstLine="720"/>
        <w:rPr>
          <w:rFonts w:ascii="Times New Roman" w:hAnsi="Times New Roman" w:cs="Times New Roman"/>
        </w:rPr>
      </w:pPr>
      <w:r w:rsidRPr="003C60E1">
        <w:rPr>
          <w:rFonts w:ascii="Times New Roman" w:hAnsi="Times New Roman" w:cs="Times New Roman"/>
        </w:rPr>
        <w:t>Lakeridge Health reports approximately $1 billion in annual operating revenue and employs more than 8,000 staff and physicians across its hospital sites (Lakeridge Health, 2023). Provincial hospital funding and system capacity planning are coordinated through Ontario Health, which has identified hospital capacity expansion as a priority in response to ongoing pressures within the healthcare system and increasing congestion in emergency departments (Ontario Health, 2023).</w:t>
      </w:r>
    </w:p>
    <w:p w14:paraId="51265108" w14:textId="7741006A" w:rsidR="00F6536E" w:rsidRPr="003C60E1" w:rsidRDefault="00F6536E" w:rsidP="0041588E">
      <w:pPr>
        <w:adjustRightInd w:val="0"/>
        <w:snapToGrid w:val="0"/>
        <w:spacing w:line="480" w:lineRule="auto"/>
        <w:ind w:firstLine="720"/>
        <w:rPr>
          <w:rFonts w:ascii="Times New Roman" w:hAnsi="Times New Roman" w:cs="Times New Roman"/>
        </w:rPr>
      </w:pPr>
      <w:r w:rsidRPr="003C60E1">
        <w:rPr>
          <w:rFonts w:ascii="Times New Roman" w:hAnsi="Times New Roman" w:cs="Times New Roman"/>
        </w:rPr>
        <w:t>Before the expansion, Ajax Pickering Hospital’s ICU had 10 funded beds. The unit admitted adult patients who required advanced monitoring and life-support treatments, including mechanical ventilation, vasoactive drugs, invasive hemodynamic monitoring, and continuous observation. Approximately 40% of adult ICU patients in Canada need mechanical ventilation during their hospital stays (Canadian Institute for Health Information [CIHI], 2024).</w:t>
      </w:r>
    </w:p>
    <w:p w14:paraId="45FF7121" w14:textId="13B9E5EF" w:rsidR="00F6536E" w:rsidRPr="003C60E1" w:rsidRDefault="00F6536E" w:rsidP="0041588E">
      <w:pPr>
        <w:adjustRightInd w:val="0"/>
        <w:snapToGrid w:val="0"/>
        <w:spacing w:line="480" w:lineRule="auto"/>
        <w:ind w:firstLine="720"/>
        <w:rPr>
          <w:rFonts w:ascii="Times New Roman" w:hAnsi="Times New Roman" w:cs="Times New Roman"/>
        </w:rPr>
      </w:pPr>
      <w:r w:rsidRPr="003C60E1">
        <w:rPr>
          <w:rFonts w:ascii="Times New Roman" w:hAnsi="Times New Roman" w:cs="Times New Roman"/>
        </w:rPr>
        <w:t xml:space="preserve">The standard ICU staffing model typically follows a one-to-one nursing model for unstable patients. The standard ICU staffing model typically follows a one-to-one nursing ratio for unstable patients. However, the Ajax Pickering ICU does not provide continuous renal replacement therapy (CRRT). Patients requiring this treatment must be transferred to the Oshawa </w:t>
      </w:r>
      <w:r w:rsidRPr="003C60E1">
        <w:rPr>
          <w:rFonts w:ascii="Times New Roman" w:hAnsi="Times New Roman" w:cs="Times New Roman"/>
        </w:rPr>
        <w:lastRenderedPageBreak/>
        <w:t>hospital site, the larger tertiary centre within the Lakeridge Health system. These transfers occur by land ambulance or ORNGE air transport when necessary.</w:t>
      </w:r>
    </w:p>
    <w:p w14:paraId="73A3D4EE" w14:textId="5DB6CC3A" w:rsidR="00F6536E" w:rsidRPr="003C60E1" w:rsidRDefault="00F6536E" w:rsidP="0041588E">
      <w:pPr>
        <w:adjustRightInd w:val="0"/>
        <w:snapToGrid w:val="0"/>
        <w:spacing w:line="480" w:lineRule="auto"/>
        <w:ind w:firstLine="720"/>
        <w:rPr>
          <w:rFonts w:ascii="Times New Roman" w:hAnsi="Times New Roman" w:cs="Times New Roman"/>
        </w:rPr>
      </w:pPr>
      <w:r w:rsidRPr="003C60E1">
        <w:rPr>
          <w:rFonts w:ascii="Times New Roman" w:hAnsi="Times New Roman" w:cs="Times New Roman"/>
        </w:rPr>
        <w:t>During this period, Ajax Pickering Hospital’s emergency department experienced intermittent congestion, and admitted patients sometimes remained in the department while waiting for inpatient or ICU beds. Internal communications identified two operational priorities: improving patient flow and reducing emergency department boarding.</w:t>
      </w:r>
    </w:p>
    <w:p w14:paraId="6F2C9569" w14:textId="77777777" w:rsidR="00F6536E" w:rsidRPr="003C60E1" w:rsidRDefault="00F6536E" w:rsidP="00F6536E">
      <w:pPr>
        <w:adjustRightInd w:val="0"/>
        <w:snapToGrid w:val="0"/>
        <w:spacing w:line="480" w:lineRule="auto"/>
        <w:rPr>
          <w:rFonts w:ascii="Times New Roman" w:hAnsi="Times New Roman" w:cs="Times New Roman"/>
        </w:rPr>
      </w:pPr>
      <w:r w:rsidRPr="003C60E1">
        <w:rPr>
          <w:rFonts w:ascii="Times New Roman" w:hAnsi="Times New Roman" w:cs="Times New Roman"/>
        </w:rPr>
        <w:tab/>
        <w:t>In response to broader pressures within the provincial healthcare system, the Government of Ontario allocated funding to expand critical care capacity across several regions. Through Ontario Health, Lakeridge Health received funding to increase ICU capacity at the Ajax Pickering site from 10 to 16 beds (Ontario Health, 2023). The expansion was intended to improve access to critical care services while also reducing emergency department backlogs.</w:t>
      </w:r>
    </w:p>
    <w:p w14:paraId="1C6CCD04" w14:textId="77777777" w:rsidR="00F6536E" w:rsidRPr="003C60E1" w:rsidRDefault="00F6536E" w:rsidP="00F6536E">
      <w:pPr>
        <w:adjustRightInd w:val="0"/>
        <w:snapToGrid w:val="0"/>
        <w:spacing w:line="480" w:lineRule="auto"/>
        <w:rPr>
          <w:rFonts w:ascii="Times New Roman" w:hAnsi="Times New Roman" w:cs="Times New Roman"/>
        </w:rPr>
      </w:pPr>
      <w:r w:rsidRPr="003C60E1">
        <w:rPr>
          <w:rFonts w:ascii="Times New Roman" w:hAnsi="Times New Roman" w:cs="Times New Roman"/>
        </w:rPr>
        <w:tab/>
        <w:t>To accommodate six additional ICU beds, hospital management approved the reallocation of space from a nearby inpatient medicine unit known as 2West. Prior to the renovation, the 2West unit housed three patients per room. As a result, 18 inpatient medicine beds were removed to create space for six ICU-specific beds adjacent to the existing ICU area.</w:t>
      </w:r>
    </w:p>
    <w:p w14:paraId="1501CD46" w14:textId="48C5B512" w:rsidR="00F6536E" w:rsidRPr="003C60E1" w:rsidRDefault="00F6536E" w:rsidP="0041588E">
      <w:pPr>
        <w:adjustRightInd w:val="0"/>
        <w:snapToGrid w:val="0"/>
        <w:spacing w:line="480" w:lineRule="auto"/>
        <w:ind w:firstLine="720"/>
        <w:rPr>
          <w:rFonts w:ascii="Times New Roman" w:hAnsi="Times New Roman" w:cs="Times New Roman"/>
        </w:rPr>
      </w:pPr>
      <w:r w:rsidRPr="003C60E1">
        <w:rPr>
          <w:rFonts w:ascii="Times New Roman" w:hAnsi="Times New Roman" w:cs="Times New Roman"/>
        </w:rPr>
        <w:t>After the renovation was completed, the ICU at Ajax Pickering Hospital increased its capacity to 16 beds. These additional beds were designated as step-down ICU beds for patients who required close monitoring but were considered less critically unstable than those in the main ICU. The step-down ICU included both single and shared rooms, and nursing staff were responsible for two to three patients rather than one patient per nurse. As a result, completing detailed hourly critical care charting became more challenging, particularly for invasive hemodynamic monitoring and physical assessments.</w:t>
      </w:r>
    </w:p>
    <w:p w14:paraId="012CC077" w14:textId="6411CC26" w:rsidR="00F6536E" w:rsidRPr="003C60E1" w:rsidRDefault="0041588E" w:rsidP="0041588E">
      <w:pPr>
        <w:adjustRightInd w:val="0"/>
        <w:snapToGrid w:val="0"/>
        <w:spacing w:line="480" w:lineRule="auto"/>
        <w:ind w:firstLine="720"/>
        <w:rPr>
          <w:rFonts w:ascii="Times New Roman" w:hAnsi="Times New Roman" w:cs="Times New Roman"/>
        </w:rPr>
      </w:pPr>
      <w:r>
        <w:rPr>
          <w:rFonts w:ascii="Times New Roman" w:hAnsi="Times New Roman" w:cs="Times New Roman"/>
        </w:rPr>
        <w:lastRenderedPageBreak/>
        <w:t>Several</w:t>
      </w:r>
      <w:r w:rsidR="00F6536E" w:rsidRPr="003C60E1">
        <w:rPr>
          <w:rFonts w:ascii="Times New Roman" w:hAnsi="Times New Roman" w:cs="Times New Roman"/>
        </w:rPr>
        <w:t xml:space="preserve"> infrastructure updates were also made within the ICU during the expansion. The </w:t>
      </w:r>
      <w:proofErr w:type="spellStart"/>
      <w:r w:rsidR="00F6536E" w:rsidRPr="003C60E1">
        <w:rPr>
          <w:rFonts w:ascii="Times New Roman" w:hAnsi="Times New Roman" w:cs="Times New Roman"/>
        </w:rPr>
        <w:t>MedSelect</w:t>
      </w:r>
      <w:proofErr w:type="spellEnd"/>
      <w:r w:rsidR="00F6536E" w:rsidRPr="003C60E1">
        <w:rPr>
          <w:rFonts w:ascii="Times New Roman" w:hAnsi="Times New Roman" w:cs="Times New Roman"/>
        </w:rPr>
        <w:t xml:space="preserve"> automated medication-dispensing system was relocated to match the new layout, and documentation stations and supply storage areas were reorganized.</w:t>
      </w:r>
    </w:p>
    <w:p w14:paraId="2CE03407" w14:textId="19D1BC7A" w:rsidR="00F6536E" w:rsidRPr="003C60E1" w:rsidRDefault="00F6536E" w:rsidP="0041588E">
      <w:pPr>
        <w:adjustRightInd w:val="0"/>
        <w:snapToGrid w:val="0"/>
        <w:spacing w:line="480" w:lineRule="auto"/>
        <w:ind w:firstLine="720"/>
        <w:rPr>
          <w:rFonts w:ascii="Times New Roman" w:hAnsi="Times New Roman" w:cs="Times New Roman"/>
        </w:rPr>
      </w:pPr>
      <w:r w:rsidRPr="003C60E1">
        <w:rPr>
          <w:rFonts w:ascii="Times New Roman" w:hAnsi="Times New Roman" w:cs="Times New Roman"/>
        </w:rPr>
        <w:t>The hospital also advertised new ICU nursing roles and recruited nurses from both internal and external sources, including recent graduates with limited ICU experience. Orientation and preceptorship programs were introduced to support these new staff members.</w:t>
      </w:r>
    </w:p>
    <w:p w14:paraId="3038BD1F" w14:textId="1E3852AA" w:rsidR="00F6536E" w:rsidRPr="003C60E1" w:rsidRDefault="00F6536E" w:rsidP="0041588E">
      <w:pPr>
        <w:adjustRightInd w:val="0"/>
        <w:snapToGrid w:val="0"/>
        <w:spacing w:line="480" w:lineRule="auto"/>
        <w:ind w:firstLine="720"/>
        <w:rPr>
          <w:rFonts w:ascii="Times New Roman" w:hAnsi="Times New Roman" w:cs="Times New Roman"/>
        </w:rPr>
      </w:pPr>
      <w:r w:rsidRPr="003C60E1">
        <w:rPr>
          <w:rFonts w:ascii="Times New Roman" w:hAnsi="Times New Roman" w:cs="Times New Roman"/>
        </w:rPr>
        <w:t>During the initial implementation period, staffing levels varied across shifts. Overtime shifts were offered to ensure adequate coverage, and ICU nurses were occasionally reassigned to assist the emergency department during staffing shortages. At the same time, the hospital phased out its reliance on agency nurses. Leadership roles within the ICU also changed during this period, with several ICU managers leaving their positions after relatively short tenures.</w:t>
      </w:r>
    </w:p>
    <w:p w14:paraId="0BBC25AB" w14:textId="71C7FC07" w:rsidR="00F6536E" w:rsidRPr="003C60E1" w:rsidRDefault="00F6536E" w:rsidP="0041588E">
      <w:pPr>
        <w:adjustRightInd w:val="0"/>
        <w:snapToGrid w:val="0"/>
        <w:spacing w:line="480" w:lineRule="auto"/>
        <w:ind w:firstLine="720"/>
        <w:rPr>
          <w:rFonts w:ascii="Times New Roman" w:hAnsi="Times New Roman" w:cs="Times New Roman"/>
        </w:rPr>
      </w:pPr>
      <w:r w:rsidRPr="003C60E1">
        <w:rPr>
          <w:rFonts w:ascii="Times New Roman" w:hAnsi="Times New Roman" w:cs="Times New Roman"/>
        </w:rPr>
        <w:t>The ICU at Ajax Pickering Hospital now operates with 16 funded beds. However, staffing shortages and a limited number of senior nurses continue to affect the training and mentoring of new staff, as well as the unit’s overall workflow, a situation some staff describe as “skeleton staffing.” The unit admits both critically ill patients and step-down cases requiring close monitoring. CRRT services remain unavailable at the site, and intermittent congestion in the emergency department persists as clinical teams continue adjusting to the expanded ICU environment.</w:t>
      </w:r>
    </w:p>
    <w:p w14:paraId="4BFDD352" w14:textId="77777777" w:rsidR="00F6536E" w:rsidRPr="003C60E1" w:rsidRDefault="00F6536E" w:rsidP="00F6536E">
      <w:pPr>
        <w:adjustRightInd w:val="0"/>
        <w:snapToGrid w:val="0"/>
        <w:spacing w:line="480" w:lineRule="auto"/>
        <w:rPr>
          <w:rFonts w:ascii="Times New Roman" w:hAnsi="Times New Roman" w:cs="Times New Roman"/>
        </w:rPr>
      </w:pPr>
      <w:r w:rsidRPr="003C60E1">
        <w:rPr>
          <w:rFonts w:ascii="Times New Roman" w:hAnsi="Times New Roman" w:cs="Times New Roman"/>
        </w:rPr>
        <w:tab/>
      </w:r>
    </w:p>
    <w:p w14:paraId="63A0C9D7" w14:textId="77777777" w:rsidR="00F6536E" w:rsidRPr="003C60E1" w:rsidRDefault="00F6536E" w:rsidP="00F6536E">
      <w:pPr>
        <w:adjustRightInd w:val="0"/>
        <w:snapToGrid w:val="0"/>
        <w:spacing w:line="480" w:lineRule="auto"/>
        <w:rPr>
          <w:rFonts w:ascii="Times New Roman" w:hAnsi="Times New Roman" w:cs="Times New Roman"/>
        </w:rPr>
      </w:pPr>
      <w:r w:rsidRPr="003C60E1">
        <w:rPr>
          <w:rFonts w:ascii="Times New Roman" w:hAnsi="Times New Roman" w:cs="Times New Roman"/>
        </w:rPr>
        <w:tab/>
      </w:r>
    </w:p>
    <w:p w14:paraId="2A6C258F" w14:textId="77777777" w:rsidR="00F6536E" w:rsidRPr="003C60E1" w:rsidRDefault="00F6536E" w:rsidP="00F6536E">
      <w:pPr>
        <w:adjustRightInd w:val="0"/>
        <w:snapToGrid w:val="0"/>
        <w:spacing w:line="480" w:lineRule="auto"/>
        <w:rPr>
          <w:rFonts w:ascii="Times New Roman" w:hAnsi="Times New Roman" w:cs="Times New Roman"/>
        </w:rPr>
      </w:pPr>
      <w:r w:rsidRPr="003C60E1">
        <w:rPr>
          <w:rFonts w:ascii="Times New Roman" w:hAnsi="Times New Roman" w:cs="Times New Roman"/>
        </w:rPr>
        <w:tab/>
      </w:r>
    </w:p>
    <w:p w14:paraId="11E99A5F" w14:textId="77777777" w:rsidR="00F6536E" w:rsidRPr="003C60E1" w:rsidRDefault="00F6536E" w:rsidP="00F6536E">
      <w:pPr>
        <w:adjustRightInd w:val="0"/>
        <w:snapToGrid w:val="0"/>
        <w:spacing w:line="480" w:lineRule="auto"/>
        <w:rPr>
          <w:rFonts w:ascii="Times New Roman" w:hAnsi="Times New Roman" w:cs="Times New Roman"/>
        </w:rPr>
      </w:pPr>
      <w:r w:rsidRPr="003C60E1">
        <w:rPr>
          <w:rFonts w:ascii="Times New Roman" w:hAnsi="Times New Roman" w:cs="Times New Roman"/>
        </w:rPr>
        <w:tab/>
      </w:r>
    </w:p>
    <w:p w14:paraId="49D3E390" w14:textId="77777777" w:rsidR="00F6536E" w:rsidRPr="003C60E1" w:rsidRDefault="00F6536E" w:rsidP="00F6536E">
      <w:pPr>
        <w:adjustRightInd w:val="0"/>
        <w:snapToGrid w:val="0"/>
        <w:spacing w:line="480" w:lineRule="auto"/>
        <w:rPr>
          <w:rFonts w:ascii="Times New Roman" w:hAnsi="Times New Roman" w:cs="Times New Roman"/>
        </w:rPr>
      </w:pPr>
    </w:p>
    <w:p w14:paraId="60CDD5DD" w14:textId="77777777" w:rsidR="00F6536E" w:rsidRPr="000F222C" w:rsidRDefault="00F6536E" w:rsidP="000F222C">
      <w:pPr>
        <w:adjustRightInd w:val="0"/>
        <w:snapToGrid w:val="0"/>
        <w:spacing w:line="480" w:lineRule="auto"/>
        <w:jc w:val="center"/>
        <w:rPr>
          <w:rFonts w:ascii="Times New Roman" w:hAnsi="Times New Roman" w:cs="Times New Roman"/>
          <w:b/>
          <w:bCs/>
        </w:rPr>
      </w:pPr>
      <w:r w:rsidRPr="000F222C">
        <w:rPr>
          <w:rFonts w:ascii="Times New Roman" w:hAnsi="Times New Roman" w:cs="Times New Roman"/>
          <w:b/>
          <w:bCs/>
        </w:rPr>
        <w:lastRenderedPageBreak/>
        <w:t>Part 2 - Case Study Analysis</w:t>
      </w:r>
    </w:p>
    <w:p w14:paraId="53927539" w14:textId="77777777" w:rsidR="00F6536E" w:rsidRPr="003C60E1" w:rsidRDefault="00F6536E" w:rsidP="00F6536E">
      <w:pPr>
        <w:adjustRightInd w:val="0"/>
        <w:snapToGrid w:val="0"/>
        <w:spacing w:line="480" w:lineRule="auto"/>
        <w:rPr>
          <w:rFonts w:ascii="Times New Roman" w:hAnsi="Times New Roman" w:cs="Times New Roman"/>
          <w:b/>
          <w:bCs/>
        </w:rPr>
      </w:pPr>
      <w:r w:rsidRPr="003C60E1">
        <w:rPr>
          <w:rFonts w:ascii="Times New Roman" w:hAnsi="Times New Roman" w:cs="Times New Roman"/>
          <w:b/>
          <w:bCs/>
        </w:rPr>
        <w:t>Organizational Change and System Capacity: The ICU Expansion at Ajax Pickering Hospital</w:t>
      </w:r>
    </w:p>
    <w:p w14:paraId="34A7E1CD" w14:textId="201C8232" w:rsidR="00F6536E" w:rsidRPr="003C60E1" w:rsidRDefault="00F6536E" w:rsidP="0041588E">
      <w:pPr>
        <w:adjustRightInd w:val="0"/>
        <w:snapToGrid w:val="0"/>
        <w:spacing w:line="480" w:lineRule="auto"/>
        <w:ind w:firstLine="720"/>
        <w:rPr>
          <w:rFonts w:ascii="Times New Roman" w:hAnsi="Times New Roman" w:cs="Times New Roman"/>
        </w:rPr>
      </w:pPr>
      <w:r w:rsidRPr="003C60E1">
        <w:rPr>
          <w:rFonts w:ascii="Times New Roman" w:hAnsi="Times New Roman" w:cs="Times New Roman"/>
        </w:rPr>
        <w:t>Expanding ICU capacity is often viewed as a practical solution to growing healthcare system pressures. However, the experience at Ajax Pickering Hospital suggests that increasing the number of beds alone does not automatically resolve operational challenges. During the implementation of the ICU expansion, differences in workforce preparation, leadership stability, and organizational coordination began to influence how effectively the new capacity could function in practice. These developments illustrate how structural changes within healthcare systems can produce complex operational effects.</w:t>
      </w:r>
    </w:p>
    <w:p w14:paraId="278E4400" w14:textId="00BB6FFD" w:rsidR="00F6536E" w:rsidRPr="003C60E1" w:rsidRDefault="00F6536E" w:rsidP="0041588E">
      <w:pPr>
        <w:adjustRightInd w:val="0"/>
        <w:snapToGrid w:val="0"/>
        <w:spacing w:line="480" w:lineRule="auto"/>
        <w:ind w:firstLine="720"/>
        <w:rPr>
          <w:rFonts w:ascii="Times New Roman" w:hAnsi="Times New Roman" w:cs="Times New Roman"/>
        </w:rPr>
      </w:pPr>
      <w:r w:rsidRPr="003C60E1">
        <w:rPr>
          <w:rFonts w:ascii="Times New Roman" w:hAnsi="Times New Roman" w:cs="Times New Roman"/>
        </w:rPr>
        <w:t>The ICU expansion at Lakeridge Health’s Ajax Pickering Hospital—from 10 to 16 beds—occurred within a broader provincial context. Ontario’s healthcare system has faced increasing pressure due to population growth, rising demand for specialized care, and ongoing congestion in emergency departments. In response, provincial initiatives encouraged hospitals to expand critical care capacity to improve access to services and reduce emergency department backlogs (Ontario Health, 2023). While the expansion aligned with these policy objectives, its implementation revealed several operational challenges. These included staffing shortages, difficulties recruiting nurses with critical care experience, and a limited number of senior ICU nurses available to mentor newly recruited staff.</w:t>
      </w:r>
    </w:p>
    <w:p w14:paraId="17D37544" w14:textId="0072808A" w:rsidR="00F6536E" w:rsidRPr="003C60E1" w:rsidRDefault="00F6536E" w:rsidP="0041588E">
      <w:pPr>
        <w:adjustRightInd w:val="0"/>
        <w:snapToGrid w:val="0"/>
        <w:spacing w:line="480" w:lineRule="auto"/>
        <w:ind w:firstLine="720"/>
        <w:rPr>
          <w:rFonts w:ascii="Times New Roman" w:hAnsi="Times New Roman" w:cs="Times New Roman"/>
        </w:rPr>
      </w:pPr>
      <w:r w:rsidRPr="003C60E1">
        <w:rPr>
          <w:rFonts w:ascii="Times New Roman" w:hAnsi="Times New Roman" w:cs="Times New Roman"/>
        </w:rPr>
        <w:t xml:space="preserve">To make sense of these challenges, it helps to look at the situation through several perspectives on organizational change. Lewin’s change model provides a framework for examining how the transition progressed through different stages of organizational adaptation (Hussain et al., 2018). Kotter’s change leadership model and design thinking approaches help </w:t>
      </w:r>
      <w:r w:rsidRPr="003C60E1">
        <w:rPr>
          <w:rFonts w:ascii="Times New Roman" w:hAnsi="Times New Roman" w:cs="Times New Roman"/>
        </w:rPr>
        <w:lastRenderedPageBreak/>
        <w:t xml:space="preserve">explain how leadership coordination and stakeholder engagement influence the success of implementation processes (Engmann et al., 2024). Systems thinking and </w:t>
      </w:r>
      <w:r w:rsidR="0041588E">
        <w:rPr>
          <w:rFonts w:ascii="Times New Roman" w:hAnsi="Times New Roman" w:cs="Times New Roman"/>
        </w:rPr>
        <w:t>soft systems methodology</w:t>
      </w:r>
      <w:r w:rsidRPr="003C60E1">
        <w:rPr>
          <w:rFonts w:ascii="Times New Roman" w:hAnsi="Times New Roman" w:cs="Times New Roman"/>
        </w:rPr>
        <w:t> indicate how structural decisions interact with workforce capabilities, patient flow, and interdepartmental coordination within complex healthcare settings (Augustsson et al., 2020; Notarnicola et al., 2026). Sensemaking theory further clarifies how frontline clinicians interpret organizational changes through their daily clinical experiences and professional identities (Weick et al., 2005; Wasieleski et al., 2024). Lastly, structuration theory and contemporary analyses of organizational power demonstrate how institutional rules, professional norms, and leadership authority shape the enactment and sustenance of structural changes in practice (Carter et al., 2024; Ortmann et al., 2023).</w:t>
      </w:r>
    </w:p>
    <w:p w14:paraId="26466D33" w14:textId="0E9B96D4" w:rsidR="00F6536E" w:rsidRPr="003C60E1" w:rsidRDefault="00F6536E" w:rsidP="00F6536E">
      <w:pPr>
        <w:adjustRightInd w:val="0"/>
        <w:snapToGrid w:val="0"/>
        <w:spacing w:line="480" w:lineRule="auto"/>
        <w:rPr>
          <w:rFonts w:ascii="Times New Roman" w:hAnsi="Times New Roman" w:cs="Times New Roman"/>
          <w:b/>
          <w:bCs/>
        </w:rPr>
      </w:pPr>
      <w:r w:rsidRPr="003C60E1">
        <w:rPr>
          <w:rFonts w:ascii="Times New Roman" w:hAnsi="Times New Roman" w:cs="Times New Roman"/>
          <w:b/>
          <w:bCs/>
        </w:rPr>
        <w:t xml:space="preserve">Case Anchor: Key Organizational Issues Identified </w:t>
      </w:r>
      <w:r w:rsidR="002C331D" w:rsidRPr="003C60E1">
        <w:rPr>
          <w:rFonts w:ascii="Times New Roman" w:hAnsi="Times New Roman" w:cs="Times New Roman"/>
          <w:b/>
          <w:bCs/>
        </w:rPr>
        <w:t>in</w:t>
      </w:r>
      <w:r w:rsidRPr="003C60E1">
        <w:rPr>
          <w:rFonts w:ascii="Times New Roman" w:hAnsi="Times New Roman" w:cs="Times New Roman"/>
          <w:b/>
          <w:bCs/>
        </w:rPr>
        <w:t xml:space="preserve"> </w:t>
      </w:r>
      <w:r w:rsidR="002C331D" w:rsidRPr="003C60E1">
        <w:rPr>
          <w:rFonts w:ascii="Times New Roman" w:hAnsi="Times New Roman" w:cs="Times New Roman"/>
          <w:b/>
          <w:bCs/>
        </w:rPr>
        <w:t>t</w:t>
      </w:r>
      <w:r w:rsidRPr="003C60E1">
        <w:rPr>
          <w:rFonts w:ascii="Times New Roman" w:hAnsi="Times New Roman" w:cs="Times New Roman"/>
          <w:b/>
          <w:bCs/>
        </w:rPr>
        <w:t>he Case</w:t>
      </w:r>
    </w:p>
    <w:p w14:paraId="76D7F98B" w14:textId="1DF9220A" w:rsidR="00F6536E" w:rsidRPr="003C60E1" w:rsidRDefault="00F6536E" w:rsidP="0041588E">
      <w:pPr>
        <w:adjustRightInd w:val="0"/>
        <w:snapToGrid w:val="0"/>
        <w:spacing w:line="480" w:lineRule="auto"/>
        <w:ind w:firstLine="720"/>
        <w:rPr>
          <w:rFonts w:ascii="Times New Roman" w:hAnsi="Times New Roman" w:cs="Times New Roman"/>
        </w:rPr>
      </w:pPr>
      <w:r w:rsidRPr="003C60E1">
        <w:rPr>
          <w:rFonts w:ascii="Times New Roman" w:hAnsi="Times New Roman" w:cs="Times New Roman"/>
        </w:rPr>
        <w:t>The case described in Part 1 highlights three interconnected operational challenges. First, physical ICU capacity increased from 10 to 16 beds, but critical care staffing was still limited. As a result, more pressure was placed on senior nurses to supervise and mentor newly recruited staff, including several new graduates. Another challenge was removing inpatient medicine beds, which changed patient flow throughout the hospital and contributed to the emergency department’s ongoing congestion. Finally, leadership turnover created uncertainty around communication, coordination, and staff support. Understanding how these issues developed requires examination of the ICU expansion through established frameworks for organizational change and systems.</w:t>
      </w:r>
    </w:p>
    <w:p w14:paraId="568D364A" w14:textId="77777777" w:rsidR="00F6536E" w:rsidRPr="003C60E1" w:rsidRDefault="00F6536E" w:rsidP="00F6536E">
      <w:pPr>
        <w:adjustRightInd w:val="0"/>
        <w:snapToGrid w:val="0"/>
        <w:spacing w:line="480" w:lineRule="auto"/>
        <w:rPr>
          <w:rFonts w:ascii="Times New Roman" w:hAnsi="Times New Roman" w:cs="Times New Roman"/>
          <w:b/>
          <w:bCs/>
        </w:rPr>
      </w:pPr>
      <w:r w:rsidRPr="003C60E1">
        <w:rPr>
          <w:rFonts w:ascii="Times New Roman" w:hAnsi="Times New Roman" w:cs="Times New Roman"/>
          <w:b/>
          <w:bCs/>
        </w:rPr>
        <w:t>Organizational Context &amp; Problem Description</w:t>
      </w:r>
    </w:p>
    <w:p w14:paraId="0268AB33" w14:textId="4B9B4028" w:rsidR="00F6536E" w:rsidRPr="003C60E1" w:rsidRDefault="0041588E" w:rsidP="0041588E">
      <w:pPr>
        <w:adjustRightInd w:val="0"/>
        <w:snapToGrid w:val="0"/>
        <w:spacing w:line="480" w:lineRule="auto"/>
        <w:ind w:firstLine="720"/>
        <w:rPr>
          <w:rFonts w:ascii="Times New Roman" w:hAnsi="Times New Roman" w:cs="Times New Roman"/>
        </w:rPr>
      </w:pPr>
      <w:r>
        <w:rPr>
          <w:rFonts w:ascii="Times New Roman" w:hAnsi="Times New Roman" w:cs="Times New Roman"/>
        </w:rPr>
        <w:t>The</w:t>
      </w:r>
      <w:r w:rsidR="00F6536E" w:rsidRPr="003C60E1">
        <w:rPr>
          <w:rFonts w:ascii="Times New Roman" w:hAnsi="Times New Roman" w:cs="Times New Roman"/>
        </w:rPr>
        <w:t xml:space="preserve"> ICU expansion at Ajax Pickering Hospital represents a system-wide organizational shift that has affected various parts of the hospital network. Provincial policy aimed to boost </w:t>
      </w:r>
      <w:r w:rsidR="00F6536E" w:rsidRPr="003C60E1">
        <w:rPr>
          <w:rFonts w:ascii="Times New Roman" w:hAnsi="Times New Roman" w:cs="Times New Roman"/>
        </w:rPr>
        <w:lastRenderedPageBreak/>
        <w:t>critical care capacity, yet while this goal was achieved, the operational rollout faced several interconnected challenges.</w:t>
      </w:r>
    </w:p>
    <w:p w14:paraId="047C6FBD" w14:textId="799B957F" w:rsidR="00F6536E" w:rsidRPr="003C60E1" w:rsidRDefault="00F6536E" w:rsidP="0041588E">
      <w:pPr>
        <w:adjustRightInd w:val="0"/>
        <w:snapToGrid w:val="0"/>
        <w:spacing w:line="480" w:lineRule="auto"/>
        <w:ind w:firstLine="720"/>
        <w:rPr>
          <w:rFonts w:ascii="Times New Roman" w:hAnsi="Times New Roman" w:cs="Times New Roman"/>
        </w:rPr>
      </w:pPr>
      <w:r w:rsidRPr="003C60E1">
        <w:rPr>
          <w:rFonts w:ascii="Times New Roman" w:hAnsi="Times New Roman" w:cs="Times New Roman"/>
        </w:rPr>
        <w:t>The first challenge was that to expand ICU beds from 10 to 16, the hospital had to remove 18 inpatient beds from the 2West unit. This decision indeed increased ICU capacity, but that also meant that patient flow patterns throughout the hospital changed. Patients who needed emergency department admission would sometimes stay longer as a direct result of the shortage of inpatient beds. That contributed to ongoing congestion in the emergency department.</w:t>
      </w:r>
    </w:p>
    <w:p w14:paraId="34D75F95" w14:textId="60C32E5C" w:rsidR="00F6536E" w:rsidRPr="003C60E1" w:rsidRDefault="00F6536E" w:rsidP="0041588E">
      <w:pPr>
        <w:adjustRightInd w:val="0"/>
        <w:snapToGrid w:val="0"/>
        <w:spacing w:line="480" w:lineRule="auto"/>
        <w:ind w:firstLine="720"/>
        <w:rPr>
          <w:rFonts w:ascii="Times New Roman" w:hAnsi="Times New Roman" w:cs="Times New Roman"/>
        </w:rPr>
      </w:pPr>
      <w:r w:rsidRPr="003C60E1">
        <w:rPr>
          <w:rFonts w:ascii="Times New Roman" w:hAnsi="Times New Roman" w:cs="Times New Roman"/>
        </w:rPr>
        <w:t xml:space="preserve">On another note, workforce capacity could not keep pace with the growth of physical infrastructure. Nurses who transferred from other units, as well as nurses who had just graduated and had limited experience in critical care </w:t>
      </w:r>
      <w:r w:rsidR="00DD6302">
        <w:rPr>
          <w:rFonts w:ascii="Times New Roman" w:hAnsi="Times New Roman" w:cs="Times New Roman"/>
        </w:rPr>
        <w:t>settings, were</w:t>
      </w:r>
      <w:r w:rsidRPr="003C60E1">
        <w:rPr>
          <w:rFonts w:ascii="Times New Roman" w:hAnsi="Times New Roman" w:cs="Times New Roman"/>
        </w:rPr>
        <w:t xml:space="preserve"> recruited. These new staff members underwent extensive orientation and were supervised by experienced ICU nurses. However, the concurrent shortage of senior nurses posed challenges for mentorship and skill development.</w:t>
      </w:r>
    </w:p>
    <w:p w14:paraId="457AB143" w14:textId="3AD6579D" w:rsidR="00F6536E" w:rsidRPr="003C60E1" w:rsidRDefault="00F6536E" w:rsidP="0041588E">
      <w:pPr>
        <w:adjustRightInd w:val="0"/>
        <w:snapToGrid w:val="0"/>
        <w:spacing w:line="480" w:lineRule="auto"/>
        <w:ind w:firstLine="720"/>
        <w:rPr>
          <w:rFonts w:ascii="Times New Roman" w:hAnsi="Times New Roman" w:cs="Times New Roman"/>
        </w:rPr>
      </w:pPr>
      <w:r w:rsidRPr="003C60E1">
        <w:rPr>
          <w:rFonts w:ascii="Times New Roman" w:hAnsi="Times New Roman" w:cs="Times New Roman"/>
        </w:rPr>
        <w:t>From a frontline perspective, experienced ICU nurses had to care for critically ill patients while overseeing novice staff members. Patients who are critically ill often need complex interventions, and supervising new staff under these conditions only increases these experienced nurses’ cognitive workload and emotional stress.</w:t>
      </w:r>
    </w:p>
    <w:p w14:paraId="0EEF3D3F" w14:textId="4BEBF3DB" w:rsidR="00F6536E" w:rsidRPr="003C60E1" w:rsidRDefault="00F6536E" w:rsidP="0041588E">
      <w:pPr>
        <w:adjustRightInd w:val="0"/>
        <w:snapToGrid w:val="0"/>
        <w:spacing w:line="480" w:lineRule="auto"/>
        <w:ind w:firstLine="720"/>
        <w:rPr>
          <w:rFonts w:ascii="Times New Roman" w:hAnsi="Times New Roman" w:cs="Times New Roman"/>
        </w:rPr>
      </w:pPr>
      <w:r w:rsidRPr="003C60E1">
        <w:rPr>
          <w:rFonts w:ascii="Times New Roman" w:hAnsi="Times New Roman" w:cs="Times New Roman"/>
        </w:rPr>
        <w:t xml:space="preserve">Another issue was that specialized clinical services did not grow in tandem with the ICU’s physical capacity. Ajax Pickering Hospital still lacked CRRT facilities, so patients were being transferred to the Oshawa hospital. These transfers temporarily reduced the ICU’s staffing capacity because they required </w:t>
      </w:r>
      <w:r w:rsidR="00DD6302">
        <w:rPr>
          <w:rFonts w:ascii="Times New Roman" w:hAnsi="Times New Roman" w:cs="Times New Roman"/>
        </w:rPr>
        <w:t xml:space="preserve">coordination among </w:t>
      </w:r>
      <w:r w:rsidRPr="003C60E1">
        <w:rPr>
          <w:rFonts w:ascii="Times New Roman" w:hAnsi="Times New Roman" w:cs="Times New Roman"/>
        </w:rPr>
        <w:t>clinical teams and transport services.</w:t>
      </w:r>
    </w:p>
    <w:p w14:paraId="0B0D4E91" w14:textId="35F6FFE3" w:rsidR="00F6536E" w:rsidRPr="003C60E1" w:rsidRDefault="00F6536E" w:rsidP="0041588E">
      <w:pPr>
        <w:adjustRightInd w:val="0"/>
        <w:snapToGrid w:val="0"/>
        <w:spacing w:line="480" w:lineRule="auto"/>
        <w:ind w:firstLine="720"/>
        <w:rPr>
          <w:rFonts w:ascii="Times New Roman" w:hAnsi="Times New Roman" w:cs="Times New Roman"/>
        </w:rPr>
      </w:pPr>
      <w:r w:rsidRPr="003C60E1">
        <w:rPr>
          <w:rFonts w:ascii="Times New Roman" w:hAnsi="Times New Roman" w:cs="Times New Roman"/>
        </w:rPr>
        <w:t xml:space="preserve">Finally, during implementation, there was leadership turnover, with several ICU managers leaving their roles within a relatively short period. During major organizational change </w:t>
      </w:r>
      <w:r w:rsidRPr="003C60E1">
        <w:rPr>
          <w:rFonts w:ascii="Times New Roman" w:hAnsi="Times New Roman" w:cs="Times New Roman"/>
        </w:rPr>
        <w:lastRenderedPageBreak/>
        <w:t>initiatives, leadership continuity is particularly important, and managerial instability is likely to reduce consistency in communication, decision-making, and staff support.</w:t>
      </w:r>
    </w:p>
    <w:p w14:paraId="188BB864" w14:textId="5FC36D72" w:rsidR="00F6536E" w:rsidRPr="003C60E1" w:rsidRDefault="00F6536E" w:rsidP="0041588E">
      <w:pPr>
        <w:adjustRightInd w:val="0"/>
        <w:snapToGrid w:val="0"/>
        <w:spacing w:line="480" w:lineRule="auto"/>
        <w:ind w:firstLine="720"/>
        <w:rPr>
          <w:rFonts w:ascii="Times New Roman" w:hAnsi="Times New Roman" w:cs="Times New Roman"/>
        </w:rPr>
      </w:pPr>
      <w:r w:rsidRPr="003C60E1">
        <w:rPr>
          <w:rFonts w:ascii="Times New Roman" w:hAnsi="Times New Roman" w:cs="Times New Roman"/>
        </w:rPr>
        <w:t>On the one hand, these factors together increased structural capacity, which was the goal; on the other hand, workforce stability and clinical mentorship capacity remained limited.</w:t>
      </w:r>
    </w:p>
    <w:p w14:paraId="432D9225" w14:textId="77777777" w:rsidR="00F6536E" w:rsidRPr="003C60E1" w:rsidRDefault="00F6536E" w:rsidP="00F6536E">
      <w:pPr>
        <w:adjustRightInd w:val="0"/>
        <w:snapToGrid w:val="0"/>
        <w:spacing w:line="480" w:lineRule="auto"/>
        <w:rPr>
          <w:rFonts w:ascii="Times New Roman" w:hAnsi="Times New Roman" w:cs="Times New Roman"/>
          <w:b/>
          <w:bCs/>
        </w:rPr>
      </w:pPr>
      <w:r w:rsidRPr="003C60E1">
        <w:rPr>
          <w:rFonts w:ascii="Times New Roman" w:hAnsi="Times New Roman" w:cs="Times New Roman"/>
          <w:b/>
          <w:bCs/>
        </w:rPr>
        <w:t>Systems Thinking &amp; Health System Capacity</w:t>
      </w:r>
    </w:p>
    <w:p w14:paraId="464C69A9" w14:textId="674AA147" w:rsidR="00F6536E" w:rsidRPr="003C60E1" w:rsidRDefault="00F6536E" w:rsidP="0041588E">
      <w:pPr>
        <w:adjustRightInd w:val="0"/>
        <w:snapToGrid w:val="0"/>
        <w:spacing w:line="480" w:lineRule="auto"/>
        <w:ind w:firstLine="720"/>
        <w:rPr>
          <w:rFonts w:ascii="Times New Roman" w:hAnsi="Times New Roman" w:cs="Times New Roman"/>
        </w:rPr>
      </w:pPr>
      <w:r w:rsidRPr="003C60E1">
        <w:rPr>
          <w:rFonts w:ascii="Times New Roman" w:hAnsi="Times New Roman" w:cs="Times New Roman"/>
        </w:rPr>
        <w:t xml:space="preserve">When we look at the ICU expansion from a broader perspective, it is easy to see that the change did not occur in isolation. One reason is that hospitals operate as highly interconnected environments where decisions in one department can quickly affect others. Adding ICU beds, for example, may seem like a straightforward solution to capacity pressures. </w:t>
      </w:r>
      <w:proofErr w:type="gramStart"/>
      <w:r w:rsidRPr="003C60E1">
        <w:rPr>
          <w:rFonts w:ascii="Times New Roman" w:hAnsi="Times New Roman" w:cs="Times New Roman"/>
        </w:rPr>
        <w:t>In reality, things</w:t>
      </w:r>
      <w:proofErr w:type="gramEnd"/>
      <w:r w:rsidRPr="003C60E1">
        <w:rPr>
          <w:rFonts w:ascii="Times New Roman" w:hAnsi="Times New Roman" w:cs="Times New Roman"/>
        </w:rPr>
        <w:t xml:space="preserve"> are different because changes like this tend to ripple through staffing, patient flow, and workload, across the entire organization. Systems thinking helps make sense of these kinds of ripple effects.</w:t>
      </w:r>
    </w:p>
    <w:p w14:paraId="7C7E5886" w14:textId="351A0C17" w:rsidR="00F6536E" w:rsidRPr="003C60E1" w:rsidRDefault="00F6536E" w:rsidP="0041588E">
      <w:pPr>
        <w:adjustRightInd w:val="0"/>
        <w:snapToGrid w:val="0"/>
        <w:spacing w:line="480" w:lineRule="auto"/>
        <w:ind w:firstLine="720"/>
        <w:rPr>
          <w:rFonts w:ascii="Times New Roman" w:hAnsi="Times New Roman" w:cs="Times New Roman"/>
        </w:rPr>
      </w:pPr>
      <w:r w:rsidRPr="003C60E1">
        <w:rPr>
          <w:rFonts w:ascii="Times New Roman" w:hAnsi="Times New Roman" w:cs="Times New Roman"/>
        </w:rPr>
        <w:t xml:space="preserve">Recent research on nurse leadership highlights the importance of systems </w:t>
      </w:r>
      <w:proofErr w:type="gramStart"/>
      <w:r w:rsidRPr="003C60E1">
        <w:rPr>
          <w:rFonts w:ascii="Times New Roman" w:hAnsi="Times New Roman" w:cs="Times New Roman"/>
        </w:rPr>
        <w:t>thinking:</w:t>
      </w:r>
      <w:proofErr w:type="gramEnd"/>
      <w:r w:rsidRPr="003C60E1">
        <w:rPr>
          <w:rFonts w:ascii="Times New Roman" w:hAnsi="Times New Roman" w:cs="Times New Roman"/>
        </w:rPr>
        <w:t xml:space="preserve"> decisions made in one part of a hospital often influence outcomes in other parts (Notarnicola et al., 2026). Applying this perspective to the Ajax Pickering case shows that increasing ICU capacity altered relationships throughout the entire hospital system. Expanding ICU beds without recruiting experienced critical care staff only adds to the pressure on the department’s existing clinicians. In practice, having new graduate nurses present meant that the more experienced nurses were responsible for providing</w:t>
      </w:r>
      <w:r w:rsidR="00DA237A" w:rsidRPr="003C60E1">
        <w:rPr>
          <w:rFonts w:ascii="Times New Roman" w:hAnsi="Times New Roman" w:cs="Times New Roman"/>
        </w:rPr>
        <w:t xml:space="preserve"> </w:t>
      </w:r>
      <w:r w:rsidRPr="003C60E1">
        <w:rPr>
          <w:rFonts w:ascii="Times New Roman" w:hAnsi="Times New Roman" w:cs="Times New Roman"/>
        </w:rPr>
        <w:t>ongoing supervision, which effectively redistributed the workload across the unit.</w:t>
      </w:r>
    </w:p>
    <w:p w14:paraId="16170E9C" w14:textId="434EAC64" w:rsidR="00F6536E" w:rsidRPr="003C60E1" w:rsidRDefault="00F6536E" w:rsidP="0041588E">
      <w:pPr>
        <w:adjustRightInd w:val="0"/>
        <w:snapToGrid w:val="0"/>
        <w:spacing w:line="480" w:lineRule="auto"/>
        <w:ind w:firstLine="720"/>
        <w:rPr>
          <w:rFonts w:ascii="Times New Roman" w:hAnsi="Times New Roman" w:cs="Times New Roman"/>
        </w:rPr>
      </w:pPr>
      <w:r w:rsidRPr="003C60E1">
        <w:rPr>
          <w:rFonts w:ascii="Times New Roman" w:hAnsi="Times New Roman" w:cs="Times New Roman"/>
        </w:rPr>
        <w:t xml:space="preserve">Bed numbers alone do not capture what hospital capacity really means. </w:t>
      </w:r>
      <w:proofErr w:type="gramStart"/>
      <w:r w:rsidRPr="003C60E1">
        <w:rPr>
          <w:rFonts w:ascii="Times New Roman" w:hAnsi="Times New Roman" w:cs="Times New Roman"/>
        </w:rPr>
        <w:t>In reality, capacity</w:t>
      </w:r>
      <w:proofErr w:type="gramEnd"/>
      <w:r w:rsidRPr="003C60E1">
        <w:rPr>
          <w:rFonts w:ascii="Times New Roman" w:hAnsi="Times New Roman" w:cs="Times New Roman"/>
        </w:rPr>
        <w:t xml:space="preserve"> depends on a combination of factors: skilled staff, specialized services, available equipment, and the efficiency with which patients are moved through different departments. When experienced staff are limited, a unit’s operational capacity may fall short of </w:t>
      </w:r>
      <w:r w:rsidRPr="003C60E1">
        <w:rPr>
          <w:rFonts w:ascii="Times New Roman" w:hAnsi="Times New Roman" w:cs="Times New Roman"/>
        </w:rPr>
        <w:lastRenderedPageBreak/>
        <w:t>its physical bed count. In this case, expanding ICU beds without also expanding recruitment of experienced critical care staff demonstrates that structural capacity alone does not determine a healthcare system’s functional capacity.</w:t>
      </w:r>
    </w:p>
    <w:p w14:paraId="0D9828CD" w14:textId="77777777" w:rsidR="00F6536E" w:rsidRPr="003C60E1" w:rsidRDefault="00F6536E" w:rsidP="00F6536E">
      <w:pPr>
        <w:adjustRightInd w:val="0"/>
        <w:snapToGrid w:val="0"/>
        <w:spacing w:line="480" w:lineRule="auto"/>
        <w:rPr>
          <w:rFonts w:ascii="Times New Roman" w:hAnsi="Times New Roman" w:cs="Times New Roman"/>
          <w:b/>
          <w:bCs/>
        </w:rPr>
      </w:pPr>
      <w:r w:rsidRPr="003C60E1">
        <w:rPr>
          <w:rFonts w:ascii="Times New Roman" w:hAnsi="Times New Roman" w:cs="Times New Roman"/>
          <w:b/>
          <w:bCs/>
        </w:rPr>
        <w:t>Lewin’s Change Model</w:t>
      </w:r>
    </w:p>
    <w:p w14:paraId="216207CE" w14:textId="3C385098" w:rsidR="00F6536E" w:rsidRPr="003C60E1" w:rsidRDefault="00F6536E" w:rsidP="0041588E">
      <w:pPr>
        <w:adjustRightInd w:val="0"/>
        <w:snapToGrid w:val="0"/>
        <w:spacing w:line="480" w:lineRule="auto"/>
        <w:ind w:firstLine="720"/>
        <w:rPr>
          <w:rFonts w:ascii="Times New Roman" w:hAnsi="Times New Roman" w:cs="Times New Roman"/>
        </w:rPr>
      </w:pPr>
      <w:r w:rsidRPr="003C60E1">
        <w:rPr>
          <w:rFonts w:ascii="Times New Roman" w:hAnsi="Times New Roman" w:cs="Times New Roman"/>
        </w:rPr>
        <w:t>One way to think about what happened during the ICU expansion is through Lewin’s model of organizational change. The model describes how organizations gradually move away from established routines, experiment with new ways of working, and eventually settle into new patterns. (Hussain et al., 2018). In practice, however, these stages rarely unfold in a perfectly orderly way. The experience at Ajax Pickering suggests that the hospital may still be navigating the middle phase of change rather than having reached a fully stable stage.</w:t>
      </w:r>
    </w:p>
    <w:p w14:paraId="48D240AD" w14:textId="5778B002" w:rsidR="00F6536E" w:rsidRPr="003C60E1" w:rsidRDefault="00F6536E" w:rsidP="0041588E">
      <w:pPr>
        <w:adjustRightInd w:val="0"/>
        <w:snapToGrid w:val="0"/>
        <w:spacing w:line="480" w:lineRule="auto"/>
        <w:ind w:firstLine="720"/>
        <w:rPr>
          <w:rFonts w:ascii="Times New Roman" w:hAnsi="Times New Roman" w:cs="Times New Roman"/>
        </w:rPr>
      </w:pPr>
      <w:r w:rsidRPr="003C60E1">
        <w:rPr>
          <w:rFonts w:ascii="Times New Roman" w:hAnsi="Times New Roman" w:cs="Times New Roman"/>
        </w:rPr>
        <w:t>The unfreezing stage involves readying individuals and organizations to move away from established routines. In this context, urgency was driven primarily by external pressures, including provincial funding directives and rising patient demand. However, Hussain et al. (2018) emphasize that successful unfreezing requires meaningful employee involvement. In the ICU expansion, frontline clinicians had a limited say in how the change would be implemented. Without opportunities to influence implementation strategies, staff may see structural changes as externally imposed rather than collaboratively developed improvements.</w:t>
      </w:r>
    </w:p>
    <w:p w14:paraId="45081AB1" w14:textId="4C051FEE" w:rsidR="00F6536E" w:rsidRPr="003C60E1" w:rsidRDefault="00F6536E" w:rsidP="0041588E">
      <w:pPr>
        <w:adjustRightInd w:val="0"/>
        <w:snapToGrid w:val="0"/>
        <w:spacing w:line="480" w:lineRule="auto"/>
        <w:ind w:firstLine="720"/>
        <w:rPr>
          <w:rFonts w:ascii="Times New Roman" w:hAnsi="Times New Roman" w:cs="Times New Roman"/>
        </w:rPr>
      </w:pPr>
      <w:r w:rsidRPr="003C60E1">
        <w:rPr>
          <w:rFonts w:ascii="Times New Roman" w:hAnsi="Times New Roman" w:cs="Times New Roman"/>
        </w:rPr>
        <w:t>The movement phase included physical renovations to the ICU, recruiting new staff, and adjusting patient flow processes. However, hiring new graduate nurses increased the responsibilities of experienced staff who were already managing critically ill patients. These seasoned nurses often assumed informal mentorship roles while continuing to handle complex patient care.</w:t>
      </w:r>
    </w:p>
    <w:p w14:paraId="62F4DD14" w14:textId="7BA6DA2E" w:rsidR="00F6536E" w:rsidRPr="003C60E1" w:rsidRDefault="00F6536E" w:rsidP="0041588E">
      <w:pPr>
        <w:adjustRightInd w:val="0"/>
        <w:snapToGrid w:val="0"/>
        <w:spacing w:line="480" w:lineRule="auto"/>
        <w:ind w:firstLine="720"/>
        <w:rPr>
          <w:rFonts w:ascii="Times New Roman" w:hAnsi="Times New Roman" w:cs="Times New Roman"/>
        </w:rPr>
      </w:pPr>
      <w:r w:rsidRPr="003C60E1">
        <w:rPr>
          <w:rFonts w:ascii="Times New Roman" w:hAnsi="Times New Roman" w:cs="Times New Roman"/>
        </w:rPr>
        <w:lastRenderedPageBreak/>
        <w:t>The refreezing stage stabilizes new practices and routines. Persistent staffing shortages and leadership turnover suggest that the ICU has not yet reached a stable operational phase. From this perspective, the ICU’s ongoing staffing instability and mentorship gaps suggest that the organization remains in the movement phase of change rather than having achieved a stable refreezing stage.</w:t>
      </w:r>
    </w:p>
    <w:p w14:paraId="66D22DDE" w14:textId="77777777" w:rsidR="00F6536E" w:rsidRPr="003C60E1" w:rsidRDefault="00F6536E" w:rsidP="00F6536E">
      <w:pPr>
        <w:adjustRightInd w:val="0"/>
        <w:snapToGrid w:val="0"/>
        <w:spacing w:line="480" w:lineRule="auto"/>
        <w:rPr>
          <w:rFonts w:ascii="Times New Roman" w:hAnsi="Times New Roman" w:cs="Times New Roman"/>
          <w:b/>
          <w:bCs/>
        </w:rPr>
      </w:pPr>
      <w:r w:rsidRPr="003C60E1">
        <w:rPr>
          <w:rFonts w:ascii="Times New Roman" w:hAnsi="Times New Roman" w:cs="Times New Roman"/>
          <w:b/>
          <w:bCs/>
        </w:rPr>
        <w:t>Kotter’s Change Framework &amp; Design Thinking</w:t>
      </w:r>
    </w:p>
    <w:p w14:paraId="2836832E" w14:textId="4B0D060E" w:rsidR="00F6536E" w:rsidRPr="003C60E1" w:rsidRDefault="00F6536E" w:rsidP="0041588E">
      <w:pPr>
        <w:adjustRightInd w:val="0"/>
        <w:snapToGrid w:val="0"/>
        <w:spacing w:line="480" w:lineRule="auto"/>
        <w:ind w:firstLine="720"/>
        <w:rPr>
          <w:rFonts w:ascii="Times New Roman" w:hAnsi="Times New Roman" w:cs="Times New Roman"/>
        </w:rPr>
      </w:pPr>
      <w:r w:rsidRPr="003C60E1">
        <w:rPr>
          <w:rFonts w:ascii="Times New Roman" w:hAnsi="Times New Roman" w:cs="Times New Roman"/>
        </w:rPr>
        <w:t>Leadership also shapes how organizational changes are experienced on the ground. During large transitions, staff often look to leaders for direction, reassurance, and clarity about expectations. Kotter’s work on change leadership highlights the importance of strong guiding coalitions during these periods. When leadership roles shift frequently, however, maintaining that sense of coordination can become difficult.</w:t>
      </w:r>
    </w:p>
    <w:p w14:paraId="4E5333E8" w14:textId="4DAE1DC7" w:rsidR="00F6536E" w:rsidRPr="003C60E1" w:rsidRDefault="00F6536E" w:rsidP="0041588E">
      <w:pPr>
        <w:adjustRightInd w:val="0"/>
        <w:snapToGrid w:val="0"/>
        <w:spacing w:line="480" w:lineRule="auto"/>
        <w:ind w:firstLine="720"/>
        <w:rPr>
          <w:rFonts w:ascii="Times New Roman" w:hAnsi="Times New Roman" w:cs="Times New Roman"/>
        </w:rPr>
      </w:pPr>
      <w:r w:rsidRPr="003C60E1">
        <w:rPr>
          <w:rFonts w:ascii="Times New Roman" w:hAnsi="Times New Roman" w:cs="Times New Roman"/>
        </w:rPr>
        <w:t>Design thinking approaches emphasize empathy, stakeholder engagement, and iterative learning during change processes (Engmann et al., 2024). Applying this perspective suggests that involving experienced ICU nurses more during planning phases could have improved alignment between infrastructure expansion and workforce capacity. The lack of sustained leadership continuity during the ICU expansion likely weakened the guiding coalition needed to coordinate implementation and support frontline staff during the transition.</w:t>
      </w:r>
    </w:p>
    <w:p w14:paraId="68FB2DF6" w14:textId="77777777" w:rsidR="00F6536E" w:rsidRPr="003C60E1" w:rsidRDefault="00F6536E" w:rsidP="00F6536E">
      <w:pPr>
        <w:adjustRightInd w:val="0"/>
        <w:snapToGrid w:val="0"/>
        <w:spacing w:line="480" w:lineRule="auto"/>
        <w:rPr>
          <w:rFonts w:ascii="Times New Roman" w:hAnsi="Times New Roman" w:cs="Times New Roman"/>
          <w:b/>
          <w:bCs/>
        </w:rPr>
      </w:pPr>
      <w:r w:rsidRPr="003C60E1">
        <w:rPr>
          <w:rFonts w:ascii="Times New Roman" w:hAnsi="Times New Roman" w:cs="Times New Roman"/>
          <w:b/>
          <w:bCs/>
        </w:rPr>
        <w:t>Sensemaking &amp; Change Readiness</w:t>
      </w:r>
    </w:p>
    <w:p w14:paraId="071F18AD" w14:textId="2BB93B34" w:rsidR="00F6536E" w:rsidRPr="003C60E1" w:rsidRDefault="00F6536E" w:rsidP="0041588E">
      <w:pPr>
        <w:adjustRightInd w:val="0"/>
        <w:snapToGrid w:val="0"/>
        <w:spacing w:line="480" w:lineRule="auto"/>
        <w:ind w:firstLine="720"/>
        <w:rPr>
          <w:rFonts w:ascii="Times New Roman" w:hAnsi="Times New Roman" w:cs="Times New Roman"/>
        </w:rPr>
      </w:pPr>
      <w:r w:rsidRPr="003C60E1">
        <w:rPr>
          <w:rFonts w:ascii="Times New Roman" w:hAnsi="Times New Roman" w:cs="Times New Roman"/>
        </w:rPr>
        <w:t xml:space="preserve">Organizational changes are rarely interpreted the same way by everyone involved (Weick et al., 2005). For administrators, expanding ICU capacity may appear to be a logical response to system pressures. Frontline clinicians, however, often experience these changes through their day-to-day workload. Sensemaking theory focuses on how individuals interpret organizational </w:t>
      </w:r>
      <w:r w:rsidRPr="003C60E1">
        <w:rPr>
          <w:rFonts w:ascii="Times New Roman" w:hAnsi="Times New Roman" w:cs="Times New Roman"/>
        </w:rPr>
        <w:lastRenderedPageBreak/>
        <w:t>changes through these everyday experiences and conversations with colleagues (Wasieleski et al., 2024).</w:t>
      </w:r>
    </w:p>
    <w:p w14:paraId="4F026450" w14:textId="184E84FA" w:rsidR="00F6536E" w:rsidRPr="003C60E1" w:rsidRDefault="007A4951" w:rsidP="0041588E">
      <w:pPr>
        <w:adjustRightInd w:val="0"/>
        <w:snapToGrid w:val="0"/>
        <w:spacing w:line="480" w:lineRule="auto"/>
        <w:ind w:firstLine="720"/>
        <w:rPr>
          <w:rFonts w:ascii="Times New Roman" w:hAnsi="Times New Roman" w:cs="Times New Roman"/>
        </w:rPr>
      </w:pPr>
      <w:r>
        <w:rPr>
          <w:rFonts w:ascii="Times New Roman" w:hAnsi="Times New Roman" w:cs="Times New Roman"/>
        </w:rPr>
        <w:t>From</w:t>
      </w:r>
      <w:r w:rsidR="00F6536E" w:rsidRPr="003C60E1">
        <w:rPr>
          <w:rFonts w:ascii="Times New Roman" w:hAnsi="Times New Roman" w:cs="Times New Roman"/>
        </w:rPr>
        <w:t xml:space="preserve"> an administrative perspective, the ICU expansion increased system capacity. However, from frontline clinicians’ perspectives, the same change often felt like additional workload, more teaching duties, and </w:t>
      </w:r>
      <w:r>
        <w:rPr>
          <w:rFonts w:ascii="Times New Roman" w:hAnsi="Times New Roman" w:cs="Times New Roman"/>
        </w:rPr>
        <w:t>greater professional</w:t>
      </w:r>
      <w:r w:rsidR="00F6536E" w:rsidRPr="003C60E1">
        <w:rPr>
          <w:rFonts w:ascii="Times New Roman" w:hAnsi="Times New Roman" w:cs="Times New Roman"/>
        </w:rPr>
        <w:t xml:space="preserve"> accountability.</w:t>
      </w:r>
    </w:p>
    <w:p w14:paraId="29CF2522" w14:textId="7C21008B" w:rsidR="00F6536E" w:rsidRPr="003C60E1" w:rsidRDefault="00F6536E" w:rsidP="0041588E">
      <w:pPr>
        <w:adjustRightInd w:val="0"/>
        <w:snapToGrid w:val="0"/>
        <w:spacing w:line="480" w:lineRule="auto"/>
        <w:ind w:firstLine="720"/>
        <w:rPr>
          <w:rFonts w:ascii="Times New Roman" w:hAnsi="Times New Roman" w:cs="Times New Roman"/>
        </w:rPr>
      </w:pPr>
      <w:r w:rsidRPr="003C60E1">
        <w:rPr>
          <w:rFonts w:ascii="Times New Roman" w:hAnsi="Times New Roman" w:cs="Times New Roman"/>
        </w:rPr>
        <w:t>As a result, different organizational levels interpreted the expansion in various ways, with administrators viewing the increase in beds as a sign of capacity growth. At the same time, frontline nurses mainly experienced the change through a heavier workload and additional mentorship responsibilities.</w:t>
      </w:r>
    </w:p>
    <w:p w14:paraId="0AD05B8D" w14:textId="77777777" w:rsidR="00F6536E" w:rsidRPr="003C60E1" w:rsidRDefault="00F6536E" w:rsidP="00F6536E">
      <w:pPr>
        <w:adjustRightInd w:val="0"/>
        <w:snapToGrid w:val="0"/>
        <w:spacing w:line="480" w:lineRule="auto"/>
        <w:rPr>
          <w:rFonts w:ascii="Times New Roman" w:hAnsi="Times New Roman" w:cs="Times New Roman"/>
          <w:b/>
          <w:bCs/>
        </w:rPr>
      </w:pPr>
      <w:r w:rsidRPr="003C60E1">
        <w:rPr>
          <w:rFonts w:ascii="Times New Roman" w:hAnsi="Times New Roman" w:cs="Times New Roman"/>
          <w:b/>
          <w:bCs/>
        </w:rPr>
        <w:t>Soft Systems Methodology</w:t>
      </w:r>
    </w:p>
    <w:p w14:paraId="7654EDA9" w14:textId="126DD6F7" w:rsidR="00F6536E" w:rsidRPr="003C60E1" w:rsidRDefault="007A4951" w:rsidP="007A4951">
      <w:pPr>
        <w:adjustRightInd w:val="0"/>
        <w:snapToGrid w:val="0"/>
        <w:spacing w:line="480" w:lineRule="auto"/>
        <w:ind w:firstLine="720"/>
        <w:rPr>
          <w:rFonts w:ascii="Times New Roman" w:hAnsi="Times New Roman" w:cs="Times New Roman"/>
        </w:rPr>
      </w:pPr>
      <w:r>
        <w:rPr>
          <w:rFonts w:ascii="Times New Roman" w:hAnsi="Times New Roman" w:cs="Times New Roman"/>
        </w:rPr>
        <w:t>Situations</w:t>
      </w:r>
      <w:r w:rsidR="00F6536E" w:rsidRPr="003C60E1">
        <w:rPr>
          <w:rFonts w:ascii="Times New Roman" w:hAnsi="Times New Roman" w:cs="Times New Roman"/>
        </w:rPr>
        <w:t xml:space="preserve"> like the ICU expansion often involve several groups of people who see the situation differently. Policymakers may focus on increasing system capacity, while hospital administrators concentrate on operational efficiency. At the same time, frontline clinicians are primarily concerned with patient care and workload. Soft Systems Methodology is useful in situations like this because it recognizes that complex problems are shaped by multiple perspectives rather than a single objective viewpoint (Augustsson et al., 2020).</w:t>
      </w:r>
    </w:p>
    <w:p w14:paraId="332E6A80" w14:textId="77777777" w:rsidR="00F6536E" w:rsidRPr="003C60E1" w:rsidRDefault="00F6536E" w:rsidP="00F6536E">
      <w:pPr>
        <w:adjustRightInd w:val="0"/>
        <w:snapToGrid w:val="0"/>
        <w:spacing w:line="480" w:lineRule="auto"/>
        <w:rPr>
          <w:rFonts w:ascii="Times New Roman" w:hAnsi="Times New Roman" w:cs="Times New Roman"/>
          <w:b/>
          <w:bCs/>
        </w:rPr>
      </w:pPr>
      <w:r w:rsidRPr="003C60E1">
        <w:rPr>
          <w:rFonts w:ascii="Times New Roman" w:hAnsi="Times New Roman" w:cs="Times New Roman"/>
          <w:b/>
          <w:bCs/>
        </w:rPr>
        <w:t>Structuration &amp; Organizational Practice</w:t>
      </w:r>
    </w:p>
    <w:p w14:paraId="16B87EF4" w14:textId="1ADC6CF7" w:rsidR="00F6536E" w:rsidRPr="003C60E1" w:rsidRDefault="00F6536E" w:rsidP="007A4951">
      <w:pPr>
        <w:adjustRightInd w:val="0"/>
        <w:snapToGrid w:val="0"/>
        <w:spacing w:line="480" w:lineRule="auto"/>
        <w:ind w:firstLine="720"/>
        <w:rPr>
          <w:rFonts w:ascii="Times New Roman" w:hAnsi="Times New Roman" w:cs="Times New Roman"/>
        </w:rPr>
      </w:pPr>
      <w:r w:rsidRPr="003C60E1">
        <w:rPr>
          <w:rFonts w:ascii="Times New Roman" w:hAnsi="Times New Roman" w:cs="Times New Roman"/>
        </w:rPr>
        <w:t>Structuration theory suggests that organizational structures both influence human actions and are reinforced through everyday practices (Ortmann et al., 2023). In this situation, experienced nurses created new mentorship routines in response to staffing shortages. Over time, these routines may become fundamental parts of the ICU’s operational culture. These adaptive responses demonstrate how frontline practices gradually reshape organizational structures.</w:t>
      </w:r>
    </w:p>
    <w:p w14:paraId="3EEB10EF" w14:textId="77777777" w:rsidR="00F6536E" w:rsidRPr="00F81EFF" w:rsidRDefault="00F6536E" w:rsidP="00F6536E">
      <w:pPr>
        <w:adjustRightInd w:val="0"/>
        <w:snapToGrid w:val="0"/>
        <w:spacing w:line="480" w:lineRule="auto"/>
        <w:rPr>
          <w:rFonts w:ascii="Times New Roman" w:hAnsi="Times New Roman" w:cs="Times New Roman"/>
          <w:b/>
          <w:bCs/>
        </w:rPr>
      </w:pPr>
      <w:r w:rsidRPr="00F81EFF">
        <w:rPr>
          <w:rFonts w:ascii="Times New Roman" w:hAnsi="Times New Roman" w:cs="Times New Roman"/>
          <w:b/>
          <w:bCs/>
        </w:rPr>
        <w:t>Power &amp; Organizational Change</w:t>
      </w:r>
    </w:p>
    <w:p w14:paraId="5AF586CD" w14:textId="5B746260" w:rsidR="00F6536E" w:rsidRPr="003C60E1" w:rsidRDefault="00F6536E" w:rsidP="00F81EFF">
      <w:pPr>
        <w:adjustRightInd w:val="0"/>
        <w:snapToGrid w:val="0"/>
        <w:spacing w:line="480" w:lineRule="auto"/>
        <w:ind w:firstLine="720"/>
        <w:rPr>
          <w:rFonts w:ascii="Times New Roman" w:hAnsi="Times New Roman" w:cs="Times New Roman"/>
        </w:rPr>
      </w:pPr>
      <w:r w:rsidRPr="003C60E1">
        <w:rPr>
          <w:rFonts w:ascii="Times New Roman" w:hAnsi="Times New Roman" w:cs="Times New Roman"/>
        </w:rPr>
        <w:lastRenderedPageBreak/>
        <w:t>Organizational change is also influenced by power dynamics within institutions. Carter et al. (2024) argue that power relations remain central to organizational life even when leadership discourse emphasizes collaboration.</w:t>
      </w:r>
    </w:p>
    <w:p w14:paraId="1841487B" w14:textId="1AEEDC90" w:rsidR="00F6536E" w:rsidRPr="003C60E1" w:rsidRDefault="00F6536E" w:rsidP="00F81EFF">
      <w:pPr>
        <w:adjustRightInd w:val="0"/>
        <w:snapToGrid w:val="0"/>
        <w:spacing w:line="480" w:lineRule="auto"/>
        <w:ind w:firstLine="720"/>
        <w:rPr>
          <w:rFonts w:ascii="Times New Roman" w:hAnsi="Times New Roman" w:cs="Times New Roman"/>
        </w:rPr>
      </w:pPr>
      <w:r w:rsidRPr="003C60E1">
        <w:rPr>
          <w:rFonts w:ascii="Times New Roman" w:hAnsi="Times New Roman" w:cs="Times New Roman"/>
        </w:rPr>
        <w:t>In the ICU expansion case, provincial funding directives mandated the increase in structural capacity, while frontline clinicians were tasked with implementing the change within operational constraints. Understanding these power dynamics helps explain why structural capacity initiatives often shift operational strain rather than eliminate it.</w:t>
      </w:r>
    </w:p>
    <w:p w14:paraId="1B8660A4" w14:textId="77777777" w:rsidR="00F6536E" w:rsidRPr="003C60E1" w:rsidRDefault="00F6536E" w:rsidP="00F6536E">
      <w:pPr>
        <w:adjustRightInd w:val="0"/>
        <w:snapToGrid w:val="0"/>
        <w:spacing w:line="480" w:lineRule="auto"/>
        <w:rPr>
          <w:rFonts w:ascii="Times New Roman" w:hAnsi="Times New Roman" w:cs="Times New Roman"/>
          <w:b/>
          <w:bCs/>
        </w:rPr>
      </w:pPr>
      <w:r w:rsidRPr="003C60E1">
        <w:rPr>
          <w:rFonts w:ascii="Times New Roman" w:hAnsi="Times New Roman" w:cs="Times New Roman"/>
          <w:b/>
          <w:bCs/>
        </w:rPr>
        <w:t>Recommendations</w:t>
      </w:r>
    </w:p>
    <w:p w14:paraId="0D3631C6" w14:textId="2EDD8108" w:rsidR="00F6536E" w:rsidRPr="003C60E1" w:rsidRDefault="00F6536E" w:rsidP="00F6536E">
      <w:pPr>
        <w:adjustRightInd w:val="0"/>
        <w:snapToGrid w:val="0"/>
        <w:spacing w:line="480" w:lineRule="auto"/>
        <w:rPr>
          <w:rFonts w:ascii="Times New Roman" w:hAnsi="Times New Roman" w:cs="Times New Roman"/>
        </w:rPr>
      </w:pPr>
      <w:r w:rsidRPr="003C60E1">
        <w:rPr>
          <w:rFonts w:ascii="Times New Roman" w:hAnsi="Times New Roman" w:cs="Times New Roman"/>
        </w:rPr>
        <w:t>The hospital could strengthen the long-term sustainability of its ICU expansion in a few ways</w:t>
      </w:r>
      <w:r w:rsidR="00F81EFF">
        <w:rPr>
          <w:rFonts w:ascii="Times New Roman" w:hAnsi="Times New Roman" w:cs="Times New Roman"/>
        </w:rPr>
        <w:t>:</w:t>
      </w:r>
    </w:p>
    <w:p w14:paraId="73202343" w14:textId="02ABD4FF" w:rsidR="00F6536E" w:rsidRPr="003C60E1" w:rsidRDefault="00F6536E" w:rsidP="00F81EFF">
      <w:pPr>
        <w:adjustRightInd w:val="0"/>
        <w:snapToGrid w:val="0"/>
        <w:spacing w:line="480" w:lineRule="auto"/>
        <w:ind w:firstLine="720"/>
        <w:rPr>
          <w:rFonts w:ascii="Times New Roman" w:hAnsi="Times New Roman" w:cs="Times New Roman"/>
        </w:rPr>
      </w:pPr>
      <w:r w:rsidRPr="003C60E1">
        <w:rPr>
          <w:rFonts w:ascii="Times New Roman" w:hAnsi="Times New Roman" w:cs="Times New Roman"/>
        </w:rPr>
        <w:t>One practical step would be to examine patient flow more closely across the organization. Understanding how additional ICU beds affect emergency department congestion and inpatient bed availability could help leaders identify where adjustments may be needed.</w:t>
      </w:r>
    </w:p>
    <w:p w14:paraId="32F5B33B" w14:textId="1516D9E3" w:rsidR="00F6536E" w:rsidRPr="003C60E1" w:rsidRDefault="00F6536E" w:rsidP="00F81EFF">
      <w:pPr>
        <w:adjustRightInd w:val="0"/>
        <w:snapToGrid w:val="0"/>
        <w:spacing w:line="480" w:lineRule="auto"/>
        <w:ind w:firstLine="720"/>
        <w:rPr>
          <w:rFonts w:ascii="Times New Roman" w:hAnsi="Times New Roman" w:cs="Times New Roman"/>
        </w:rPr>
      </w:pPr>
      <w:r w:rsidRPr="003C60E1">
        <w:rPr>
          <w:rFonts w:ascii="Times New Roman" w:hAnsi="Times New Roman" w:cs="Times New Roman"/>
        </w:rPr>
        <w:t>Workforce development should align with structural growth. Recruitment efforts need to focus on experienced critical care nurses, while mentorship programs should include protected preceptorship time to support new graduate nurses entering ICU practice.</w:t>
      </w:r>
    </w:p>
    <w:p w14:paraId="16E9BBDF" w14:textId="28B18321" w:rsidR="00F6536E" w:rsidRPr="003C60E1" w:rsidRDefault="00F6536E" w:rsidP="00F81EFF">
      <w:pPr>
        <w:adjustRightInd w:val="0"/>
        <w:snapToGrid w:val="0"/>
        <w:spacing w:line="480" w:lineRule="auto"/>
        <w:ind w:firstLine="720"/>
        <w:rPr>
          <w:rFonts w:ascii="Times New Roman" w:hAnsi="Times New Roman" w:cs="Times New Roman"/>
        </w:rPr>
      </w:pPr>
      <w:r w:rsidRPr="003C60E1">
        <w:rPr>
          <w:rFonts w:ascii="Times New Roman" w:hAnsi="Times New Roman" w:cs="Times New Roman"/>
        </w:rPr>
        <w:t>Leadership continuity should be reinforced through succession planning and leadership development initiatives, which may help to maintain management support during major organizational changes.</w:t>
      </w:r>
    </w:p>
    <w:p w14:paraId="1FD920E5" w14:textId="33EA4600" w:rsidR="00F6536E" w:rsidRPr="003C60E1" w:rsidRDefault="00F6536E" w:rsidP="005924BA">
      <w:pPr>
        <w:adjustRightInd w:val="0"/>
        <w:snapToGrid w:val="0"/>
        <w:spacing w:line="480" w:lineRule="auto"/>
        <w:ind w:firstLine="720"/>
        <w:rPr>
          <w:rFonts w:ascii="Times New Roman" w:hAnsi="Times New Roman" w:cs="Times New Roman"/>
        </w:rPr>
      </w:pPr>
      <w:r w:rsidRPr="003C60E1">
        <w:rPr>
          <w:rFonts w:ascii="Times New Roman" w:hAnsi="Times New Roman" w:cs="Times New Roman"/>
        </w:rPr>
        <w:t>Hospitals should also assess the feasibility of establishing CRRT capability at the Ajax Pickering site to reduce inter-facility transfers and enhance continuity of care.</w:t>
      </w:r>
    </w:p>
    <w:p w14:paraId="67CFC496" w14:textId="3D8C3050" w:rsidR="00F6536E" w:rsidRPr="003C60E1" w:rsidRDefault="00F6536E" w:rsidP="005924BA">
      <w:pPr>
        <w:adjustRightInd w:val="0"/>
        <w:snapToGrid w:val="0"/>
        <w:spacing w:line="480" w:lineRule="auto"/>
        <w:ind w:firstLine="720"/>
        <w:rPr>
          <w:rFonts w:ascii="Times New Roman" w:hAnsi="Times New Roman" w:cs="Times New Roman"/>
        </w:rPr>
      </w:pPr>
      <w:r w:rsidRPr="003C60E1">
        <w:rPr>
          <w:rFonts w:ascii="Times New Roman" w:hAnsi="Times New Roman" w:cs="Times New Roman"/>
        </w:rPr>
        <w:t>Finally, future change initiatives should include structured consultation with frontline clinicians to enhance engagement, strengthen sensemaking, and promote sustainable implementation.</w:t>
      </w:r>
    </w:p>
    <w:p w14:paraId="28B58EB4" w14:textId="77777777" w:rsidR="00F6536E" w:rsidRPr="003C60E1" w:rsidRDefault="00F6536E" w:rsidP="00047174">
      <w:pPr>
        <w:adjustRightInd w:val="0"/>
        <w:snapToGrid w:val="0"/>
        <w:spacing w:line="480" w:lineRule="auto"/>
        <w:jc w:val="center"/>
        <w:rPr>
          <w:rFonts w:ascii="Times New Roman" w:hAnsi="Times New Roman" w:cs="Times New Roman"/>
          <w:b/>
          <w:bCs/>
        </w:rPr>
      </w:pPr>
      <w:r w:rsidRPr="003C60E1">
        <w:rPr>
          <w:rFonts w:ascii="Times New Roman" w:hAnsi="Times New Roman" w:cs="Times New Roman"/>
          <w:b/>
          <w:bCs/>
        </w:rPr>
        <w:lastRenderedPageBreak/>
        <w:t>Conclusion</w:t>
      </w:r>
    </w:p>
    <w:p w14:paraId="58304B8F" w14:textId="46263D63" w:rsidR="00F6536E" w:rsidRPr="003C60E1" w:rsidRDefault="00F6536E" w:rsidP="005924BA">
      <w:pPr>
        <w:adjustRightInd w:val="0"/>
        <w:snapToGrid w:val="0"/>
        <w:spacing w:line="480" w:lineRule="auto"/>
        <w:ind w:firstLine="720"/>
        <w:rPr>
          <w:rFonts w:ascii="Times New Roman" w:hAnsi="Times New Roman" w:cs="Times New Roman"/>
        </w:rPr>
      </w:pPr>
      <w:r w:rsidRPr="003C60E1">
        <w:rPr>
          <w:rFonts w:ascii="Times New Roman" w:hAnsi="Times New Roman" w:cs="Times New Roman"/>
        </w:rPr>
        <w:t xml:space="preserve">The ICU expansion at Ajax Pickering highlights how complicated structural change can be in publicly funded healthcare systems. On paper, adding ICU beds seems simple, </w:t>
      </w:r>
      <w:proofErr w:type="gramStart"/>
      <w:r w:rsidRPr="003C60E1">
        <w:rPr>
          <w:rFonts w:ascii="Times New Roman" w:hAnsi="Times New Roman" w:cs="Times New Roman"/>
        </w:rPr>
        <w:t>but in reality,</w:t>
      </w:r>
      <w:proofErr w:type="gramEnd"/>
      <w:r w:rsidRPr="003C60E1">
        <w:rPr>
          <w:rFonts w:ascii="Times New Roman" w:hAnsi="Times New Roman" w:cs="Times New Roman"/>
        </w:rPr>
        <w:t xml:space="preserve"> it rarely is. Although the project did increase the physical ICU capacity, multiple operational challenges arose, including staffing shortages, difficulties in recruiting new graduate nurses, limited mentorship from senior nurses, and leadership turnover.</w:t>
      </w:r>
    </w:p>
    <w:p w14:paraId="4FCF8151" w14:textId="440DCE04" w:rsidR="00F6536E" w:rsidRPr="003C60E1" w:rsidRDefault="00F6536E" w:rsidP="005924BA">
      <w:pPr>
        <w:adjustRightInd w:val="0"/>
        <w:snapToGrid w:val="0"/>
        <w:spacing w:line="480" w:lineRule="auto"/>
        <w:ind w:firstLine="720"/>
        <w:rPr>
          <w:rFonts w:ascii="Times New Roman" w:hAnsi="Times New Roman" w:cs="Times New Roman"/>
        </w:rPr>
      </w:pPr>
      <w:r w:rsidRPr="003C60E1">
        <w:rPr>
          <w:rFonts w:ascii="Times New Roman" w:hAnsi="Times New Roman" w:cs="Times New Roman"/>
        </w:rPr>
        <w:t>Looking across these different perspectives, from Lewin’s change model to sensemaking theory, we see a similar pattern. Structural solutions alone rarely resolve the deeper pressures that lie within healthcare systems. For sustainable change to take place, there needs to be an alignment among infrastructure development, workforce skills, leadership stability, and system coordination.</w:t>
      </w:r>
    </w:p>
    <w:p w14:paraId="66A0EE7E" w14:textId="60A53B21" w:rsidR="00F6536E" w:rsidRPr="003C60E1" w:rsidRDefault="00F6536E" w:rsidP="00F76F50">
      <w:pPr>
        <w:adjustRightInd w:val="0"/>
        <w:snapToGrid w:val="0"/>
        <w:spacing w:line="480" w:lineRule="auto"/>
        <w:ind w:firstLine="720"/>
        <w:rPr>
          <w:rFonts w:ascii="Times New Roman" w:hAnsi="Times New Roman" w:cs="Times New Roman"/>
        </w:rPr>
      </w:pPr>
      <w:r w:rsidRPr="003C60E1">
        <w:rPr>
          <w:rFonts w:ascii="Times New Roman" w:hAnsi="Times New Roman" w:cs="Times New Roman"/>
        </w:rPr>
        <w:t>From a frontline clinical perspective, the lessons in this case go beyond structural planning, underscoring the importance of aligning workforce readiness with infrastructure development. It is true that in intensive care units, patient safety depends on bed availability. However, it is also true that patient safety depends on skilled clinicians who can recognize subtle signs of deterioration and support less experienced staff. When senior nurses are tasked with managing critically ill patients while also monitoring novice clinicians, the ICU’s operational capacity risks a decline. Even if there has been an increase in the number of physical beds, this case emphasizes for healthcare leaders that, to achieve sustainable system capacity, a hospital’s focus should be on integrating infrastructure, clinical expertise, and supportive leadership, rather than relying solely on structural expansion.</w:t>
      </w:r>
    </w:p>
    <w:p w14:paraId="46EA5175" w14:textId="77777777" w:rsidR="00F6536E" w:rsidRPr="003C60E1" w:rsidRDefault="00F6536E" w:rsidP="00F6536E">
      <w:pPr>
        <w:adjustRightInd w:val="0"/>
        <w:snapToGrid w:val="0"/>
        <w:spacing w:line="480" w:lineRule="auto"/>
        <w:rPr>
          <w:rFonts w:ascii="Times New Roman" w:hAnsi="Times New Roman" w:cs="Times New Roman"/>
        </w:rPr>
      </w:pPr>
    </w:p>
    <w:p w14:paraId="2643CEBF" w14:textId="77777777" w:rsidR="00F6536E" w:rsidRPr="003C60E1" w:rsidRDefault="00F6536E" w:rsidP="00F6536E">
      <w:pPr>
        <w:adjustRightInd w:val="0"/>
        <w:snapToGrid w:val="0"/>
        <w:spacing w:line="480" w:lineRule="auto"/>
        <w:rPr>
          <w:rFonts w:ascii="Times New Roman" w:hAnsi="Times New Roman" w:cs="Times New Roman"/>
        </w:rPr>
      </w:pPr>
    </w:p>
    <w:p w14:paraId="125F35AE" w14:textId="77777777" w:rsidR="00F6536E" w:rsidRPr="0087492D" w:rsidRDefault="00F6536E" w:rsidP="00047174">
      <w:pPr>
        <w:adjustRightInd w:val="0"/>
        <w:snapToGrid w:val="0"/>
        <w:spacing w:line="480" w:lineRule="auto"/>
        <w:jc w:val="center"/>
        <w:rPr>
          <w:rFonts w:ascii="Times New Roman" w:hAnsi="Times New Roman" w:cs="Times New Roman"/>
          <w:b/>
          <w:bCs/>
        </w:rPr>
      </w:pPr>
      <w:r w:rsidRPr="0087492D">
        <w:rPr>
          <w:rFonts w:ascii="Times New Roman" w:hAnsi="Times New Roman" w:cs="Times New Roman"/>
          <w:b/>
          <w:bCs/>
        </w:rPr>
        <w:lastRenderedPageBreak/>
        <w:t>References</w:t>
      </w:r>
    </w:p>
    <w:p w14:paraId="65072FA1" w14:textId="375DFA55" w:rsidR="001C09ED" w:rsidRPr="003C60E1" w:rsidRDefault="001C09ED" w:rsidP="001C09ED">
      <w:pPr>
        <w:adjustRightInd w:val="0"/>
        <w:snapToGrid w:val="0"/>
        <w:spacing w:line="480" w:lineRule="auto"/>
        <w:ind w:left="720" w:hanging="720"/>
        <w:rPr>
          <w:rFonts w:ascii="Times New Roman" w:hAnsi="Times New Roman" w:cs="Times New Roman"/>
        </w:rPr>
      </w:pPr>
      <w:r w:rsidRPr="001C09ED">
        <w:rPr>
          <w:rFonts w:ascii="Times New Roman" w:hAnsi="Times New Roman" w:cs="Times New Roman"/>
        </w:rPr>
        <w:t xml:space="preserve">Augustsson, H., </w:t>
      </w:r>
      <w:proofErr w:type="spellStart"/>
      <w:r w:rsidRPr="001C09ED">
        <w:rPr>
          <w:rFonts w:ascii="Times New Roman" w:hAnsi="Times New Roman" w:cs="Times New Roman"/>
        </w:rPr>
        <w:t>Churruca</w:t>
      </w:r>
      <w:proofErr w:type="spellEnd"/>
      <w:r w:rsidRPr="001C09ED">
        <w:rPr>
          <w:rFonts w:ascii="Times New Roman" w:hAnsi="Times New Roman" w:cs="Times New Roman"/>
        </w:rPr>
        <w:t>, K., &amp; Braithwaite, J. (2020). Change and improvement 50 years in the making: a scoping review of the use of soft systems methodology in healthcare. </w:t>
      </w:r>
      <w:r w:rsidRPr="001C09ED">
        <w:rPr>
          <w:rFonts w:ascii="Times New Roman" w:hAnsi="Times New Roman" w:cs="Times New Roman"/>
          <w:i/>
          <w:iCs/>
        </w:rPr>
        <w:t>BMC Health Services Research</w:t>
      </w:r>
      <w:r w:rsidRPr="001C09ED">
        <w:rPr>
          <w:rFonts w:ascii="Times New Roman" w:hAnsi="Times New Roman" w:cs="Times New Roman"/>
        </w:rPr>
        <w:t>, </w:t>
      </w:r>
      <w:r w:rsidRPr="001C09ED">
        <w:rPr>
          <w:rFonts w:ascii="Times New Roman" w:hAnsi="Times New Roman" w:cs="Times New Roman"/>
          <w:i/>
          <w:iCs/>
        </w:rPr>
        <w:t>20</w:t>
      </w:r>
      <w:r w:rsidRPr="001C09ED">
        <w:rPr>
          <w:rFonts w:ascii="Times New Roman" w:hAnsi="Times New Roman" w:cs="Times New Roman"/>
        </w:rPr>
        <w:t>(1). https://0-doi-org.aupac.lib.athabascau.ca/10.1186/s12913-020-05929-5</w:t>
      </w:r>
    </w:p>
    <w:p w14:paraId="7AA286B2" w14:textId="37A8E287" w:rsidR="00F6536E" w:rsidRPr="003C60E1" w:rsidRDefault="00F6536E" w:rsidP="00047174">
      <w:pPr>
        <w:adjustRightInd w:val="0"/>
        <w:snapToGrid w:val="0"/>
        <w:spacing w:line="480" w:lineRule="auto"/>
        <w:ind w:left="720" w:hanging="720"/>
        <w:rPr>
          <w:rFonts w:ascii="Times New Roman" w:hAnsi="Times New Roman" w:cs="Times New Roman"/>
        </w:rPr>
      </w:pPr>
      <w:r w:rsidRPr="003C60E1">
        <w:rPr>
          <w:rFonts w:ascii="Times New Roman" w:hAnsi="Times New Roman" w:cs="Times New Roman"/>
        </w:rPr>
        <w:t>Canadian Institute for Health Information. (2024). Critical care services in Canada: Annual report 2023. CIHI. https://www.cihi.ca</w:t>
      </w:r>
    </w:p>
    <w:p w14:paraId="48164297" w14:textId="77777777" w:rsidR="00F6536E" w:rsidRPr="003C60E1" w:rsidRDefault="00F6536E" w:rsidP="00047174">
      <w:pPr>
        <w:adjustRightInd w:val="0"/>
        <w:snapToGrid w:val="0"/>
        <w:spacing w:line="480" w:lineRule="auto"/>
        <w:ind w:left="720" w:hanging="720"/>
        <w:rPr>
          <w:rFonts w:ascii="Times New Roman" w:hAnsi="Times New Roman" w:cs="Times New Roman"/>
        </w:rPr>
      </w:pPr>
      <w:r w:rsidRPr="003C60E1">
        <w:rPr>
          <w:rFonts w:ascii="Times New Roman" w:hAnsi="Times New Roman" w:cs="Times New Roman"/>
        </w:rPr>
        <w:t>Carter, C., Badham, R., Whittle, A., &amp; Clegg, S. (2024). Reconstituting the centrality of power in management and organization studies. European Management Review, 21(2), 263–276. https://doi.org/10.1111/emre.12663</w:t>
      </w:r>
    </w:p>
    <w:p w14:paraId="1F67332E" w14:textId="6BC7382D" w:rsidR="00F24B19" w:rsidRPr="003C60E1" w:rsidRDefault="00F24B19" w:rsidP="00F24B19">
      <w:pPr>
        <w:adjustRightInd w:val="0"/>
        <w:snapToGrid w:val="0"/>
        <w:spacing w:line="480" w:lineRule="auto"/>
        <w:ind w:left="720" w:hanging="720"/>
        <w:rPr>
          <w:rFonts w:ascii="Times New Roman" w:hAnsi="Times New Roman" w:cs="Times New Roman"/>
        </w:rPr>
      </w:pPr>
      <w:r w:rsidRPr="00F24B19">
        <w:rPr>
          <w:rFonts w:ascii="Times New Roman" w:hAnsi="Times New Roman" w:cs="Times New Roman"/>
        </w:rPr>
        <w:t xml:space="preserve">Engmann, A., </w:t>
      </w:r>
      <w:proofErr w:type="spellStart"/>
      <w:r w:rsidRPr="00F24B19">
        <w:rPr>
          <w:rFonts w:ascii="Times New Roman" w:hAnsi="Times New Roman" w:cs="Times New Roman"/>
        </w:rPr>
        <w:t>Eluerkeh</w:t>
      </w:r>
      <w:proofErr w:type="spellEnd"/>
      <w:r w:rsidRPr="00F24B19">
        <w:rPr>
          <w:rFonts w:ascii="Times New Roman" w:hAnsi="Times New Roman" w:cs="Times New Roman"/>
        </w:rPr>
        <w:t xml:space="preserve">, E., &amp; </w:t>
      </w:r>
      <w:proofErr w:type="spellStart"/>
      <w:r w:rsidRPr="00F24B19">
        <w:rPr>
          <w:rFonts w:ascii="Times New Roman" w:hAnsi="Times New Roman" w:cs="Times New Roman"/>
        </w:rPr>
        <w:t>Ngwakwe</w:t>
      </w:r>
      <w:proofErr w:type="spellEnd"/>
      <w:r w:rsidRPr="00F24B19">
        <w:rPr>
          <w:rFonts w:ascii="Times New Roman" w:hAnsi="Times New Roman" w:cs="Times New Roman"/>
        </w:rPr>
        <w:t>, C. (2024). Leading Change by Design - Integrating Design thinking with Kotter’s 8 Step Process. </w:t>
      </w:r>
      <w:r w:rsidRPr="00F24B19">
        <w:rPr>
          <w:rFonts w:ascii="Times New Roman" w:hAnsi="Times New Roman" w:cs="Times New Roman"/>
          <w:i/>
          <w:iCs/>
        </w:rPr>
        <w:t>HOLISTICA: Journal of Business &amp; Public Administration</w:t>
      </w:r>
      <w:r w:rsidRPr="00F24B19">
        <w:rPr>
          <w:rFonts w:ascii="Times New Roman" w:hAnsi="Times New Roman" w:cs="Times New Roman"/>
        </w:rPr>
        <w:t>, </w:t>
      </w:r>
      <w:r w:rsidRPr="00F24B19">
        <w:rPr>
          <w:rFonts w:ascii="Times New Roman" w:hAnsi="Times New Roman" w:cs="Times New Roman"/>
          <w:i/>
          <w:iCs/>
        </w:rPr>
        <w:t>15</w:t>
      </w:r>
      <w:r w:rsidRPr="00F24B19">
        <w:rPr>
          <w:rFonts w:ascii="Times New Roman" w:hAnsi="Times New Roman" w:cs="Times New Roman"/>
        </w:rPr>
        <w:t>(2), 127–141. https://0-doi-org.aupac.lib.athabascau.ca/10.2478/hjbpa-2024-0018</w:t>
      </w:r>
    </w:p>
    <w:p w14:paraId="00FEA67A" w14:textId="7113CB32" w:rsidR="00F6536E" w:rsidRPr="003C60E1" w:rsidRDefault="00F6536E" w:rsidP="00047174">
      <w:pPr>
        <w:adjustRightInd w:val="0"/>
        <w:snapToGrid w:val="0"/>
        <w:spacing w:line="480" w:lineRule="auto"/>
        <w:ind w:left="720" w:hanging="720"/>
        <w:rPr>
          <w:rFonts w:ascii="Times New Roman" w:hAnsi="Times New Roman" w:cs="Times New Roman"/>
        </w:rPr>
      </w:pPr>
      <w:r w:rsidRPr="003C60E1">
        <w:rPr>
          <w:rFonts w:ascii="Times New Roman" w:hAnsi="Times New Roman" w:cs="Times New Roman"/>
        </w:rPr>
        <w:t>Hussain, S. T., Lei, S., Akram, T., Haider, M. J., Hussain, S. H., &amp; Ali, M. (2018). Kurt Lewin’s change model: A critical review of the role of leadership and employee involvement in organizational change. Journal of Innovation &amp; Knowledge, 3(3), 123–127. https://doi.org/10.1016/j.jik.2016.07.002</w:t>
      </w:r>
    </w:p>
    <w:p w14:paraId="44455A21" w14:textId="77777777" w:rsidR="00F6536E" w:rsidRPr="003C60E1" w:rsidRDefault="00F6536E" w:rsidP="00047174">
      <w:pPr>
        <w:adjustRightInd w:val="0"/>
        <w:snapToGrid w:val="0"/>
        <w:spacing w:line="480" w:lineRule="auto"/>
        <w:ind w:left="720" w:hanging="720"/>
        <w:rPr>
          <w:rFonts w:ascii="Times New Roman" w:hAnsi="Times New Roman" w:cs="Times New Roman"/>
        </w:rPr>
      </w:pPr>
      <w:r w:rsidRPr="003C60E1">
        <w:rPr>
          <w:rFonts w:ascii="Times New Roman" w:hAnsi="Times New Roman" w:cs="Times New Roman"/>
        </w:rPr>
        <w:t>Lakeridge Health. (2023). Annual report 2022–2023. Lakeridge Health.</w:t>
      </w:r>
    </w:p>
    <w:p w14:paraId="1FB6113F" w14:textId="77777777" w:rsidR="00591FE3" w:rsidRPr="00591FE3" w:rsidRDefault="00591FE3" w:rsidP="00591FE3">
      <w:pPr>
        <w:adjustRightInd w:val="0"/>
        <w:snapToGrid w:val="0"/>
        <w:spacing w:line="480" w:lineRule="auto"/>
        <w:ind w:left="720" w:hanging="720"/>
        <w:rPr>
          <w:rFonts w:ascii="Times New Roman" w:hAnsi="Times New Roman" w:cs="Times New Roman"/>
        </w:rPr>
      </w:pPr>
      <w:r w:rsidRPr="00591FE3">
        <w:rPr>
          <w:rFonts w:ascii="Times New Roman" w:hAnsi="Times New Roman" w:cs="Times New Roman"/>
        </w:rPr>
        <w:t xml:space="preserve">Notarnicola, I., Duka, B., </w:t>
      </w:r>
      <w:proofErr w:type="spellStart"/>
      <w:r w:rsidRPr="00591FE3">
        <w:rPr>
          <w:rFonts w:ascii="Times New Roman" w:hAnsi="Times New Roman" w:cs="Times New Roman"/>
        </w:rPr>
        <w:t>Grosha</w:t>
      </w:r>
      <w:proofErr w:type="spellEnd"/>
      <w:r w:rsidRPr="00591FE3">
        <w:rPr>
          <w:rFonts w:ascii="Times New Roman" w:hAnsi="Times New Roman" w:cs="Times New Roman"/>
        </w:rPr>
        <w:t xml:space="preserve">, E., Gioiello, G., Rocco, G., &amp; </w:t>
      </w:r>
      <w:proofErr w:type="spellStart"/>
      <w:r w:rsidRPr="00591FE3">
        <w:rPr>
          <w:rFonts w:ascii="Times New Roman" w:hAnsi="Times New Roman" w:cs="Times New Roman"/>
        </w:rPr>
        <w:t>Stievano</w:t>
      </w:r>
      <w:proofErr w:type="spellEnd"/>
      <w:r w:rsidRPr="00591FE3">
        <w:rPr>
          <w:rFonts w:ascii="Times New Roman" w:hAnsi="Times New Roman" w:cs="Times New Roman"/>
        </w:rPr>
        <w:t>, A. (2026). Exploring the Role of Nurse Leadership Through a Systems Thinking Lens: A Systematic Review of Conceptual and Empirical Evidence. </w:t>
      </w:r>
      <w:r w:rsidRPr="00591FE3">
        <w:rPr>
          <w:rFonts w:ascii="Times New Roman" w:hAnsi="Times New Roman" w:cs="Times New Roman"/>
          <w:i/>
          <w:iCs/>
        </w:rPr>
        <w:t>Journal of Advanced Nursing</w:t>
      </w:r>
      <w:r w:rsidRPr="00591FE3">
        <w:rPr>
          <w:rFonts w:ascii="Times New Roman" w:hAnsi="Times New Roman" w:cs="Times New Roman"/>
        </w:rPr>
        <w:t>, </w:t>
      </w:r>
      <w:r w:rsidRPr="00591FE3">
        <w:rPr>
          <w:rFonts w:ascii="Times New Roman" w:hAnsi="Times New Roman" w:cs="Times New Roman"/>
          <w:i/>
          <w:iCs/>
        </w:rPr>
        <w:t>82</w:t>
      </w:r>
      <w:r w:rsidRPr="00591FE3">
        <w:rPr>
          <w:rFonts w:ascii="Times New Roman" w:hAnsi="Times New Roman" w:cs="Times New Roman"/>
        </w:rPr>
        <w:t>(3), 2036–2047. https://0-doi-org.aupac.lib.athabascau.ca/10.1111/jan.70047</w:t>
      </w:r>
    </w:p>
    <w:p w14:paraId="0EDA19AC" w14:textId="77777777" w:rsidR="00591FE3" w:rsidRPr="003C60E1" w:rsidRDefault="00591FE3" w:rsidP="00047174">
      <w:pPr>
        <w:adjustRightInd w:val="0"/>
        <w:snapToGrid w:val="0"/>
        <w:spacing w:line="480" w:lineRule="auto"/>
        <w:ind w:left="720" w:hanging="720"/>
        <w:rPr>
          <w:rFonts w:ascii="Times New Roman" w:hAnsi="Times New Roman" w:cs="Times New Roman"/>
        </w:rPr>
      </w:pPr>
    </w:p>
    <w:p w14:paraId="0AE151AE" w14:textId="5FA317EF" w:rsidR="00F6536E" w:rsidRPr="003C60E1" w:rsidRDefault="00F6536E" w:rsidP="00047174">
      <w:pPr>
        <w:adjustRightInd w:val="0"/>
        <w:snapToGrid w:val="0"/>
        <w:spacing w:line="480" w:lineRule="auto"/>
        <w:ind w:left="720" w:hanging="720"/>
        <w:rPr>
          <w:rFonts w:ascii="Times New Roman" w:hAnsi="Times New Roman" w:cs="Times New Roman"/>
        </w:rPr>
      </w:pPr>
      <w:r w:rsidRPr="003C60E1">
        <w:rPr>
          <w:rFonts w:ascii="Times New Roman" w:hAnsi="Times New Roman" w:cs="Times New Roman"/>
        </w:rPr>
        <w:t>Ontario Health. (2023). Health system capacity and post-pandemic recovery planning report. Ontario Health.</w:t>
      </w:r>
    </w:p>
    <w:p w14:paraId="716EFCCF" w14:textId="212B73CE" w:rsidR="00591FE3" w:rsidRPr="003C60E1" w:rsidRDefault="00591FE3" w:rsidP="00151FA4">
      <w:pPr>
        <w:adjustRightInd w:val="0"/>
        <w:snapToGrid w:val="0"/>
        <w:spacing w:line="480" w:lineRule="auto"/>
        <w:ind w:left="720" w:hanging="720"/>
        <w:rPr>
          <w:rFonts w:ascii="Times New Roman" w:hAnsi="Times New Roman" w:cs="Times New Roman"/>
        </w:rPr>
      </w:pPr>
      <w:r w:rsidRPr="00591FE3">
        <w:rPr>
          <w:rFonts w:ascii="Times New Roman" w:hAnsi="Times New Roman" w:cs="Times New Roman"/>
        </w:rPr>
        <w:t>Ortmann Günther, Sydow Jörg, &amp; Windeler Arnold. (2023). Organisation as Reflexive Structuration. </w:t>
      </w:r>
      <w:r w:rsidRPr="00591FE3">
        <w:rPr>
          <w:rFonts w:ascii="Times New Roman" w:hAnsi="Times New Roman" w:cs="Times New Roman"/>
          <w:i/>
          <w:iCs/>
        </w:rPr>
        <w:t>Journal of Organizational Sociology</w:t>
      </w:r>
      <w:r w:rsidRPr="00591FE3">
        <w:rPr>
          <w:rFonts w:ascii="Times New Roman" w:hAnsi="Times New Roman" w:cs="Times New Roman"/>
        </w:rPr>
        <w:t>, </w:t>
      </w:r>
      <w:r w:rsidRPr="00591FE3">
        <w:rPr>
          <w:rFonts w:ascii="Times New Roman" w:hAnsi="Times New Roman" w:cs="Times New Roman"/>
          <w:i/>
          <w:iCs/>
        </w:rPr>
        <w:t>1</w:t>
      </w:r>
      <w:r w:rsidRPr="00591FE3">
        <w:rPr>
          <w:rFonts w:ascii="Times New Roman" w:hAnsi="Times New Roman" w:cs="Times New Roman"/>
        </w:rPr>
        <w:t>(1), 109–140. https://0-doi-org.aupac.lib.athabascau.ca/10.1515/joso-2023-0017</w:t>
      </w:r>
    </w:p>
    <w:p w14:paraId="0A2351F6" w14:textId="1B24E4EC" w:rsidR="00F6536E" w:rsidRPr="003C60E1" w:rsidRDefault="00F6536E" w:rsidP="00047174">
      <w:pPr>
        <w:adjustRightInd w:val="0"/>
        <w:snapToGrid w:val="0"/>
        <w:spacing w:line="480" w:lineRule="auto"/>
        <w:ind w:left="720" w:hanging="720"/>
        <w:rPr>
          <w:rFonts w:ascii="Times New Roman" w:hAnsi="Times New Roman" w:cs="Times New Roman"/>
        </w:rPr>
      </w:pPr>
      <w:r w:rsidRPr="003C60E1">
        <w:rPr>
          <w:rFonts w:ascii="Times New Roman" w:hAnsi="Times New Roman" w:cs="Times New Roman"/>
        </w:rPr>
        <w:t>Statistics Canada. (2022). Census profile, 2021 census of population: Durham Region, Ontario. Government of Canada.</w:t>
      </w:r>
    </w:p>
    <w:p w14:paraId="0967A5A3" w14:textId="77777777" w:rsidR="005F5DD8" w:rsidRPr="005F5DD8" w:rsidRDefault="005F5DD8" w:rsidP="005F5DD8">
      <w:pPr>
        <w:adjustRightInd w:val="0"/>
        <w:snapToGrid w:val="0"/>
        <w:spacing w:line="480" w:lineRule="auto"/>
        <w:ind w:left="720" w:hanging="720"/>
        <w:rPr>
          <w:rFonts w:ascii="Times New Roman" w:hAnsi="Times New Roman" w:cs="Times New Roman"/>
        </w:rPr>
      </w:pPr>
      <w:r w:rsidRPr="005F5DD8">
        <w:rPr>
          <w:rFonts w:ascii="Times New Roman" w:hAnsi="Times New Roman" w:cs="Times New Roman"/>
        </w:rPr>
        <w:t>Wasieleski, D., Guimarães da Costa, N., &amp; Ivanova Ruffo, O. (2024). Change readiness in organizations: an affective cognitive process for convergent sensemaking. </w:t>
      </w:r>
      <w:r w:rsidRPr="005F5DD8">
        <w:rPr>
          <w:rFonts w:ascii="Times New Roman" w:hAnsi="Times New Roman" w:cs="Times New Roman"/>
          <w:i/>
          <w:iCs/>
        </w:rPr>
        <w:t>International Journal of Organization Theory &amp; Behavior</w:t>
      </w:r>
      <w:r w:rsidRPr="005F5DD8">
        <w:rPr>
          <w:rFonts w:ascii="Times New Roman" w:hAnsi="Times New Roman" w:cs="Times New Roman"/>
        </w:rPr>
        <w:t>, </w:t>
      </w:r>
      <w:r w:rsidRPr="005F5DD8">
        <w:rPr>
          <w:rFonts w:ascii="Times New Roman" w:hAnsi="Times New Roman" w:cs="Times New Roman"/>
          <w:i/>
          <w:iCs/>
        </w:rPr>
        <w:t>27</w:t>
      </w:r>
      <w:r w:rsidRPr="005F5DD8">
        <w:rPr>
          <w:rFonts w:ascii="Times New Roman" w:hAnsi="Times New Roman" w:cs="Times New Roman"/>
        </w:rPr>
        <w:t>(4), 321–339. https://0-doi-org.aupac.lib.athabascau.ca/10.1108/IJOTB-02-2023-0047</w:t>
      </w:r>
    </w:p>
    <w:p w14:paraId="3A40F907" w14:textId="77777777" w:rsidR="00F315F9" w:rsidRPr="00F315F9" w:rsidRDefault="00F315F9" w:rsidP="00F315F9">
      <w:pPr>
        <w:adjustRightInd w:val="0"/>
        <w:snapToGrid w:val="0"/>
        <w:spacing w:line="480" w:lineRule="auto"/>
        <w:ind w:left="720" w:hanging="720"/>
        <w:rPr>
          <w:rFonts w:ascii="Times New Roman" w:hAnsi="Times New Roman" w:cs="Times New Roman"/>
        </w:rPr>
      </w:pPr>
      <w:r w:rsidRPr="00F315F9">
        <w:rPr>
          <w:rFonts w:ascii="Times New Roman" w:hAnsi="Times New Roman" w:cs="Times New Roman"/>
        </w:rPr>
        <w:t>Weick, K. E., Sutcliffe, K. M., &amp; Obstfeld, D. (2005). Organizing and the Process of Sensemaking. </w:t>
      </w:r>
      <w:r w:rsidRPr="00F315F9">
        <w:rPr>
          <w:rFonts w:ascii="Times New Roman" w:hAnsi="Times New Roman" w:cs="Times New Roman"/>
          <w:i/>
          <w:iCs/>
        </w:rPr>
        <w:t>Organization Science (INFORMS)</w:t>
      </w:r>
      <w:r w:rsidRPr="00F315F9">
        <w:rPr>
          <w:rFonts w:ascii="Times New Roman" w:hAnsi="Times New Roman" w:cs="Times New Roman"/>
        </w:rPr>
        <w:t>, </w:t>
      </w:r>
      <w:r w:rsidRPr="00F315F9">
        <w:rPr>
          <w:rFonts w:ascii="Times New Roman" w:hAnsi="Times New Roman" w:cs="Times New Roman"/>
          <w:i/>
          <w:iCs/>
        </w:rPr>
        <w:t>16</w:t>
      </w:r>
      <w:r w:rsidRPr="00F315F9">
        <w:rPr>
          <w:rFonts w:ascii="Times New Roman" w:hAnsi="Times New Roman" w:cs="Times New Roman"/>
        </w:rPr>
        <w:t>(4), 409–421. https://0-doi-org.aupac.lib.athabascau.ca/10.1287/orsc.1050.0133</w:t>
      </w:r>
    </w:p>
    <w:p w14:paraId="37C2AD6C" w14:textId="14F13DBE" w:rsidR="00C67050" w:rsidRPr="003C60E1" w:rsidRDefault="00C67050" w:rsidP="00F315F9">
      <w:pPr>
        <w:adjustRightInd w:val="0"/>
        <w:snapToGrid w:val="0"/>
        <w:spacing w:line="480" w:lineRule="auto"/>
        <w:rPr>
          <w:rFonts w:ascii="Times New Roman" w:hAnsi="Times New Roman" w:cs="Times New Roman"/>
        </w:rPr>
      </w:pPr>
    </w:p>
    <w:sectPr w:rsidR="00C67050" w:rsidRPr="003C60E1" w:rsidSect="00F6536E">
      <w:headerReference w:type="even" r:id="rId6"/>
      <w:headerReference w:type="default" r:id="rId7"/>
      <w:pgSz w:w="12240" w:h="15840"/>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02187F" w14:textId="77777777" w:rsidR="008F0F0D" w:rsidRDefault="008F0F0D" w:rsidP="00F6536E">
      <w:pPr>
        <w:spacing w:line="240" w:lineRule="auto"/>
      </w:pPr>
      <w:r>
        <w:separator/>
      </w:r>
    </w:p>
  </w:endnote>
  <w:endnote w:type="continuationSeparator" w:id="0">
    <w:p w14:paraId="41C63AC7" w14:textId="77777777" w:rsidR="008F0F0D" w:rsidRDefault="008F0F0D" w:rsidP="00F6536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E981B7" w14:textId="77777777" w:rsidR="008F0F0D" w:rsidRDefault="008F0F0D" w:rsidP="00F6536E">
      <w:pPr>
        <w:spacing w:line="240" w:lineRule="auto"/>
      </w:pPr>
      <w:r>
        <w:separator/>
      </w:r>
    </w:p>
  </w:footnote>
  <w:footnote w:type="continuationSeparator" w:id="0">
    <w:p w14:paraId="22D4D371" w14:textId="77777777" w:rsidR="008F0F0D" w:rsidRDefault="008F0F0D" w:rsidP="00F6536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838341988"/>
      <w:docPartObj>
        <w:docPartGallery w:val="Page Numbers (Top of Page)"/>
        <w:docPartUnique/>
      </w:docPartObj>
    </w:sdtPr>
    <w:sdtContent>
      <w:p w14:paraId="665F3148" w14:textId="301E87AF" w:rsidR="00F6536E" w:rsidRDefault="00F6536E" w:rsidP="00C13A95">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492D2590" w14:textId="77777777" w:rsidR="00F6536E" w:rsidRDefault="00F6536E" w:rsidP="00F6536E">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Fonts w:ascii="Times New Roman" w:hAnsi="Times New Roman" w:cs="Times New Roman"/>
      </w:rPr>
      <w:id w:val="-1906670900"/>
      <w:docPartObj>
        <w:docPartGallery w:val="Page Numbers (Top of Page)"/>
        <w:docPartUnique/>
      </w:docPartObj>
    </w:sdtPr>
    <w:sdtContent>
      <w:p w14:paraId="38A89230" w14:textId="0E965796" w:rsidR="00F6536E" w:rsidRPr="00F6536E" w:rsidRDefault="00F6536E" w:rsidP="00C13A95">
        <w:pPr>
          <w:pStyle w:val="Header"/>
          <w:framePr w:wrap="none" w:vAnchor="text" w:hAnchor="margin" w:xAlign="right" w:y="1"/>
          <w:rPr>
            <w:rStyle w:val="PageNumber"/>
            <w:rFonts w:ascii="Times New Roman" w:hAnsi="Times New Roman" w:cs="Times New Roman"/>
          </w:rPr>
        </w:pPr>
        <w:r w:rsidRPr="00F6536E">
          <w:rPr>
            <w:rStyle w:val="PageNumber"/>
            <w:rFonts w:ascii="Times New Roman" w:hAnsi="Times New Roman" w:cs="Times New Roman"/>
          </w:rPr>
          <w:fldChar w:fldCharType="begin"/>
        </w:r>
        <w:r w:rsidRPr="00F6536E">
          <w:rPr>
            <w:rStyle w:val="PageNumber"/>
            <w:rFonts w:ascii="Times New Roman" w:hAnsi="Times New Roman" w:cs="Times New Roman"/>
          </w:rPr>
          <w:instrText xml:space="preserve"> PAGE </w:instrText>
        </w:r>
        <w:r w:rsidRPr="00F6536E">
          <w:rPr>
            <w:rStyle w:val="PageNumber"/>
            <w:rFonts w:ascii="Times New Roman" w:hAnsi="Times New Roman" w:cs="Times New Roman"/>
          </w:rPr>
          <w:fldChar w:fldCharType="separate"/>
        </w:r>
        <w:r w:rsidRPr="00F6536E">
          <w:rPr>
            <w:rStyle w:val="PageNumber"/>
            <w:rFonts w:ascii="Times New Roman" w:hAnsi="Times New Roman" w:cs="Times New Roman"/>
            <w:noProof/>
          </w:rPr>
          <w:t>1</w:t>
        </w:r>
        <w:r w:rsidRPr="00F6536E">
          <w:rPr>
            <w:rStyle w:val="PageNumber"/>
            <w:rFonts w:ascii="Times New Roman" w:hAnsi="Times New Roman" w:cs="Times New Roman"/>
          </w:rPr>
          <w:fldChar w:fldCharType="end"/>
        </w:r>
      </w:p>
    </w:sdtContent>
  </w:sdt>
  <w:p w14:paraId="74CBA26F" w14:textId="77777777" w:rsidR="00F6536E" w:rsidRPr="00F6536E" w:rsidRDefault="00F6536E" w:rsidP="00F6536E">
    <w:pPr>
      <w:pStyle w:val="Header"/>
      <w:ind w:right="360"/>
      <w:rPr>
        <w:rFonts w:ascii="Times New Roman" w:hAnsi="Times New Roman" w:cs="Times New Roman"/>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536E"/>
    <w:rsid w:val="00031347"/>
    <w:rsid w:val="00047174"/>
    <w:rsid w:val="000F222C"/>
    <w:rsid w:val="00113A4F"/>
    <w:rsid w:val="00151FA4"/>
    <w:rsid w:val="001C09ED"/>
    <w:rsid w:val="002C331D"/>
    <w:rsid w:val="003C60E1"/>
    <w:rsid w:val="0041588E"/>
    <w:rsid w:val="00460040"/>
    <w:rsid w:val="00591FE3"/>
    <w:rsid w:val="005924BA"/>
    <w:rsid w:val="005F5DD8"/>
    <w:rsid w:val="007A4951"/>
    <w:rsid w:val="0087492D"/>
    <w:rsid w:val="008F0F0D"/>
    <w:rsid w:val="009A4B91"/>
    <w:rsid w:val="00AF6B9D"/>
    <w:rsid w:val="00B06A80"/>
    <w:rsid w:val="00C67050"/>
    <w:rsid w:val="00DA237A"/>
    <w:rsid w:val="00DD6302"/>
    <w:rsid w:val="00F24B19"/>
    <w:rsid w:val="00F315F9"/>
    <w:rsid w:val="00F6536E"/>
    <w:rsid w:val="00F76F50"/>
    <w:rsid w:val="00F81EFF"/>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2E8E0BAB"/>
  <w15:chartTrackingRefBased/>
  <w15:docId w15:val="{B2FE9635-23D4-DC4A-922B-1DC59D6394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line="26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6536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6536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6536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6536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6536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6536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536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536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536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536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6536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6536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6536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6536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6536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536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536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536E"/>
    <w:rPr>
      <w:rFonts w:eastAsiaTheme="majorEastAsia" w:cstheme="majorBidi"/>
      <w:color w:val="272727" w:themeColor="text1" w:themeTint="D8"/>
    </w:rPr>
  </w:style>
  <w:style w:type="paragraph" w:styleId="Title">
    <w:name w:val="Title"/>
    <w:basedOn w:val="Normal"/>
    <w:next w:val="Normal"/>
    <w:link w:val="TitleChar"/>
    <w:uiPriority w:val="10"/>
    <w:qFormat/>
    <w:rsid w:val="00F653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536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536E"/>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536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536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6536E"/>
    <w:rPr>
      <w:i/>
      <w:iCs/>
      <w:color w:val="404040" w:themeColor="text1" w:themeTint="BF"/>
    </w:rPr>
  </w:style>
  <w:style w:type="paragraph" w:styleId="ListParagraph">
    <w:name w:val="List Paragraph"/>
    <w:basedOn w:val="Normal"/>
    <w:uiPriority w:val="34"/>
    <w:qFormat/>
    <w:rsid w:val="00F6536E"/>
    <w:pPr>
      <w:ind w:left="720"/>
      <w:contextualSpacing/>
    </w:pPr>
  </w:style>
  <w:style w:type="character" w:styleId="IntenseEmphasis">
    <w:name w:val="Intense Emphasis"/>
    <w:basedOn w:val="DefaultParagraphFont"/>
    <w:uiPriority w:val="21"/>
    <w:qFormat/>
    <w:rsid w:val="00F6536E"/>
    <w:rPr>
      <w:i/>
      <w:iCs/>
      <w:color w:val="0F4761" w:themeColor="accent1" w:themeShade="BF"/>
    </w:rPr>
  </w:style>
  <w:style w:type="paragraph" w:styleId="IntenseQuote">
    <w:name w:val="Intense Quote"/>
    <w:basedOn w:val="Normal"/>
    <w:next w:val="Normal"/>
    <w:link w:val="IntenseQuoteChar"/>
    <w:uiPriority w:val="30"/>
    <w:qFormat/>
    <w:rsid w:val="00F6536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6536E"/>
    <w:rPr>
      <w:i/>
      <w:iCs/>
      <w:color w:val="0F4761" w:themeColor="accent1" w:themeShade="BF"/>
    </w:rPr>
  </w:style>
  <w:style w:type="character" w:styleId="IntenseReference">
    <w:name w:val="Intense Reference"/>
    <w:basedOn w:val="DefaultParagraphFont"/>
    <w:uiPriority w:val="32"/>
    <w:qFormat/>
    <w:rsid w:val="00F6536E"/>
    <w:rPr>
      <w:b/>
      <w:bCs/>
      <w:smallCaps/>
      <w:color w:val="0F4761" w:themeColor="accent1" w:themeShade="BF"/>
      <w:spacing w:val="5"/>
    </w:rPr>
  </w:style>
  <w:style w:type="paragraph" w:styleId="Header">
    <w:name w:val="header"/>
    <w:basedOn w:val="Normal"/>
    <w:link w:val="HeaderChar"/>
    <w:uiPriority w:val="99"/>
    <w:unhideWhenUsed/>
    <w:rsid w:val="00F6536E"/>
    <w:pPr>
      <w:tabs>
        <w:tab w:val="center" w:pos="4680"/>
        <w:tab w:val="right" w:pos="9360"/>
      </w:tabs>
      <w:spacing w:line="240" w:lineRule="auto"/>
    </w:pPr>
  </w:style>
  <w:style w:type="character" w:customStyle="1" w:styleId="HeaderChar">
    <w:name w:val="Header Char"/>
    <w:basedOn w:val="DefaultParagraphFont"/>
    <w:link w:val="Header"/>
    <w:uiPriority w:val="99"/>
    <w:rsid w:val="00F6536E"/>
  </w:style>
  <w:style w:type="paragraph" w:styleId="Footer">
    <w:name w:val="footer"/>
    <w:basedOn w:val="Normal"/>
    <w:link w:val="FooterChar"/>
    <w:uiPriority w:val="99"/>
    <w:unhideWhenUsed/>
    <w:rsid w:val="00F6536E"/>
    <w:pPr>
      <w:tabs>
        <w:tab w:val="center" w:pos="4680"/>
        <w:tab w:val="right" w:pos="9360"/>
      </w:tabs>
      <w:spacing w:line="240" w:lineRule="auto"/>
    </w:pPr>
  </w:style>
  <w:style w:type="character" w:customStyle="1" w:styleId="FooterChar">
    <w:name w:val="Footer Char"/>
    <w:basedOn w:val="DefaultParagraphFont"/>
    <w:link w:val="Footer"/>
    <w:uiPriority w:val="99"/>
    <w:rsid w:val="00F6536E"/>
  </w:style>
  <w:style w:type="character" w:styleId="PageNumber">
    <w:name w:val="page number"/>
    <w:basedOn w:val="DefaultParagraphFont"/>
    <w:uiPriority w:val="99"/>
    <w:semiHidden/>
    <w:unhideWhenUsed/>
    <w:rsid w:val="00F6536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96</TotalTime>
  <Pages>15</Pages>
  <Words>3333</Words>
  <Characters>21236</Characters>
  <Application>Microsoft Office Word</Application>
  <DocSecurity>0</DocSecurity>
  <Lines>337</Lines>
  <Paragraphs>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Ameer Ghany</dc:creator>
  <cp:keywords/>
  <dc:description/>
  <cp:lastModifiedBy>Ameer Ghany</cp:lastModifiedBy>
  <cp:revision>6</cp:revision>
  <dcterms:created xsi:type="dcterms:W3CDTF">2026-03-30T19:11:00Z</dcterms:created>
  <dcterms:modified xsi:type="dcterms:W3CDTF">2026-03-31T00:03:00Z</dcterms:modified>
</cp:coreProperties>
</file>