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44982" w14:textId="77777777" w:rsidR="003C60E1" w:rsidRPr="003C60E1" w:rsidRDefault="003C60E1" w:rsidP="003C60E1">
      <w:pPr>
        <w:adjustRightInd w:val="0"/>
        <w:snapToGrid w:val="0"/>
        <w:spacing w:line="480" w:lineRule="auto"/>
        <w:jc w:val="center"/>
        <w:rPr>
          <w:rFonts w:ascii="Times New Roman" w:hAnsi="Times New Roman" w:cs="Times New Roman"/>
          <w:b/>
          <w:bCs/>
        </w:rPr>
      </w:pPr>
    </w:p>
    <w:p w14:paraId="6C570846" w14:textId="77777777" w:rsidR="003C60E1" w:rsidRPr="003C60E1" w:rsidRDefault="003C60E1" w:rsidP="003C60E1">
      <w:pPr>
        <w:adjustRightInd w:val="0"/>
        <w:snapToGrid w:val="0"/>
        <w:spacing w:line="480" w:lineRule="auto"/>
        <w:jc w:val="center"/>
        <w:rPr>
          <w:rFonts w:ascii="Times New Roman" w:hAnsi="Times New Roman" w:cs="Times New Roman"/>
          <w:b/>
          <w:bCs/>
        </w:rPr>
      </w:pPr>
    </w:p>
    <w:p w14:paraId="3681C028" w14:textId="77777777" w:rsidR="003C60E1" w:rsidRPr="003C60E1" w:rsidRDefault="003C60E1" w:rsidP="003C60E1">
      <w:pPr>
        <w:adjustRightInd w:val="0"/>
        <w:snapToGrid w:val="0"/>
        <w:spacing w:line="480" w:lineRule="auto"/>
        <w:jc w:val="center"/>
        <w:rPr>
          <w:rFonts w:ascii="Times New Roman" w:hAnsi="Times New Roman" w:cs="Times New Roman"/>
          <w:b/>
          <w:bCs/>
        </w:rPr>
      </w:pPr>
    </w:p>
    <w:p w14:paraId="1269F448" w14:textId="77777777" w:rsidR="003C60E1" w:rsidRPr="003C60E1" w:rsidRDefault="003C60E1" w:rsidP="003C60E1">
      <w:pPr>
        <w:adjustRightInd w:val="0"/>
        <w:snapToGrid w:val="0"/>
        <w:spacing w:line="480" w:lineRule="auto"/>
        <w:jc w:val="center"/>
        <w:rPr>
          <w:rFonts w:ascii="Times New Roman" w:hAnsi="Times New Roman" w:cs="Times New Roman"/>
          <w:b/>
          <w:bCs/>
        </w:rPr>
      </w:pPr>
    </w:p>
    <w:p w14:paraId="1F674C27" w14:textId="77777777" w:rsidR="003C60E1" w:rsidRPr="003C60E1" w:rsidRDefault="003C60E1" w:rsidP="0041588E">
      <w:pPr>
        <w:adjustRightInd w:val="0"/>
        <w:snapToGrid w:val="0"/>
        <w:spacing w:line="480" w:lineRule="auto"/>
        <w:rPr>
          <w:rFonts w:ascii="Times New Roman" w:hAnsi="Times New Roman" w:cs="Times New Roman"/>
          <w:b/>
          <w:bCs/>
        </w:rPr>
      </w:pPr>
    </w:p>
    <w:p w14:paraId="55AE5D94" w14:textId="77777777" w:rsidR="003C60E1" w:rsidRPr="003C60E1" w:rsidRDefault="003C60E1" w:rsidP="003C60E1">
      <w:pPr>
        <w:adjustRightInd w:val="0"/>
        <w:snapToGrid w:val="0"/>
        <w:spacing w:line="480" w:lineRule="auto"/>
        <w:jc w:val="center"/>
        <w:rPr>
          <w:rFonts w:ascii="Times New Roman" w:hAnsi="Times New Roman" w:cs="Times New Roman"/>
          <w:b/>
          <w:bCs/>
        </w:rPr>
      </w:pPr>
    </w:p>
    <w:p w14:paraId="1101133F" w14:textId="77777777" w:rsidR="003C60E1" w:rsidRPr="003C60E1" w:rsidRDefault="003C60E1" w:rsidP="003C60E1">
      <w:pPr>
        <w:adjustRightInd w:val="0"/>
        <w:snapToGrid w:val="0"/>
        <w:spacing w:line="480" w:lineRule="auto"/>
        <w:jc w:val="center"/>
        <w:rPr>
          <w:rFonts w:ascii="Times New Roman" w:hAnsi="Times New Roman" w:cs="Times New Roman"/>
          <w:b/>
          <w:bCs/>
        </w:rPr>
      </w:pPr>
    </w:p>
    <w:p w14:paraId="0112FEAB" w14:textId="714C1121" w:rsidR="00B06A80" w:rsidRPr="003C60E1" w:rsidRDefault="00F6536E" w:rsidP="003C60E1">
      <w:pPr>
        <w:adjustRightInd w:val="0"/>
        <w:snapToGrid w:val="0"/>
        <w:spacing w:line="480" w:lineRule="auto"/>
        <w:jc w:val="center"/>
        <w:rPr>
          <w:rFonts w:ascii="Times New Roman" w:hAnsi="Times New Roman" w:cs="Times New Roman"/>
          <w:b/>
          <w:bCs/>
        </w:rPr>
      </w:pPr>
      <w:r w:rsidRPr="003C60E1">
        <w:rPr>
          <w:rFonts w:ascii="Times New Roman" w:hAnsi="Times New Roman" w:cs="Times New Roman"/>
          <w:b/>
          <w:bCs/>
        </w:rPr>
        <w:t>Expansion of Intensive Care Capacity at Ajax Pickering Hospital: A Case Study of Structural Change in a Regional Health System</w:t>
      </w:r>
    </w:p>
    <w:p w14:paraId="5CD02216" w14:textId="77777777" w:rsidR="003C60E1" w:rsidRPr="003C60E1" w:rsidRDefault="003C60E1" w:rsidP="003C60E1">
      <w:pPr>
        <w:adjustRightInd w:val="0"/>
        <w:snapToGrid w:val="0"/>
        <w:spacing w:line="480" w:lineRule="auto"/>
        <w:jc w:val="center"/>
        <w:rPr>
          <w:rFonts w:ascii="Times New Roman" w:hAnsi="Times New Roman" w:cs="Times New Roman"/>
        </w:rPr>
      </w:pPr>
      <w:r w:rsidRPr="003C60E1">
        <w:rPr>
          <w:rFonts w:ascii="Times New Roman" w:hAnsi="Times New Roman" w:cs="Times New Roman"/>
        </w:rPr>
        <w:t>Ameer Ghany</w:t>
      </w:r>
    </w:p>
    <w:p w14:paraId="37B89962" w14:textId="77777777" w:rsidR="003C60E1" w:rsidRPr="003C60E1" w:rsidRDefault="003C60E1" w:rsidP="003C60E1">
      <w:pPr>
        <w:adjustRightInd w:val="0"/>
        <w:snapToGrid w:val="0"/>
        <w:spacing w:line="480" w:lineRule="auto"/>
        <w:jc w:val="center"/>
        <w:rPr>
          <w:rFonts w:ascii="Times New Roman" w:hAnsi="Times New Roman" w:cs="Times New Roman"/>
        </w:rPr>
      </w:pPr>
      <w:r w:rsidRPr="003C60E1">
        <w:rPr>
          <w:rFonts w:ascii="Times New Roman" w:hAnsi="Times New Roman" w:cs="Times New Roman"/>
        </w:rPr>
        <w:t>Master of Health Studies MHST 621</w:t>
      </w:r>
    </w:p>
    <w:p w14:paraId="3FE113F3" w14:textId="77777777" w:rsidR="003C60E1" w:rsidRPr="003C60E1" w:rsidRDefault="003C60E1" w:rsidP="003C60E1">
      <w:pPr>
        <w:adjustRightInd w:val="0"/>
        <w:snapToGrid w:val="0"/>
        <w:spacing w:line="480" w:lineRule="auto"/>
        <w:jc w:val="center"/>
        <w:rPr>
          <w:rFonts w:ascii="Times New Roman" w:hAnsi="Times New Roman" w:cs="Times New Roman"/>
        </w:rPr>
      </w:pPr>
      <w:r w:rsidRPr="003C60E1">
        <w:rPr>
          <w:rFonts w:ascii="Times New Roman" w:hAnsi="Times New Roman" w:cs="Times New Roman"/>
        </w:rPr>
        <w:t>Dr. Peter Istvan</w:t>
      </w:r>
    </w:p>
    <w:p w14:paraId="38C738D4" w14:textId="6BFD220D" w:rsidR="003C60E1" w:rsidRPr="003C60E1" w:rsidRDefault="003C60E1" w:rsidP="003C60E1">
      <w:pPr>
        <w:adjustRightInd w:val="0"/>
        <w:snapToGrid w:val="0"/>
        <w:spacing w:line="480" w:lineRule="auto"/>
        <w:jc w:val="center"/>
        <w:rPr>
          <w:rFonts w:ascii="Times New Roman" w:hAnsi="Times New Roman" w:cs="Times New Roman"/>
        </w:rPr>
      </w:pPr>
      <w:r w:rsidRPr="003C60E1">
        <w:rPr>
          <w:rFonts w:ascii="Times New Roman" w:hAnsi="Times New Roman" w:cs="Times New Roman"/>
        </w:rPr>
        <w:t>March 30, 2026</w:t>
      </w:r>
    </w:p>
    <w:p w14:paraId="63BD20DB" w14:textId="77777777" w:rsidR="00F6536E" w:rsidRPr="003C60E1" w:rsidRDefault="00F6536E" w:rsidP="00F6536E">
      <w:pPr>
        <w:adjustRightInd w:val="0"/>
        <w:snapToGrid w:val="0"/>
        <w:spacing w:line="480" w:lineRule="auto"/>
        <w:rPr>
          <w:rFonts w:ascii="Times New Roman" w:hAnsi="Times New Roman" w:cs="Times New Roman"/>
        </w:rPr>
      </w:pPr>
    </w:p>
    <w:p w14:paraId="69A2603A" w14:textId="77777777" w:rsidR="00F6536E" w:rsidRPr="003C60E1" w:rsidRDefault="00F6536E" w:rsidP="00F6536E">
      <w:pPr>
        <w:adjustRightInd w:val="0"/>
        <w:snapToGrid w:val="0"/>
        <w:spacing w:line="480" w:lineRule="auto"/>
        <w:rPr>
          <w:rFonts w:ascii="Times New Roman" w:hAnsi="Times New Roman" w:cs="Times New Roman"/>
        </w:rPr>
      </w:pPr>
    </w:p>
    <w:p w14:paraId="155275C7" w14:textId="77777777" w:rsidR="00F6536E" w:rsidRPr="003C60E1" w:rsidRDefault="00F6536E" w:rsidP="00F6536E">
      <w:pPr>
        <w:adjustRightInd w:val="0"/>
        <w:snapToGrid w:val="0"/>
        <w:spacing w:line="480" w:lineRule="auto"/>
        <w:rPr>
          <w:rFonts w:ascii="Times New Roman" w:hAnsi="Times New Roman" w:cs="Times New Roman"/>
        </w:rPr>
      </w:pPr>
    </w:p>
    <w:p w14:paraId="177D0B91" w14:textId="77777777" w:rsidR="00F6536E" w:rsidRPr="003C60E1" w:rsidRDefault="00F6536E" w:rsidP="00F6536E">
      <w:pPr>
        <w:adjustRightInd w:val="0"/>
        <w:snapToGrid w:val="0"/>
        <w:spacing w:line="480" w:lineRule="auto"/>
        <w:rPr>
          <w:rFonts w:ascii="Times New Roman" w:hAnsi="Times New Roman" w:cs="Times New Roman"/>
        </w:rPr>
      </w:pPr>
    </w:p>
    <w:p w14:paraId="33317CF6" w14:textId="77777777" w:rsidR="00F6536E" w:rsidRPr="003C60E1" w:rsidRDefault="00F6536E" w:rsidP="00F6536E">
      <w:pPr>
        <w:adjustRightInd w:val="0"/>
        <w:snapToGrid w:val="0"/>
        <w:spacing w:line="480" w:lineRule="auto"/>
        <w:rPr>
          <w:rFonts w:ascii="Times New Roman" w:hAnsi="Times New Roman" w:cs="Times New Roman"/>
        </w:rPr>
      </w:pPr>
    </w:p>
    <w:p w14:paraId="0C93C78E" w14:textId="77777777" w:rsidR="00F6536E" w:rsidRPr="003C60E1" w:rsidRDefault="00F6536E" w:rsidP="00F6536E">
      <w:pPr>
        <w:adjustRightInd w:val="0"/>
        <w:snapToGrid w:val="0"/>
        <w:spacing w:line="480" w:lineRule="auto"/>
        <w:rPr>
          <w:rFonts w:ascii="Times New Roman" w:hAnsi="Times New Roman" w:cs="Times New Roman"/>
        </w:rPr>
      </w:pPr>
    </w:p>
    <w:p w14:paraId="1C5B526D" w14:textId="77777777" w:rsidR="00F6536E" w:rsidRPr="003C60E1" w:rsidRDefault="00F6536E" w:rsidP="00F6536E">
      <w:pPr>
        <w:adjustRightInd w:val="0"/>
        <w:snapToGrid w:val="0"/>
        <w:spacing w:line="480" w:lineRule="auto"/>
        <w:rPr>
          <w:rFonts w:ascii="Times New Roman" w:hAnsi="Times New Roman" w:cs="Times New Roman"/>
        </w:rPr>
      </w:pPr>
    </w:p>
    <w:p w14:paraId="7675F024" w14:textId="77777777" w:rsidR="00F6536E" w:rsidRPr="003C60E1" w:rsidRDefault="00F6536E" w:rsidP="00F6536E">
      <w:pPr>
        <w:adjustRightInd w:val="0"/>
        <w:snapToGrid w:val="0"/>
        <w:spacing w:line="480" w:lineRule="auto"/>
        <w:rPr>
          <w:rFonts w:ascii="Times New Roman" w:hAnsi="Times New Roman" w:cs="Times New Roman"/>
        </w:rPr>
      </w:pPr>
    </w:p>
    <w:p w14:paraId="32A68012" w14:textId="77777777" w:rsidR="000F222C" w:rsidRDefault="000F222C" w:rsidP="00F6536E">
      <w:pPr>
        <w:adjustRightInd w:val="0"/>
        <w:snapToGrid w:val="0"/>
        <w:spacing w:line="480" w:lineRule="auto"/>
        <w:rPr>
          <w:rFonts w:ascii="Times New Roman" w:hAnsi="Times New Roman" w:cs="Times New Roman"/>
        </w:rPr>
      </w:pPr>
    </w:p>
    <w:p w14:paraId="56754BA7" w14:textId="77777777" w:rsidR="0041588E" w:rsidRDefault="0041588E" w:rsidP="009A4B91">
      <w:pPr>
        <w:adjustRightInd w:val="0"/>
        <w:snapToGrid w:val="0"/>
        <w:spacing w:line="480" w:lineRule="auto"/>
        <w:jc w:val="center"/>
        <w:rPr>
          <w:rFonts w:ascii="Times New Roman" w:hAnsi="Times New Roman" w:cs="Times New Roman"/>
          <w:b/>
          <w:bCs/>
        </w:rPr>
      </w:pPr>
    </w:p>
    <w:p w14:paraId="0FB3C1A6" w14:textId="7724B65F" w:rsidR="00F6536E" w:rsidRPr="003C60E1" w:rsidRDefault="00F6536E" w:rsidP="009A4B91">
      <w:pPr>
        <w:adjustRightInd w:val="0"/>
        <w:snapToGrid w:val="0"/>
        <w:spacing w:line="480" w:lineRule="auto"/>
        <w:jc w:val="center"/>
        <w:rPr>
          <w:rFonts w:ascii="Times New Roman" w:hAnsi="Times New Roman" w:cs="Times New Roman"/>
          <w:b/>
          <w:bCs/>
        </w:rPr>
      </w:pPr>
      <w:r w:rsidRPr="003C60E1">
        <w:rPr>
          <w:rFonts w:ascii="Times New Roman" w:hAnsi="Times New Roman" w:cs="Times New Roman"/>
          <w:b/>
          <w:bCs/>
        </w:rPr>
        <w:lastRenderedPageBreak/>
        <w:t>Expansion of Intensive Care Capacity at Ajax Pickering Hospital</w:t>
      </w:r>
    </w:p>
    <w:p w14:paraId="7E18B160" w14:textId="6CE42A25"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Lakeridge Health is a multi-site hospital network serving Ontario’s Durham Region, with facilities in Oshawa, Ajax-Pickering, Bowmanville, and Port Perry. The organization provides services to a growing population, including emergency care, inpatient treatment, surgical programs, and specialized clinical services. In recent years, Durham Region has experienced steady population growth, rising urban density, and an increasing number of older adults who require access to complex healthcare services (Statistics Canada, 2022).</w:t>
      </w:r>
    </w:p>
    <w:p w14:paraId="1459B94C" w14:textId="0831BD8A"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Lakeridge Health reports approximately $1 billion in annual operating revenue and employs more than 8,000 staff and physicians across its hospital sites (Lakeridge Health, 2023). Provincial hospital funding and system capacity planning are coordinated through Ontario Health, which has identified hospital capacity expansion as a priority in response to ongoing pressures within the healthcare system and increasing congestion in emergency departments (Ontario Health, 2023).</w:t>
      </w:r>
    </w:p>
    <w:p w14:paraId="51265108" w14:textId="7741006A"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Before the expansion, Ajax Pickering Hospital’s ICU had 10 funded beds. The unit admitted adult patients who required advanced monitoring and life-support treatments, including mechanical ventilation, vasoactive drugs, invasive hemodynamic monitoring, and continuous observation. Approximately 40% of adult ICU patients in Canada need mechanical ventilation during their hospital stays (Canadian Institute for Health Information [CIHI], 2024).</w:t>
      </w:r>
    </w:p>
    <w:p w14:paraId="45FF7121" w14:textId="13B9E5EF"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The standard ICU staffing model typically follows a one-to-one nursing model for unstable patients. The standard ICU staffing model typically follows a one-to-one nursing ratio for unstable patients. However, the Ajax Pickering ICU does not provide continuous renal replacement therapy (CRRT). Patients requiring this treatment must be transferred to the Oshawa </w:t>
      </w:r>
      <w:r w:rsidRPr="003C60E1">
        <w:rPr>
          <w:rFonts w:ascii="Times New Roman" w:hAnsi="Times New Roman" w:cs="Times New Roman"/>
        </w:rPr>
        <w:lastRenderedPageBreak/>
        <w:t>hospital site, the larger tertiary centre within the Lakeridge Health system. These transfers occur by land ambulance or ORNGE air transport when necessary.</w:t>
      </w:r>
    </w:p>
    <w:p w14:paraId="73A3D4EE" w14:textId="5DB6CC3A"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During this period, Ajax Pickering Hospital’s emergency department experienced intermittent congestion, and admitted patients sometimes remained in the department while waiting for inpatient or ICU beds. Internal communications identified two operational priorities: improving patient flow and reducing emergency department boarding.</w:t>
      </w:r>
    </w:p>
    <w:p w14:paraId="6F2C9569" w14:textId="77777777" w:rsidR="00F6536E" w:rsidRPr="003C60E1" w:rsidRDefault="00F6536E" w:rsidP="00F6536E">
      <w:pPr>
        <w:adjustRightInd w:val="0"/>
        <w:snapToGrid w:val="0"/>
        <w:spacing w:line="480" w:lineRule="auto"/>
        <w:rPr>
          <w:rFonts w:ascii="Times New Roman" w:hAnsi="Times New Roman" w:cs="Times New Roman"/>
        </w:rPr>
      </w:pPr>
      <w:r w:rsidRPr="003C60E1">
        <w:rPr>
          <w:rFonts w:ascii="Times New Roman" w:hAnsi="Times New Roman" w:cs="Times New Roman"/>
        </w:rPr>
        <w:tab/>
        <w:t>In response to broader pressures within the provincial healthcare system, the Government of Ontario allocated funding to expand critical care capacity across several regions. Through Ontario Health, Lakeridge Health received funding to increase ICU capacity at the Ajax Pickering site from 10 to 16 beds (Ontario Health, 2023). The expansion was intended to improve access to critical care services while also reducing emergency department backlogs.</w:t>
      </w:r>
    </w:p>
    <w:p w14:paraId="1C6CCD04" w14:textId="77777777" w:rsidR="00F6536E" w:rsidRPr="003C60E1" w:rsidRDefault="00F6536E" w:rsidP="00F6536E">
      <w:pPr>
        <w:adjustRightInd w:val="0"/>
        <w:snapToGrid w:val="0"/>
        <w:spacing w:line="480" w:lineRule="auto"/>
        <w:rPr>
          <w:rFonts w:ascii="Times New Roman" w:hAnsi="Times New Roman" w:cs="Times New Roman"/>
        </w:rPr>
      </w:pPr>
      <w:r w:rsidRPr="003C60E1">
        <w:rPr>
          <w:rFonts w:ascii="Times New Roman" w:hAnsi="Times New Roman" w:cs="Times New Roman"/>
        </w:rPr>
        <w:tab/>
        <w:t>To accommodate six additional ICU beds, hospital management approved the reallocation of space from a nearby inpatient medicine unit known as 2West. Prior to the renovation, the 2West unit housed three patients per room. As a result, 18 inpatient medicine beds were removed to create space for six ICU-specific beds adjacent to the existing ICU area.</w:t>
      </w:r>
    </w:p>
    <w:p w14:paraId="1501CD46" w14:textId="48C5B512"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After the renovation was completed, the ICU at Ajax Pickering Hospital increased its capacity to 16 beds. These additional beds were designated as step-down ICU beds for patients who required close monitoring but were considered less critically unstable than those in the main ICU. The step-down ICU included both single and shared rooms, and nursing staff were responsible for two to three patients rather than one patient per nurse. As a result, completing detailed hourly critical care charting became more challenging, particularly for invasive hemodynamic monitoring and physical assessments.</w:t>
      </w:r>
    </w:p>
    <w:p w14:paraId="012CC077" w14:textId="6411CC26" w:rsidR="00F6536E" w:rsidRPr="003C60E1" w:rsidRDefault="0041588E" w:rsidP="0041588E">
      <w:pPr>
        <w:adjustRightInd w:val="0"/>
        <w:snapToGrid w:val="0"/>
        <w:spacing w:line="480" w:lineRule="auto"/>
        <w:ind w:firstLine="720"/>
        <w:rPr>
          <w:rFonts w:ascii="Times New Roman" w:hAnsi="Times New Roman" w:cs="Times New Roman"/>
        </w:rPr>
      </w:pPr>
      <w:r>
        <w:rPr>
          <w:rFonts w:ascii="Times New Roman" w:hAnsi="Times New Roman" w:cs="Times New Roman"/>
        </w:rPr>
        <w:lastRenderedPageBreak/>
        <w:t>Several</w:t>
      </w:r>
      <w:r w:rsidR="00F6536E" w:rsidRPr="003C60E1">
        <w:rPr>
          <w:rFonts w:ascii="Times New Roman" w:hAnsi="Times New Roman" w:cs="Times New Roman"/>
        </w:rPr>
        <w:t xml:space="preserve"> infrastructure updates were also made within the ICU during the expansion. The </w:t>
      </w:r>
      <w:proofErr w:type="spellStart"/>
      <w:r w:rsidR="00F6536E" w:rsidRPr="003C60E1">
        <w:rPr>
          <w:rFonts w:ascii="Times New Roman" w:hAnsi="Times New Roman" w:cs="Times New Roman"/>
        </w:rPr>
        <w:t>MedSelect</w:t>
      </w:r>
      <w:proofErr w:type="spellEnd"/>
      <w:r w:rsidR="00F6536E" w:rsidRPr="003C60E1">
        <w:rPr>
          <w:rFonts w:ascii="Times New Roman" w:hAnsi="Times New Roman" w:cs="Times New Roman"/>
        </w:rPr>
        <w:t xml:space="preserve"> automated medication-dispensing system was relocated to match the new layout, and documentation stations and supply storage areas were reorganized.</w:t>
      </w:r>
    </w:p>
    <w:p w14:paraId="2CE03407" w14:textId="19D1BC7A"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The hospital also advertised new ICU nursing roles and recruited nurses from both internal and external sources, including recent graduates with limited ICU experience. Orientation and preceptorship programs were introduced to support these new staff members.</w:t>
      </w:r>
    </w:p>
    <w:p w14:paraId="3038BD1F" w14:textId="1E3852AA"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During the initial implementation period, staffing levels varied across shifts. Overtime shifts were offered to ensure adequate coverage, and ICU nurses were occasionally reassigned to assist the emergency department during staffing shortages. At the same time, the hospital phased out its reliance on agency nurses. Leadership roles within the ICU also changed during this period, with several ICU managers leaving their positions after relatively short tenures.</w:t>
      </w:r>
    </w:p>
    <w:p w14:paraId="0BBC25AB" w14:textId="71C7FC07"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The ICU at Ajax Pickering Hospital now operates with 16 funded beds. However, staffing shortages and a limited number of senior nurses continue to affect the training and mentoring of new staff, as well as the unit’s overall workflow, a situation some staff describe as “skeleton staffing.” The unit admits both critically ill patients and step-down cases requiring close monitoring. CRRT services remain unavailable at the site, and intermittent congestion in the emergency department persists as clinical teams continue adjusting to the expanded ICU environment.</w:t>
      </w:r>
    </w:p>
    <w:p w14:paraId="4BFDD352" w14:textId="77777777" w:rsidR="00F6536E" w:rsidRPr="003C60E1" w:rsidRDefault="00F6536E" w:rsidP="00F6536E">
      <w:pPr>
        <w:adjustRightInd w:val="0"/>
        <w:snapToGrid w:val="0"/>
        <w:spacing w:line="480" w:lineRule="auto"/>
        <w:rPr>
          <w:rFonts w:ascii="Times New Roman" w:hAnsi="Times New Roman" w:cs="Times New Roman"/>
        </w:rPr>
      </w:pPr>
      <w:r w:rsidRPr="003C60E1">
        <w:rPr>
          <w:rFonts w:ascii="Times New Roman" w:hAnsi="Times New Roman" w:cs="Times New Roman"/>
        </w:rPr>
        <w:tab/>
      </w:r>
    </w:p>
    <w:p w14:paraId="63A0C9D7" w14:textId="77777777" w:rsidR="00F6536E" w:rsidRPr="003C60E1" w:rsidRDefault="00F6536E" w:rsidP="00F6536E">
      <w:pPr>
        <w:adjustRightInd w:val="0"/>
        <w:snapToGrid w:val="0"/>
        <w:spacing w:line="480" w:lineRule="auto"/>
        <w:rPr>
          <w:rFonts w:ascii="Times New Roman" w:hAnsi="Times New Roman" w:cs="Times New Roman"/>
        </w:rPr>
      </w:pPr>
      <w:r w:rsidRPr="003C60E1">
        <w:rPr>
          <w:rFonts w:ascii="Times New Roman" w:hAnsi="Times New Roman" w:cs="Times New Roman"/>
        </w:rPr>
        <w:tab/>
      </w:r>
    </w:p>
    <w:p w14:paraId="2A6C258F" w14:textId="77777777" w:rsidR="00F6536E" w:rsidRPr="003C60E1" w:rsidRDefault="00F6536E" w:rsidP="00F6536E">
      <w:pPr>
        <w:adjustRightInd w:val="0"/>
        <w:snapToGrid w:val="0"/>
        <w:spacing w:line="480" w:lineRule="auto"/>
        <w:rPr>
          <w:rFonts w:ascii="Times New Roman" w:hAnsi="Times New Roman" w:cs="Times New Roman"/>
        </w:rPr>
      </w:pPr>
      <w:r w:rsidRPr="003C60E1">
        <w:rPr>
          <w:rFonts w:ascii="Times New Roman" w:hAnsi="Times New Roman" w:cs="Times New Roman"/>
        </w:rPr>
        <w:tab/>
      </w:r>
    </w:p>
    <w:p w14:paraId="11E99A5F" w14:textId="77777777" w:rsidR="00F6536E" w:rsidRPr="003C60E1" w:rsidRDefault="00F6536E" w:rsidP="00F6536E">
      <w:pPr>
        <w:adjustRightInd w:val="0"/>
        <w:snapToGrid w:val="0"/>
        <w:spacing w:line="480" w:lineRule="auto"/>
        <w:rPr>
          <w:rFonts w:ascii="Times New Roman" w:hAnsi="Times New Roman" w:cs="Times New Roman"/>
        </w:rPr>
      </w:pPr>
      <w:r w:rsidRPr="003C60E1">
        <w:rPr>
          <w:rFonts w:ascii="Times New Roman" w:hAnsi="Times New Roman" w:cs="Times New Roman"/>
        </w:rPr>
        <w:tab/>
      </w:r>
    </w:p>
    <w:p w14:paraId="49D3E390" w14:textId="77777777" w:rsidR="00F6536E" w:rsidRPr="003C60E1" w:rsidRDefault="00F6536E" w:rsidP="00F6536E">
      <w:pPr>
        <w:adjustRightInd w:val="0"/>
        <w:snapToGrid w:val="0"/>
        <w:spacing w:line="480" w:lineRule="auto"/>
        <w:rPr>
          <w:rFonts w:ascii="Times New Roman" w:hAnsi="Times New Roman" w:cs="Times New Roman"/>
        </w:rPr>
      </w:pPr>
    </w:p>
    <w:p w14:paraId="60CDD5DD" w14:textId="77777777" w:rsidR="00F6536E" w:rsidRPr="000F222C" w:rsidRDefault="00F6536E" w:rsidP="000F222C">
      <w:pPr>
        <w:adjustRightInd w:val="0"/>
        <w:snapToGrid w:val="0"/>
        <w:spacing w:line="480" w:lineRule="auto"/>
        <w:jc w:val="center"/>
        <w:rPr>
          <w:rFonts w:ascii="Times New Roman" w:hAnsi="Times New Roman" w:cs="Times New Roman"/>
          <w:b/>
          <w:bCs/>
        </w:rPr>
      </w:pPr>
      <w:r w:rsidRPr="000F222C">
        <w:rPr>
          <w:rFonts w:ascii="Times New Roman" w:hAnsi="Times New Roman" w:cs="Times New Roman"/>
          <w:b/>
          <w:bCs/>
        </w:rPr>
        <w:lastRenderedPageBreak/>
        <w:t>Part 2 - Case Study Analysis</w:t>
      </w:r>
    </w:p>
    <w:p w14:paraId="53927539" w14:textId="77777777"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Organizational Change and System Capacity: The ICU Expansion at Ajax Pickering Hospital</w:t>
      </w:r>
    </w:p>
    <w:p w14:paraId="34A7E1CD" w14:textId="201C8232"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Expanding ICU capacity is often viewed as a practical solution to growing healthcare system pressures. However, the experience at Ajax Pickering Hospital suggests that increasing the number of beds alone does not automatically resolve operational challenges. During the implementation of the ICU expansion, differences in workforce preparation, leadership stability, and organizational coordination began to influence how effectively the new capacity could function in practice. These developments illustrate how structural changes within healthcare systems can produce complex operational effects.</w:t>
      </w:r>
    </w:p>
    <w:p w14:paraId="278E4400" w14:textId="00BB6FFD"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The ICU expansion at Lakeridge Health’s Ajax Pickering Hospital—from 10 to 16 beds—occurred within a broader provincial context. Ontario’s healthcare system has faced increasing pressure due to population growth, rising demand for specialized care, and ongoing congestion in emergency departments. In response, provincial initiatives encouraged hospitals to expand critical care capacity to improve access to services and reduce emergency department backlogs (Ontario Health, 2023). While the expansion aligned with these policy objectives, its implementation revealed several operational challenges. These included staffing shortages, difficulties recruiting nurses with critical care experience, and a limited number of senior ICU nurses available to mentor newly recruited staff.</w:t>
      </w:r>
    </w:p>
    <w:p w14:paraId="17D37544" w14:textId="0072808A"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To make sense of these challenges, it helps to look at the situation through several perspectives on organizational change. Lewin’s change model provides a framework for examining how the transition progressed through different stages of organizational adaptation (Hussain et al., 2018). Kotter’s change leadership model and design thinking approaches help </w:t>
      </w:r>
      <w:r w:rsidRPr="003C60E1">
        <w:rPr>
          <w:rFonts w:ascii="Times New Roman" w:hAnsi="Times New Roman" w:cs="Times New Roman"/>
        </w:rPr>
        <w:lastRenderedPageBreak/>
        <w:t xml:space="preserve">explain how leadership coordination and stakeholder engagement influence the success of implementation processes (Engmann et al., 2024). Systems thinking and </w:t>
      </w:r>
      <w:r w:rsidR="0041588E">
        <w:rPr>
          <w:rFonts w:ascii="Times New Roman" w:hAnsi="Times New Roman" w:cs="Times New Roman"/>
        </w:rPr>
        <w:t>soft systems methodology</w:t>
      </w:r>
      <w:r w:rsidRPr="003C60E1">
        <w:rPr>
          <w:rFonts w:ascii="Times New Roman" w:hAnsi="Times New Roman" w:cs="Times New Roman"/>
        </w:rPr>
        <w:t> indicate how structural decisions interact with workforce capabilities, patient flow, and interdepartmental coordination within complex healthcare settings (Augustsson et al., 2020; Notarnicola et al., 2026). Sensemaking theory further clarifies how frontline clinicians interpret organizational changes through their daily clinical experiences and professional identities (Weick et al., 2005; Wasieleski et al., 2024). Lastly, structuration theory and contemporary analyses of organizational power demonstrate how institutional rules, professional norms, and leadership authority shape the enactment and sustenance of structural changes in practice (Carter et al., 2024; Ortmann et al., 2023).</w:t>
      </w:r>
    </w:p>
    <w:p w14:paraId="26466D33" w14:textId="0E9B96D4"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 xml:space="preserve">Case Anchor: Key Organizational Issues Identified </w:t>
      </w:r>
      <w:r w:rsidR="002C331D" w:rsidRPr="003C60E1">
        <w:rPr>
          <w:rFonts w:ascii="Times New Roman" w:hAnsi="Times New Roman" w:cs="Times New Roman"/>
          <w:b/>
          <w:bCs/>
        </w:rPr>
        <w:t>in</w:t>
      </w:r>
      <w:r w:rsidRPr="003C60E1">
        <w:rPr>
          <w:rFonts w:ascii="Times New Roman" w:hAnsi="Times New Roman" w:cs="Times New Roman"/>
          <w:b/>
          <w:bCs/>
        </w:rPr>
        <w:t xml:space="preserve"> </w:t>
      </w:r>
      <w:r w:rsidR="002C331D" w:rsidRPr="003C60E1">
        <w:rPr>
          <w:rFonts w:ascii="Times New Roman" w:hAnsi="Times New Roman" w:cs="Times New Roman"/>
          <w:b/>
          <w:bCs/>
        </w:rPr>
        <w:t>t</w:t>
      </w:r>
      <w:r w:rsidRPr="003C60E1">
        <w:rPr>
          <w:rFonts w:ascii="Times New Roman" w:hAnsi="Times New Roman" w:cs="Times New Roman"/>
          <w:b/>
          <w:bCs/>
        </w:rPr>
        <w:t>he Case</w:t>
      </w:r>
    </w:p>
    <w:p w14:paraId="76D7F98B" w14:textId="1DF9220A"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The case described in Part 1 highlights three interconnected operational challenges. First, physical ICU capacity increased from 10 to 16 beds, but critical care staffing was still limited. As a result, more pressure was placed on senior nurses to supervise and mentor newly recruited staff, including several new graduates. Another challenge was removing inpatient medicine beds, which changed patient flow throughout the hospital and contributed to the emergency department’s ongoing congestion. Finally, leadership turnover created uncertainty around communication, coordination, and staff support. Understanding how these issues developed requires examination of the ICU expansion through established frameworks for organizational change and systems.</w:t>
      </w:r>
    </w:p>
    <w:p w14:paraId="568D364A" w14:textId="77777777"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Organizational Context &amp; Problem Description</w:t>
      </w:r>
    </w:p>
    <w:p w14:paraId="0268AB33" w14:textId="4B9B4028" w:rsidR="00F6536E" w:rsidRPr="003C60E1" w:rsidRDefault="0041588E" w:rsidP="0041588E">
      <w:pPr>
        <w:adjustRightInd w:val="0"/>
        <w:snapToGrid w:val="0"/>
        <w:spacing w:line="480" w:lineRule="auto"/>
        <w:ind w:firstLine="720"/>
        <w:rPr>
          <w:rFonts w:ascii="Times New Roman" w:hAnsi="Times New Roman" w:cs="Times New Roman"/>
        </w:rPr>
      </w:pPr>
      <w:r>
        <w:rPr>
          <w:rFonts w:ascii="Times New Roman" w:hAnsi="Times New Roman" w:cs="Times New Roman"/>
        </w:rPr>
        <w:t>The</w:t>
      </w:r>
      <w:r w:rsidR="00F6536E" w:rsidRPr="003C60E1">
        <w:rPr>
          <w:rFonts w:ascii="Times New Roman" w:hAnsi="Times New Roman" w:cs="Times New Roman"/>
        </w:rPr>
        <w:t xml:space="preserve"> ICU expansion at Ajax Pickering Hospital represents a system-wide organizational shift that has affected various parts of the hospital network. Provincial policy aimed to boost </w:t>
      </w:r>
      <w:r w:rsidR="00F6536E" w:rsidRPr="003C60E1">
        <w:rPr>
          <w:rFonts w:ascii="Times New Roman" w:hAnsi="Times New Roman" w:cs="Times New Roman"/>
        </w:rPr>
        <w:lastRenderedPageBreak/>
        <w:t>critical care capacity, yet while this goal was achieved, the operational rollout faced several interconnected challenges.</w:t>
      </w:r>
    </w:p>
    <w:p w14:paraId="047C6FBD" w14:textId="799B957F"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The first challenge was that to expand ICU beds from 10 to 16, the hospital had to remove 18 inpatient beds from the 2West unit. This decision indeed increased ICU capacity, but that also meant that patient flow patterns throughout the hospital changed. Patients who needed emergency department admission would sometimes stay longer as a direct result of the shortage of inpatient beds. That contributed to ongoing congestion in the emergency department.</w:t>
      </w:r>
    </w:p>
    <w:p w14:paraId="34D75F95" w14:textId="60C32E5C"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On another note, workforce capacity could not keep pace with the growth of physical infrastructure. Nurses who transferred from other units, as well as nurses who had just graduated and had limited experience in critical care </w:t>
      </w:r>
      <w:r w:rsidR="00DD6302">
        <w:rPr>
          <w:rFonts w:ascii="Times New Roman" w:hAnsi="Times New Roman" w:cs="Times New Roman"/>
        </w:rPr>
        <w:t>settings, were</w:t>
      </w:r>
      <w:r w:rsidRPr="003C60E1">
        <w:rPr>
          <w:rFonts w:ascii="Times New Roman" w:hAnsi="Times New Roman" w:cs="Times New Roman"/>
        </w:rPr>
        <w:t xml:space="preserve"> recruited. These new staff members underwent extensive orientation and were supervised by experienced ICU nurses. However, the concurrent shortage of senior nurses posed challenges for mentorship and skill development.</w:t>
      </w:r>
    </w:p>
    <w:p w14:paraId="457AB143" w14:textId="3AD6579D"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From a frontline perspective, experienced ICU nurses had to care for critically ill patients while overseeing novice staff members. Patients who are critically ill often need complex interventions, and supervising new staff under these conditions only increases these experienced nurses’ cognitive workload and emotional stress.</w:t>
      </w:r>
    </w:p>
    <w:p w14:paraId="0EEF3D3F" w14:textId="4BEBF3DB"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Another issue was that specialized clinical services did not grow in tandem with the ICU’s physical capacity. Ajax Pickering Hospital still lacked CRRT facilities, so patients were being transferred to the Oshawa hospital. These transfers temporarily reduced the ICU’s staffing capacity because they required </w:t>
      </w:r>
      <w:r w:rsidR="00DD6302">
        <w:rPr>
          <w:rFonts w:ascii="Times New Roman" w:hAnsi="Times New Roman" w:cs="Times New Roman"/>
        </w:rPr>
        <w:t xml:space="preserve">coordination among </w:t>
      </w:r>
      <w:r w:rsidRPr="003C60E1">
        <w:rPr>
          <w:rFonts w:ascii="Times New Roman" w:hAnsi="Times New Roman" w:cs="Times New Roman"/>
        </w:rPr>
        <w:t>clinical teams and transport services.</w:t>
      </w:r>
    </w:p>
    <w:p w14:paraId="0B0D4E91" w14:textId="35F6FFE3"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Finally, during implementation, there was leadership turnover, with several ICU managers leaving their roles within a relatively short period. During major organizational change </w:t>
      </w:r>
      <w:r w:rsidRPr="003C60E1">
        <w:rPr>
          <w:rFonts w:ascii="Times New Roman" w:hAnsi="Times New Roman" w:cs="Times New Roman"/>
        </w:rPr>
        <w:lastRenderedPageBreak/>
        <w:t>initiatives, leadership continuity is particularly important, and managerial instability is likely to reduce consistency in communication, decision-making, and staff support.</w:t>
      </w:r>
    </w:p>
    <w:p w14:paraId="188BB864" w14:textId="5FC36D72"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On the one hand, these factors together increased structural capacity, which was the goal; on the other hand, workforce stability and clinical mentorship capacity remained limited.</w:t>
      </w:r>
    </w:p>
    <w:p w14:paraId="432D9225" w14:textId="77777777"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Systems Thinking &amp; Health System Capacity</w:t>
      </w:r>
    </w:p>
    <w:p w14:paraId="464C69A9" w14:textId="674AA147"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When we look at the ICU expansion from a broader perspective, it is easy to see that the change did not occur in isolation. One reason is that hospitals operate as highly interconnected environments where decisions in one department can quickly affect others. Adding ICU beds, for example, may seem like a straightforward solution to capacity pressures. </w:t>
      </w:r>
      <w:proofErr w:type="gramStart"/>
      <w:r w:rsidRPr="003C60E1">
        <w:rPr>
          <w:rFonts w:ascii="Times New Roman" w:hAnsi="Times New Roman" w:cs="Times New Roman"/>
        </w:rPr>
        <w:t>In reality, things</w:t>
      </w:r>
      <w:proofErr w:type="gramEnd"/>
      <w:r w:rsidRPr="003C60E1">
        <w:rPr>
          <w:rFonts w:ascii="Times New Roman" w:hAnsi="Times New Roman" w:cs="Times New Roman"/>
        </w:rPr>
        <w:t xml:space="preserve"> are different because changes like this tend to ripple through staffing, patient flow, and workload, across the entire organization. Systems thinking helps make sense of these kinds of ripple effects.</w:t>
      </w:r>
    </w:p>
    <w:p w14:paraId="7C7E5886" w14:textId="351A0C17"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Recent research on nurse leadership highlights the importance of systems </w:t>
      </w:r>
      <w:proofErr w:type="gramStart"/>
      <w:r w:rsidRPr="003C60E1">
        <w:rPr>
          <w:rFonts w:ascii="Times New Roman" w:hAnsi="Times New Roman" w:cs="Times New Roman"/>
        </w:rPr>
        <w:t>thinking:</w:t>
      </w:r>
      <w:proofErr w:type="gramEnd"/>
      <w:r w:rsidRPr="003C60E1">
        <w:rPr>
          <w:rFonts w:ascii="Times New Roman" w:hAnsi="Times New Roman" w:cs="Times New Roman"/>
        </w:rPr>
        <w:t xml:space="preserve"> decisions made in one part of a hospital often influence outcomes in other parts (Notarnicola et al., 2026). Applying this perspective to the Ajax Pickering case shows that increasing ICU capacity altered relationships throughout the entire hospital system. Expanding ICU beds without recruiting experienced critical care staff only adds to the pressure on the department’s existing clinicians. In practice, having new graduate nurses present meant that the more experienced nurses were responsible for providing</w:t>
      </w:r>
      <w:r w:rsidR="00DA237A" w:rsidRPr="003C60E1">
        <w:rPr>
          <w:rFonts w:ascii="Times New Roman" w:hAnsi="Times New Roman" w:cs="Times New Roman"/>
        </w:rPr>
        <w:t xml:space="preserve"> </w:t>
      </w:r>
      <w:r w:rsidRPr="003C60E1">
        <w:rPr>
          <w:rFonts w:ascii="Times New Roman" w:hAnsi="Times New Roman" w:cs="Times New Roman"/>
        </w:rPr>
        <w:t>ongoing supervision, which effectively redistributed the workload across the unit.</w:t>
      </w:r>
    </w:p>
    <w:p w14:paraId="16170E9C" w14:textId="434EAC64"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Bed numbers alone do not capture what hospital capacity really means. </w:t>
      </w:r>
      <w:proofErr w:type="gramStart"/>
      <w:r w:rsidRPr="003C60E1">
        <w:rPr>
          <w:rFonts w:ascii="Times New Roman" w:hAnsi="Times New Roman" w:cs="Times New Roman"/>
        </w:rPr>
        <w:t>In reality, capacity</w:t>
      </w:r>
      <w:proofErr w:type="gramEnd"/>
      <w:r w:rsidRPr="003C60E1">
        <w:rPr>
          <w:rFonts w:ascii="Times New Roman" w:hAnsi="Times New Roman" w:cs="Times New Roman"/>
        </w:rPr>
        <w:t xml:space="preserve"> depends on a combination of factors: skilled staff, specialized services, available equipment, and the efficiency with which patients are moved through different departments. When experienced staff are limited, a unit’s operational capacity may fall short of </w:t>
      </w:r>
      <w:r w:rsidRPr="003C60E1">
        <w:rPr>
          <w:rFonts w:ascii="Times New Roman" w:hAnsi="Times New Roman" w:cs="Times New Roman"/>
        </w:rPr>
        <w:lastRenderedPageBreak/>
        <w:t>its physical bed count. In this case, expanding ICU beds without also expanding recruitment of experienced critical care staff demonstrates that structural capacity alone does not determine a healthcare system’s functional capacity.</w:t>
      </w:r>
    </w:p>
    <w:p w14:paraId="0D9828CD" w14:textId="77777777"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Lewin’s Change Model</w:t>
      </w:r>
    </w:p>
    <w:p w14:paraId="216207CE" w14:textId="3C385098"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One way to think about what happened during the ICU expansion is through Lewin’s model of organizational change. The model describes how organizations gradually move away from established routines, experiment with new ways of working, and eventually settle into new patterns. (Hussain et al., 2018). In practice, however, these stages rarely unfold in a perfectly orderly way. The experience at Ajax Pickering suggests that the hospital may still be navigating the middle phase of change rather than having reached a fully stable stage.</w:t>
      </w:r>
    </w:p>
    <w:p w14:paraId="48D240AD" w14:textId="5778B002"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The unfreezing stage involves readying individuals and organizations to move away from established routines. In this context, urgency was driven primarily by external pressures, including provincial funding directives and rising patient demand. However, Hussain et al. (2018) emphasize that successful unfreezing requires meaningful employee involvement. In the ICU expansion, frontline clinicians had a limited say in how the change would be implemented. Without opportunities to influence implementation strategies, staff may see structural changes as externally imposed rather than collaboratively developed improvements.</w:t>
      </w:r>
    </w:p>
    <w:p w14:paraId="45081AB1" w14:textId="4C051FEE"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The movement phase included physical renovations to the ICU, recruiting new staff, and adjusting patient flow processes. However, hiring new graduate nurses increased the responsibilities of experienced staff who were already managing critically ill patients. These seasoned nurses often assumed informal mentorship roles while continuing to handle complex patient care.</w:t>
      </w:r>
    </w:p>
    <w:p w14:paraId="62F4DD14" w14:textId="7BA6DA2E"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lastRenderedPageBreak/>
        <w:t>The refreezing stage stabilizes new practices and routines. Persistent staffing shortages and leadership turnover suggest that the ICU has not yet reached a stable operational phase. From this perspective, the ICU’s ongoing staffing instability and mentorship gaps suggest that the organization remains in the movement phase of change rather than having achieved a stable refreezing stage.</w:t>
      </w:r>
    </w:p>
    <w:p w14:paraId="66D22DDE" w14:textId="77777777"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Kotter’s Change Framework &amp; Design Thinking</w:t>
      </w:r>
    </w:p>
    <w:p w14:paraId="2836832E" w14:textId="4B0D060E"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Leadership also shapes how organizational changes are experienced on the ground. During large transitions, staff often look to leaders for direction, reassurance, and clarity about expectations. Kotter’s work on change leadership highlights the importance of strong guiding coalitions during these periods. When leadership roles shift frequently, however, maintaining that sense of coordination can become difficult.</w:t>
      </w:r>
    </w:p>
    <w:p w14:paraId="4E5333E8" w14:textId="4DAE1DC7"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Design thinking approaches emphasize empathy, stakeholder engagement, and iterative learning during change processes (Engmann et al., 2024). Applying this perspective suggests that involving experienced ICU nurses more during planning phases could have improved alignment between infrastructure expansion and workforce capacity. The lack of sustained leadership continuity during the ICU expansion likely weakened the guiding coalition needed to coordinate implementation and support frontline staff during the transition.</w:t>
      </w:r>
    </w:p>
    <w:p w14:paraId="68FB2DF6" w14:textId="77777777"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Sensemaking &amp; Change Readiness</w:t>
      </w:r>
    </w:p>
    <w:p w14:paraId="071F18AD" w14:textId="2BB93B34"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Organizational changes are rarely interpreted the same way by everyone involved (Weick et al., 2005). For administrators, expanding ICU capacity may appear to be a logical response to system pressures. Frontline clinicians, however, often experience these changes through their day-to-day workload. Sensemaking theory focuses on how individuals interpret organizational </w:t>
      </w:r>
      <w:r w:rsidRPr="003C60E1">
        <w:rPr>
          <w:rFonts w:ascii="Times New Roman" w:hAnsi="Times New Roman" w:cs="Times New Roman"/>
        </w:rPr>
        <w:lastRenderedPageBreak/>
        <w:t>changes through these everyday experiences and conversations with colleagues (Wasieleski et al., 2024).</w:t>
      </w:r>
    </w:p>
    <w:p w14:paraId="4F026450" w14:textId="184E84FA" w:rsidR="00F6536E" w:rsidRPr="003C60E1" w:rsidRDefault="007A4951" w:rsidP="0041588E">
      <w:pPr>
        <w:adjustRightInd w:val="0"/>
        <w:snapToGrid w:val="0"/>
        <w:spacing w:line="480" w:lineRule="auto"/>
        <w:ind w:firstLine="720"/>
        <w:rPr>
          <w:rFonts w:ascii="Times New Roman" w:hAnsi="Times New Roman" w:cs="Times New Roman"/>
        </w:rPr>
      </w:pPr>
      <w:r>
        <w:rPr>
          <w:rFonts w:ascii="Times New Roman" w:hAnsi="Times New Roman" w:cs="Times New Roman"/>
        </w:rPr>
        <w:t>From</w:t>
      </w:r>
      <w:r w:rsidR="00F6536E" w:rsidRPr="003C60E1">
        <w:rPr>
          <w:rFonts w:ascii="Times New Roman" w:hAnsi="Times New Roman" w:cs="Times New Roman"/>
        </w:rPr>
        <w:t xml:space="preserve"> an administrative perspective, the ICU expansion increased system capacity. However, from frontline clinicians’ perspectives, the same change often felt like additional workload, more teaching duties, and </w:t>
      </w:r>
      <w:r>
        <w:rPr>
          <w:rFonts w:ascii="Times New Roman" w:hAnsi="Times New Roman" w:cs="Times New Roman"/>
        </w:rPr>
        <w:t>greater professional</w:t>
      </w:r>
      <w:r w:rsidR="00F6536E" w:rsidRPr="003C60E1">
        <w:rPr>
          <w:rFonts w:ascii="Times New Roman" w:hAnsi="Times New Roman" w:cs="Times New Roman"/>
        </w:rPr>
        <w:t xml:space="preserve"> accountability.</w:t>
      </w:r>
    </w:p>
    <w:p w14:paraId="29CF2522" w14:textId="7C21008B" w:rsidR="00F6536E" w:rsidRPr="003C60E1" w:rsidRDefault="00F6536E" w:rsidP="0041588E">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As a result, different organizational levels interpreted the expansion in various ways, with administrators viewing the increase in beds as a sign of capacity growth. At the same time, frontline nurses mainly experienced the change through a heavier workload and additional mentorship responsibilities.</w:t>
      </w:r>
    </w:p>
    <w:p w14:paraId="0AD05B8D" w14:textId="77777777"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Soft Systems Methodology</w:t>
      </w:r>
    </w:p>
    <w:p w14:paraId="7654EDA9" w14:textId="126DD6F7" w:rsidR="00F6536E" w:rsidRPr="003C60E1" w:rsidRDefault="007A4951" w:rsidP="007A4951">
      <w:pPr>
        <w:adjustRightInd w:val="0"/>
        <w:snapToGrid w:val="0"/>
        <w:spacing w:line="480" w:lineRule="auto"/>
        <w:ind w:firstLine="720"/>
        <w:rPr>
          <w:rFonts w:ascii="Times New Roman" w:hAnsi="Times New Roman" w:cs="Times New Roman"/>
        </w:rPr>
      </w:pPr>
      <w:r>
        <w:rPr>
          <w:rFonts w:ascii="Times New Roman" w:hAnsi="Times New Roman" w:cs="Times New Roman"/>
        </w:rPr>
        <w:t>Situations</w:t>
      </w:r>
      <w:r w:rsidR="00F6536E" w:rsidRPr="003C60E1">
        <w:rPr>
          <w:rFonts w:ascii="Times New Roman" w:hAnsi="Times New Roman" w:cs="Times New Roman"/>
        </w:rPr>
        <w:t xml:space="preserve"> like the ICU expansion often involve several groups of people who see the situation differently. Policymakers may focus on increasing system capacity, while hospital administrators concentrate on operational efficiency. At the same time, frontline clinicians are primarily concerned with patient care and workload. Soft Systems Methodology is useful in situations like this because it recognizes that complex problems are shaped by multiple perspectives rather than a single objective viewpoint (Augustsson et al., 2020).</w:t>
      </w:r>
    </w:p>
    <w:p w14:paraId="332E6A80" w14:textId="77777777"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Structuration &amp; Organizational Practice</w:t>
      </w:r>
    </w:p>
    <w:p w14:paraId="16B87EF4" w14:textId="1ADC6CF7" w:rsidR="00F6536E" w:rsidRPr="003C60E1" w:rsidRDefault="00F6536E" w:rsidP="007A4951">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Structuration theory suggests that organizational structures both influence human actions and are reinforced through everyday practices (Ortmann et al., 2023). In this situation, experienced nurses created new mentorship routines in response to staffing shortages. Over time, these routines may become fundamental parts of the ICU’s operational culture. These adaptive responses demonstrate how frontline practices gradually reshape organizational structures.</w:t>
      </w:r>
    </w:p>
    <w:p w14:paraId="3EEB10EF" w14:textId="77777777" w:rsidR="00F6536E" w:rsidRPr="00F81EFF" w:rsidRDefault="00F6536E" w:rsidP="00F6536E">
      <w:pPr>
        <w:adjustRightInd w:val="0"/>
        <w:snapToGrid w:val="0"/>
        <w:spacing w:line="480" w:lineRule="auto"/>
        <w:rPr>
          <w:rFonts w:ascii="Times New Roman" w:hAnsi="Times New Roman" w:cs="Times New Roman"/>
          <w:b/>
          <w:bCs/>
        </w:rPr>
      </w:pPr>
      <w:r w:rsidRPr="00F81EFF">
        <w:rPr>
          <w:rFonts w:ascii="Times New Roman" w:hAnsi="Times New Roman" w:cs="Times New Roman"/>
          <w:b/>
          <w:bCs/>
        </w:rPr>
        <w:t>Power &amp; Organizational Change</w:t>
      </w:r>
    </w:p>
    <w:p w14:paraId="5AF586CD" w14:textId="5B746260" w:rsidR="00F6536E" w:rsidRPr="003C60E1" w:rsidRDefault="00F6536E" w:rsidP="00F81EFF">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lastRenderedPageBreak/>
        <w:t>Organizational change is also influenced by power dynamics within institutions. Carter et al. (2024) argue that power relations remain central to organizational life even when leadership discourse emphasizes collaboration.</w:t>
      </w:r>
    </w:p>
    <w:p w14:paraId="1841487B" w14:textId="1AEEDC90" w:rsidR="00F6536E" w:rsidRPr="003C60E1" w:rsidRDefault="00F6536E" w:rsidP="00F81EFF">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In the ICU expansion case, provincial funding directives mandated the increase in structural capacity, while frontline clinicians were tasked with implementing the change within operational constraints. Understanding these power dynamics helps explain why structural capacity initiatives often shift operational strain rather than eliminate it.</w:t>
      </w:r>
    </w:p>
    <w:p w14:paraId="1B8660A4" w14:textId="77777777" w:rsidR="00F6536E" w:rsidRPr="003C60E1" w:rsidRDefault="00F6536E" w:rsidP="00F6536E">
      <w:pPr>
        <w:adjustRightInd w:val="0"/>
        <w:snapToGrid w:val="0"/>
        <w:spacing w:line="480" w:lineRule="auto"/>
        <w:rPr>
          <w:rFonts w:ascii="Times New Roman" w:hAnsi="Times New Roman" w:cs="Times New Roman"/>
          <w:b/>
          <w:bCs/>
        </w:rPr>
      </w:pPr>
      <w:r w:rsidRPr="003C60E1">
        <w:rPr>
          <w:rFonts w:ascii="Times New Roman" w:hAnsi="Times New Roman" w:cs="Times New Roman"/>
          <w:b/>
          <w:bCs/>
        </w:rPr>
        <w:t>Recommendations</w:t>
      </w:r>
    </w:p>
    <w:p w14:paraId="0D3631C6" w14:textId="2EDD8108" w:rsidR="00F6536E" w:rsidRPr="003C60E1" w:rsidRDefault="00F6536E" w:rsidP="00F6536E">
      <w:pPr>
        <w:adjustRightInd w:val="0"/>
        <w:snapToGrid w:val="0"/>
        <w:spacing w:line="480" w:lineRule="auto"/>
        <w:rPr>
          <w:rFonts w:ascii="Times New Roman" w:hAnsi="Times New Roman" w:cs="Times New Roman"/>
        </w:rPr>
      </w:pPr>
      <w:r w:rsidRPr="003C60E1">
        <w:rPr>
          <w:rFonts w:ascii="Times New Roman" w:hAnsi="Times New Roman" w:cs="Times New Roman"/>
        </w:rPr>
        <w:t>The hospital could strengthen the long-term sustainability of its ICU expansion in a few ways</w:t>
      </w:r>
      <w:r w:rsidR="00F81EFF">
        <w:rPr>
          <w:rFonts w:ascii="Times New Roman" w:hAnsi="Times New Roman" w:cs="Times New Roman"/>
        </w:rPr>
        <w:t>:</w:t>
      </w:r>
    </w:p>
    <w:p w14:paraId="73202343" w14:textId="02ABD4FF" w:rsidR="00F6536E" w:rsidRPr="003C60E1" w:rsidRDefault="00F6536E" w:rsidP="00F81EFF">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One practical step would be to examine patient flow more closely across the organization. Understanding how additional ICU beds affect emergency department congestion and inpatient bed availability could help leaders identify where adjustments may be needed.</w:t>
      </w:r>
    </w:p>
    <w:p w14:paraId="32F5B33B" w14:textId="1516D9E3" w:rsidR="00F6536E" w:rsidRPr="003C60E1" w:rsidRDefault="00F6536E" w:rsidP="00F81EFF">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Workforce development should align with structural growth. Recruitment efforts need to focus on experienced critical care nurses, while mentorship programs should include protected preceptorship time to support new graduate nurses entering ICU practice.</w:t>
      </w:r>
    </w:p>
    <w:p w14:paraId="16E9BBDF" w14:textId="28B18321" w:rsidR="00F6536E" w:rsidRPr="003C60E1" w:rsidRDefault="00F6536E" w:rsidP="00F81EFF">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Leadership continuity should be reinforced through succession planning and leadership development initiatives, which may help to maintain management support during major organizational changes.</w:t>
      </w:r>
    </w:p>
    <w:p w14:paraId="1FD920E5" w14:textId="33EA4600" w:rsidR="00F6536E" w:rsidRPr="003C60E1" w:rsidRDefault="00F6536E" w:rsidP="005924BA">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Hospitals should also assess the feasibility of establishing CRRT capability at the Ajax Pickering site to reduce inter-facility transfers and enhance continuity of care.</w:t>
      </w:r>
    </w:p>
    <w:p w14:paraId="67CFC496" w14:textId="3D8C3050" w:rsidR="00F6536E" w:rsidRPr="003C60E1" w:rsidRDefault="00F6536E" w:rsidP="005924BA">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Finally, future change initiatives should include structured consultation with frontline clinicians to enhance engagement, strengthen sensemaking, and promote sustainable implementation.</w:t>
      </w:r>
    </w:p>
    <w:p w14:paraId="28B58EB4" w14:textId="77777777" w:rsidR="00F6536E" w:rsidRPr="003C60E1" w:rsidRDefault="00F6536E" w:rsidP="00047174">
      <w:pPr>
        <w:adjustRightInd w:val="0"/>
        <w:snapToGrid w:val="0"/>
        <w:spacing w:line="480" w:lineRule="auto"/>
        <w:jc w:val="center"/>
        <w:rPr>
          <w:rFonts w:ascii="Times New Roman" w:hAnsi="Times New Roman" w:cs="Times New Roman"/>
          <w:b/>
          <w:bCs/>
        </w:rPr>
      </w:pPr>
      <w:r w:rsidRPr="003C60E1">
        <w:rPr>
          <w:rFonts w:ascii="Times New Roman" w:hAnsi="Times New Roman" w:cs="Times New Roman"/>
          <w:b/>
          <w:bCs/>
        </w:rPr>
        <w:lastRenderedPageBreak/>
        <w:t>Conclusion</w:t>
      </w:r>
    </w:p>
    <w:p w14:paraId="58304B8F" w14:textId="46263D63" w:rsidR="00F6536E" w:rsidRPr="003C60E1" w:rsidRDefault="00F6536E" w:rsidP="005924BA">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 xml:space="preserve">The ICU expansion at Ajax Pickering highlights how complicated structural change can be in publicly funded healthcare systems. On paper, adding ICU beds seems simple, </w:t>
      </w:r>
      <w:proofErr w:type="gramStart"/>
      <w:r w:rsidRPr="003C60E1">
        <w:rPr>
          <w:rFonts w:ascii="Times New Roman" w:hAnsi="Times New Roman" w:cs="Times New Roman"/>
        </w:rPr>
        <w:t>but in reality,</w:t>
      </w:r>
      <w:proofErr w:type="gramEnd"/>
      <w:r w:rsidRPr="003C60E1">
        <w:rPr>
          <w:rFonts w:ascii="Times New Roman" w:hAnsi="Times New Roman" w:cs="Times New Roman"/>
        </w:rPr>
        <w:t xml:space="preserve"> it rarely is. Although the project did increase the physical ICU capacity, multiple operational challenges arose, including staffing shortages, difficulties in recruiting new graduate nurses, limited mentorship from senior nurses, and leadership turnover.</w:t>
      </w:r>
    </w:p>
    <w:p w14:paraId="4FCF8151" w14:textId="440DCE04" w:rsidR="00F6536E" w:rsidRPr="003C60E1" w:rsidRDefault="00F6536E" w:rsidP="005924BA">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Looking across these different perspectives, from Lewin’s change model to sensemaking theory, we see a similar pattern. Structural solutions alone rarely resolve the deeper pressures that lie within healthcare systems. For sustainable change to take place, there needs to be an alignment among infrastructure development, workforce skills, leadership stability, and system coordination.</w:t>
      </w:r>
    </w:p>
    <w:p w14:paraId="66A0EE7E" w14:textId="60A53B21" w:rsidR="00F6536E" w:rsidRPr="003C60E1" w:rsidRDefault="00F6536E" w:rsidP="00F76F50">
      <w:pPr>
        <w:adjustRightInd w:val="0"/>
        <w:snapToGrid w:val="0"/>
        <w:spacing w:line="480" w:lineRule="auto"/>
        <w:ind w:firstLine="720"/>
        <w:rPr>
          <w:rFonts w:ascii="Times New Roman" w:hAnsi="Times New Roman" w:cs="Times New Roman"/>
        </w:rPr>
      </w:pPr>
      <w:r w:rsidRPr="003C60E1">
        <w:rPr>
          <w:rFonts w:ascii="Times New Roman" w:hAnsi="Times New Roman" w:cs="Times New Roman"/>
        </w:rPr>
        <w:t>From a frontline clinical perspective, the lessons in this case go beyond structural planning, underscoring the importance of aligning workforce readiness with infrastructure development. It is true that in intensive care units, patient safety depends on bed availability. However, it is also true that patient safety depends on skilled clinicians who can recognize subtle signs of deterioration and support less experienced staff. When senior nurses are tasked with managing critically ill patients while also monitoring novice clinicians, the ICU’s operational capacity risks a decline. Even if there has been an increase in the number of physical beds, this case emphasizes for healthcare leaders that, to achieve sustainable system capacity, a hospital’s focus should be on integrating infrastructure, clinical expertise, and supportive leadership, rather than relying solely on structural expansion.</w:t>
      </w:r>
    </w:p>
    <w:p w14:paraId="46EA5175" w14:textId="77777777" w:rsidR="00F6536E" w:rsidRPr="003C60E1" w:rsidRDefault="00F6536E" w:rsidP="00F6536E">
      <w:pPr>
        <w:adjustRightInd w:val="0"/>
        <w:snapToGrid w:val="0"/>
        <w:spacing w:line="480" w:lineRule="auto"/>
        <w:rPr>
          <w:rFonts w:ascii="Times New Roman" w:hAnsi="Times New Roman" w:cs="Times New Roman"/>
        </w:rPr>
      </w:pPr>
    </w:p>
    <w:p w14:paraId="2643CEBF" w14:textId="77777777" w:rsidR="00F6536E" w:rsidRPr="003C60E1" w:rsidRDefault="00F6536E" w:rsidP="00F6536E">
      <w:pPr>
        <w:adjustRightInd w:val="0"/>
        <w:snapToGrid w:val="0"/>
        <w:spacing w:line="480" w:lineRule="auto"/>
        <w:rPr>
          <w:rFonts w:ascii="Times New Roman" w:hAnsi="Times New Roman" w:cs="Times New Roman"/>
        </w:rPr>
      </w:pPr>
    </w:p>
    <w:p w14:paraId="125F35AE" w14:textId="77777777" w:rsidR="00F6536E" w:rsidRPr="0087492D" w:rsidRDefault="00F6536E" w:rsidP="00047174">
      <w:pPr>
        <w:adjustRightInd w:val="0"/>
        <w:snapToGrid w:val="0"/>
        <w:spacing w:line="480" w:lineRule="auto"/>
        <w:jc w:val="center"/>
        <w:rPr>
          <w:rFonts w:ascii="Times New Roman" w:hAnsi="Times New Roman" w:cs="Times New Roman"/>
          <w:b/>
          <w:bCs/>
        </w:rPr>
      </w:pPr>
      <w:r w:rsidRPr="0087492D">
        <w:rPr>
          <w:rFonts w:ascii="Times New Roman" w:hAnsi="Times New Roman" w:cs="Times New Roman"/>
          <w:b/>
          <w:bCs/>
        </w:rPr>
        <w:lastRenderedPageBreak/>
        <w:t>References</w:t>
      </w:r>
    </w:p>
    <w:p w14:paraId="65072FA1" w14:textId="375DFA55" w:rsidR="001C09ED" w:rsidRPr="003C60E1" w:rsidRDefault="001C09ED" w:rsidP="001C09ED">
      <w:pPr>
        <w:adjustRightInd w:val="0"/>
        <w:snapToGrid w:val="0"/>
        <w:spacing w:line="480" w:lineRule="auto"/>
        <w:ind w:left="720" w:hanging="720"/>
        <w:rPr>
          <w:rFonts w:ascii="Times New Roman" w:hAnsi="Times New Roman" w:cs="Times New Roman"/>
        </w:rPr>
      </w:pPr>
      <w:r w:rsidRPr="001C09ED">
        <w:rPr>
          <w:rFonts w:ascii="Times New Roman" w:hAnsi="Times New Roman" w:cs="Times New Roman"/>
        </w:rPr>
        <w:t xml:space="preserve">Augustsson, H., </w:t>
      </w:r>
      <w:proofErr w:type="spellStart"/>
      <w:r w:rsidRPr="001C09ED">
        <w:rPr>
          <w:rFonts w:ascii="Times New Roman" w:hAnsi="Times New Roman" w:cs="Times New Roman"/>
        </w:rPr>
        <w:t>Churruca</w:t>
      </w:r>
      <w:proofErr w:type="spellEnd"/>
      <w:r w:rsidRPr="001C09ED">
        <w:rPr>
          <w:rFonts w:ascii="Times New Roman" w:hAnsi="Times New Roman" w:cs="Times New Roman"/>
        </w:rPr>
        <w:t>, K., &amp; Braithwaite, J. (2020). Change and improvement 50 years in the making: a scoping review of the use of soft systems methodology in healthcare. </w:t>
      </w:r>
      <w:r w:rsidRPr="001C09ED">
        <w:rPr>
          <w:rFonts w:ascii="Times New Roman" w:hAnsi="Times New Roman" w:cs="Times New Roman"/>
          <w:i/>
          <w:iCs/>
        </w:rPr>
        <w:t>BMC Health Services Research</w:t>
      </w:r>
      <w:r w:rsidRPr="001C09ED">
        <w:rPr>
          <w:rFonts w:ascii="Times New Roman" w:hAnsi="Times New Roman" w:cs="Times New Roman"/>
        </w:rPr>
        <w:t>, </w:t>
      </w:r>
      <w:r w:rsidRPr="001C09ED">
        <w:rPr>
          <w:rFonts w:ascii="Times New Roman" w:hAnsi="Times New Roman" w:cs="Times New Roman"/>
          <w:i/>
          <w:iCs/>
        </w:rPr>
        <w:t>20</w:t>
      </w:r>
      <w:r w:rsidRPr="001C09ED">
        <w:rPr>
          <w:rFonts w:ascii="Times New Roman" w:hAnsi="Times New Roman" w:cs="Times New Roman"/>
        </w:rPr>
        <w:t>(1). https://0-doi-org.aupac.lib.athabascau.ca/10.1186/s12913-020-05929-5</w:t>
      </w:r>
    </w:p>
    <w:p w14:paraId="7AA286B2" w14:textId="37A8E287" w:rsidR="00F6536E" w:rsidRPr="003C60E1" w:rsidRDefault="00F6536E" w:rsidP="00047174">
      <w:pPr>
        <w:adjustRightInd w:val="0"/>
        <w:snapToGrid w:val="0"/>
        <w:spacing w:line="480" w:lineRule="auto"/>
        <w:ind w:left="720" w:hanging="720"/>
        <w:rPr>
          <w:rFonts w:ascii="Times New Roman" w:hAnsi="Times New Roman" w:cs="Times New Roman"/>
        </w:rPr>
      </w:pPr>
      <w:r w:rsidRPr="003C60E1">
        <w:rPr>
          <w:rFonts w:ascii="Times New Roman" w:hAnsi="Times New Roman" w:cs="Times New Roman"/>
        </w:rPr>
        <w:t>Canadian Institute for Health Information. (2024). Critical care services in Canada: Annual report 2023. CIHI. https://www.cihi.ca</w:t>
      </w:r>
    </w:p>
    <w:p w14:paraId="48164297" w14:textId="77777777" w:rsidR="00F6536E" w:rsidRPr="003C60E1" w:rsidRDefault="00F6536E" w:rsidP="00047174">
      <w:pPr>
        <w:adjustRightInd w:val="0"/>
        <w:snapToGrid w:val="0"/>
        <w:spacing w:line="480" w:lineRule="auto"/>
        <w:ind w:left="720" w:hanging="720"/>
        <w:rPr>
          <w:rFonts w:ascii="Times New Roman" w:hAnsi="Times New Roman" w:cs="Times New Roman"/>
        </w:rPr>
      </w:pPr>
      <w:r w:rsidRPr="003C60E1">
        <w:rPr>
          <w:rFonts w:ascii="Times New Roman" w:hAnsi="Times New Roman" w:cs="Times New Roman"/>
        </w:rPr>
        <w:t>Carter, C., Badham, R., Whittle, A., &amp; Clegg, S. (2024). Reconstituting the centrality of power in management and organization studies. European Management Review, 21(2), 263–276. https://doi.org/10.1111/emre.12663</w:t>
      </w:r>
    </w:p>
    <w:p w14:paraId="1F67332E" w14:textId="6BC7382D" w:rsidR="00F24B19" w:rsidRPr="003C60E1" w:rsidRDefault="00F24B19" w:rsidP="00F24B19">
      <w:pPr>
        <w:adjustRightInd w:val="0"/>
        <w:snapToGrid w:val="0"/>
        <w:spacing w:line="480" w:lineRule="auto"/>
        <w:ind w:left="720" w:hanging="720"/>
        <w:rPr>
          <w:rFonts w:ascii="Times New Roman" w:hAnsi="Times New Roman" w:cs="Times New Roman"/>
        </w:rPr>
      </w:pPr>
      <w:r w:rsidRPr="00F24B19">
        <w:rPr>
          <w:rFonts w:ascii="Times New Roman" w:hAnsi="Times New Roman" w:cs="Times New Roman"/>
        </w:rPr>
        <w:t xml:space="preserve">Engmann, A., </w:t>
      </w:r>
      <w:proofErr w:type="spellStart"/>
      <w:r w:rsidRPr="00F24B19">
        <w:rPr>
          <w:rFonts w:ascii="Times New Roman" w:hAnsi="Times New Roman" w:cs="Times New Roman"/>
        </w:rPr>
        <w:t>Eluerkeh</w:t>
      </w:r>
      <w:proofErr w:type="spellEnd"/>
      <w:r w:rsidRPr="00F24B19">
        <w:rPr>
          <w:rFonts w:ascii="Times New Roman" w:hAnsi="Times New Roman" w:cs="Times New Roman"/>
        </w:rPr>
        <w:t xml:space="preserve">, E., &amp; </w:t>
      </w:r>
      <w:proofErr w:type="spellStart"/>
      <w:r w:rsidRPr="00F24B19">
        <w:rPr>
          <w:rFonts w:ascii="Times New Roman" w:hAnsi="Times New Roman" w:cs="Times New Roman"/>
        </w:rPr>
        <w:t>Ngwakwe</w:t>
      </w:r>
      <w:proofErr w:type="spellEnd"/>
      <w:r w:rsidRPr="00F24B19">
        <w:rPr>
          <w:rFonts w:ascii="Times New Roman" w:hAnsi="Times New Roman" w:cs="Times New Roman"/>
        </w:rPr>
        <w:t>, C. (2024). Leading Change by Design - Integrating Design thinking with Kotter’s 8 Step Process. </w:t>
      </w:r>
      <w:r w:rsidRPr="00F24B19">
        <w:rPr>
          <w:rFonts w:ascii="Times New Roman" w:hAnsi="Times New Roman" w:cs="Times New Roman"/>
          <w:i/>
          <w:iCs/>
        </w:rPr>
        <w:t>HOLISTICA: Journal of Business &amp; Public Administration</w:t>
      </w:r>
      <w:r w:rsidRPr="00F24B19">
        <w:rPr>
          <w:rFonts w:ascii="Times New Roman" w:hAnsi="Times New Roman" w:cs="Times New Roman"/>
        </w:rPr>
        <w:t>, </w:t>
      </w:r>
      <w:r w:rsidRPr="00F24B19">
        <w:rPr>
          <w:rFonts w:ascii="Times New Roman" w:hAnsi="Times New Roman" w:cs="Times New Roman"/>
          <w:i/>
          <w:iCs/>
        </w:rPr>
        <w:t>15</w:t>
      </w:r>
      <w:r w:rsidRPr="00F24B19">
        <w:rPr>
          <w:rFonts w:ascii="Times New Roman" w:hAnsi="Times New Roman" w:cs="Times New Roman"/>
        </w:rPr>
        <w:t>(2), 127–141. https://0-doi-org.aupac.lib.athabascau.ca/10.2478/hjbpa-2024-0018</w:t>
      </w:r>
    </w:p>
    <w:p w14:paraId="00FEA67A" w14:textId="7113CB32" w:rsidR="00F6536E" w:rsidRPr="003C60E1" w:rsidRDefault="00F6536E" w:rsidP="00047174">
      <w:pPr>
        <w:adjustRightInd w:val="0"/>
        <w:snapToGrid w:val="0"/>
        <w:spacing w:line="480" w:lineRule="auto"/>
        <w:ind w:left="720" w:hanging="720"/>
        <w:rPr>
          <w:rFonts w:ascii="Times New Roman" w:hAnsi="Times New Roman" w:cs="Times New Roman"/>
        </w:rPr>
      </w:pPr>
      <w:r w:rsidRPr="003C60E1">
        <w:rPr>
          <w:rFonts w:ascii="Times New Roman" w:hAnsi="Times New Roman" w:cs="Times New Roman"/>
        </w:rPr>
        <w:t>Hussain, S. T., Lei, S., Akram, T., Haider, M. J., Hussain, S. H., &amp; Ali, M. (2018). Kurt Lewin’s change model: A critical review of the role of leadership and employee involvement in organizational change. Journal of Innovation &amp; Knowledge, 3(3), 123–127. https://doi.org/10.1016/j.jik.2016.07.002</w:t>
      </w:r>
    </w:p>
    <w:p w14:paraId="44455A21" w14:textId="77777777" w:rsidR="00F6536E" w:rsidRPr="003C60E1" w:rsidRDefault="00F6536E" w:rsidP="00047174">
      <w:pPr>
        <w:adjustRightInd w:val="0"/>
        <w:snapToGrid w:val="0"/>
        <w:spacing w:line="480" w:lineRule="auto"/>
        <w:ind w:left="720" w:hanging="720"/>
        <w:rPr>
          <w:rFonts w:ascii="Times New Roman" w:hAnsi="Times New Roman" w:cs="Times New Roman"/>
        </w:rPr>
      </w:pPr>
      <w:r w:rsidRPr="003C60E1">
        <w:rPr>
          <w:rFonts w:ascii="Times New Roman" w:hAnsi="Times New Roman" w:cs="Times New Roman"/>
        </w:rPr>
        <w:t>Lakeridge Health. (2023). Annual report 2022–2023. Lakeridge Health.</w:t>
      </w:r>
    </w:p>
    <w:p w14:paraId="1FB6113F" w14:textId="77777777" w:rsidR="00591FE3" w:rsidRPr="00591FE3" w:rsidRDefault="00591FE3" w:rsidP="00591FE3">
      <w:pPr>
        <w:adjustRightInd w:val="0"/>
        <w:snapToGrid w:val="0"/>
        <w:spacing w:line="480" w:lineRule="auto"/>
        <w:ind w:left="720" w:hanging="720"/>
        <w:rPr>
          <w:rFonts w:ascii="Times New Roman" w:hAnsi="Times New Roman" w:cs="Times New Roman"/>
        </w:rPr>
      </w:pPr>
      <w:r w:rsidRPr="00591FE3">
        <w:rPr>
          <w:rFonts w:ascii="Times New Roman" w:hAnsi="Times New Roman" w:cs="Times New Roman"/>
        </w:rPr>
        <w:t xml:space="preserve">Notarnicola, I., Duka, B., </w:t>
      </w:r>
      <w:proofErr w:type="spellStart"/>
      <w:r w:rsidRPr="00591FE3">
        <w:rPr>
          <w:rFonts w:ascii="Times New Roman" w:hAnsi="Times New Roman" w:cs="Times New Roman"/>
        </w:rPr>
        <w:t>Grosha</w:t>
      </w:r>
      <w:proofErr w:type="spellEnd"/>
      <w:r w:rsidRPr="00591FE3">
        <w:rPr>
          <w:rFonts w:ascii="Times New Roman" w:hAnsi="Times New Roman" w:cs="Times New Roman"/>
        </w:rPr>
        <w:t xml:space="preserve">, E., Gioiello, G., Rocco, G., &amp; </w:t>
      </w:r>
      <w:proofErr w:type="spellStart"/>
      <w:r w:rsidRPr="00591FE3">
        <w:rPr>
          <w:rFonts w:ascii="Times New Roman" w:hAnsi="Times New Roman" w:cs="Times New Roman"/>
        </w:rPr>
        <w:t>Stievano</w:t>
      </w:r>
      <w:proofErr w:type="spellEnd"/>
      <w:r w:rsidRPr="00591FE3">
        <w:rPr>
          <w:rFonts w:ascii="Times New Roman" w:hAnsi="Times New Roman" w:cs="Times New Roman"/>
        </w:rPr>
        <w:t>, A. (2026). Exploring the Role of Nurse Leadership Through a Systems Thinking Lens: A Systematic Review of Conceptual and Empirical Evidence. </w:t>
      </w:r>
      <w:r w:rsidRPr="00591FE3">
        <w:rPr>
          <w:rFonts w:ascii="Times New Roman" w:hAnsi="Times New Roman" w:cs="Times New Roman"/>
          <w:i/>
          <w:iCs/>
        </w:rPr>
        <w:t>Journal of Advanced Nursing</w:t>
      </w:r>
      <w:r w:rsidRPr="00591FE3">
        <w:rPr>
          <w:rFonts w:ascii="Times New Roman" w:hAnsi="Times New Roman" w:cs="Times New Roman"/>
        </w:rPr>
        <w:t>, </w:t>
      </w:r>
      <w:r w:rsidRPr="00591FE3">
        <w:rPr>
          <w:rFonts w:ascii="Times New Roman" w:hAnsi="Times New Roman" w:cs="Times New Roman"/>
          <w:i/>
          <w:iCs/>
        </w:rPr>
        <w:t>82</w:t>
      </w:r>
      <w:r w:rsidRPr="00591FE3">
        <w:rPr>
          <w:rFonts w:ascii="Times New Roman" w:hAnsi="Times New Roman" w:cs="Times New Roman"/>
        </w:rPr>
        <w:t>(3), 2036–2047. https://0-doi-org.aupac.lib.athabascau.ca/10.1111/jan.70047</w:t>
      </w:r>
    </w:p>
    <w:p w14:paraId="0EDA19AC" w14:textId="77777777" w:rsidR="00591FE3" w:rsidRPr="003C60E1" w:rsidRDefault="00591FE3" w:rsidP="00047174">
      <w:pPr>
        <w:adjustRightInd w:val="0"/>
        <w:snapToGrid w:val="0"/>
        <w:spacing w:line="480" w:lineRule="auto"/>
        <w:ind w:left="720" w:hanging="720"/>
        <w:rPr>
          <w:rFonts w:ascii="Times New Roman" w:hAnsi="Times New Roman" w:cs="Times New Roman"/>
        </w:rPr>
      </w:pPr>
    </w:p>
    <w:p w14:paraId="0AE151AE" w14:textId="5FA317EF" w:rsidR="00F6536E" w:rsidRPr="003C60E1" w:rsidRDefault="00F6536E" w:rsidP="00047174">
      <w:pPr>
        <w:adjustRightInd w:val="0"/>
        <w:snapToGrid w:val="0"/>
        <w:spacing w:line="480" w:lineRule="auto"/>
        <w:ind w:left="720" w:hanging="720"/>
        <w:rPr>
          <w:rFonts w:ascii="Times New Roman" w:hAnsi="Times New Roman" w:cs="Times New Roman"/>
        </w:rPr>
      </w:pPr>
      <w:r w:rsidRPr="003C60E1">
        <w:rPr>
          <w:rFonts w:ascii="Times New Roman" w:hAnsi="Times New Roman" w:cs="Times New Roman"/>
        </w:rPr>
        <w:t>Ontario Health. (2023). Health system capacity and post-pandemic recovery planning report. Ontario Health.</w:t>
      </w:r>
    </w:p>
    <w:p w14:paraId="716EFCCF" w14:textId="212B73CE" w:rsidR="00591FE3" w:rsidRPr="003C60E1" w:rsidRDefault="00591FE3" w:rsidP="00151FA4">
      <w:pPr>
        <w:adjustRightInd w:val="0"/>
        <w:snapToGrid w:val="0"/>
        <w:spacing w:line="480" w:lineRule="auto"/>
        <w:ind w:left="720" w:hanging="720"/>
        <w:rPr>
          <w:rFonts w:ascii="Times New Roman" w:hAnsi="Times New Roman" w:cs="Times New Roman"/>
        </w:rPr>
      </w:pPr>
      <w:r w:rsidRPr="00591FE3">
        <w:rPr>
          <w:rFonts w:ascii="Times New Roman" w:hAnsi="Times New Roman" w:cs="Times New Roman"/>
        </w:rPr>
        <w:t>Ortmann Günther, Sydow Jörg, &amp; Windeler Arnold. (2023). Organisation as Reflexive Structuration. </w:t>
      </w:r>
      <w:r w:rsidRPr="00591FE3">
        <w:rPr>
          <w:rFonts w:ascii="Times New Roman" w:hAnsi="Times New Roman" w:cs="Times New Roman"/>
          <w:i/>
          <w:iCs/>
        </w:rPr>
        <w:t>Journal of Organizational Sociology</w:t>
      </w:r>
      <w:r w:rsidRPr="00591FE3">
        <w:rPr>
          <w:rFonts w:ascii="Times New Roman" w:hAnsi="Times New Roman" w:cs="Times New Roman"/>
        </w:rPr>
        <w:t>, </w:t>
      </w:r>
      <w:r w:rsidRPr="00591FE3">
        <w:rPr>
          <w:rFonts w:ascii="Times New Roman" w:hAnsi="Times New Roman" w:cs="Times New Roman"/>
          <w:i/>
          <w:iCs/>
        </w:rPr>
        <w:t>1</w:t>
      </w:r>
      <w:r w:rsidRPr="00591FE3">
        <w:rPr>
          <w:rFonts w:ascii="Times New Roman" w:hAnsi="Times New Roman" w:cs="Times New Roman"/>
        </w:rPr>
        <w:t>(1), 109–140. https://0-doi-org.aupac.lib.athabascau.ca/10.1515/joso-2023-0017</w:t>
      </w:r>
    </w:p>
    <w:p w14:paraId="0A2351F6" w14:textId="1B24E4EC" w:rsidR="00F6536E" w:rsidRPr="003C60E1" w:rsidRDefault="00F6536E" w:rsidP="00047174">
      <w:pPr>
        <w:adjustRightInd w:val="0"/>
        <w:snapToGrid w:val="0"/>
        <w:spacing w:line="480" w:lineRule="auto"/>
        <w:ind w:left="720" w:hanging="720"/>
        <w:rPr>
          <w:rFonts w:ascii="Times New Roman" w:hAnsi="Times New Roman" w:cs="Times New Roman"/>
        </w:rPr>
      </w:pPr>
      <w:r w:rsidRPr="003C60E1">
        <w:rPr>
          <w:rFonts w:ascii="Times New Roman" w:hAnsi="Times New Roman" w:cs="Times New Roman"/>
        </w:rPr>
        <w:t>Statistics Canada. (2022). Census profile, 2021 census of population: Durham Region, Ontario. Government of Canada.</w:t>
      </w:r>
    </w:p>
    <w:p w14:paraId="0967A5A3" w14:textId="77777777" w:rsidR="005F5DD8" w:rsidRPr="005F5DD8" w:rsidRDefault="005F5DD8" w:rsidP="005F5DD8">
      <w:pPr>
        <w:adjustRightInd w:val="0"/>
        <w:snapToGrid w:val="0"/>
        <w:spacing w:line="480" w:lineRule="auto"/>
        <w:ind w:left="720" w:hanging="720"/>
        <w:rPr>
          <w:rFonts w:ascii="Times New Roman" w:hAnsi="Times New Roman" w:cs="Times New Roman"/>
        </w:rPr>
      </w:pPr>
      <w:r w:rsidRPr="005F5DD8">
        <w:rPr>
          <w:rFonts w:ascii="Times New Roman" w:hAnsi="Times New Roman" w:cs="Times New Roman"/>
        </w:rPr>
        <w:t>Wasieleski, D., Guimarães da Costa, N., &amp; Ivanova Ruffo, O. (2024). Change readiness in organizations: an affective cognitive process for convergent sensemaking. </w:t>
      </w:r>
      <w:r w:rsidRPr="005F5DD8">
        <w:rPr>
          <w:rFonts w:ascii="Times New Roman" w:hAnsi="Times New Roman" w:cs="Times New Roman"/>
          <w:i/>
          <w:iCs/>
        </w:rPr>
        <w:t>International Journal of Organization Theory &amp; Behavior</w:t>
      </w:r>
      <w:r w:rsidRPr="005F5DD8">
        <w:rPr>
          <w:rFonts w:ascii="Times New Roman" w:hAnsi="Times New Roman" w:cs="Times New Roman"/>
        </w:rPr>
        <w:t>, </w:t>
      </w:r>
      <w:r w:rsidRPr="005F5DD8">
        <w:rPr>
          <w:rFonts w:ascii="Times New Roman" w:hAnsi="Times New Roman" w:cs="Times New Roman"/>
          <w:i/>
          <w:iCs/>
        </w:rPr>
        <w:t>27</w:t>
      </w:r>
      <w:r w:rsidRPr="005F5DD8">
        <w:rPr>
          <w:rFonts w:ascii="Times New Roman" w:hAnsi="Times New Roman" w:cs="Times New Roman"/>
        </w:rPr>
        <w:t>(4), 321–339. https://0-doi-org.aupac.lib.athabascau.ca/10.1108/IJOTB-02-2023-0047</w:t>
      </w:r>
    </w:p>
    <w:p w14:paraId="3A40F907" w14:textId="77777777" w:rsidR="00F315F9" w:rsidRPr="00F315F9" w:rsidRDefault="00F315F9" w:rsidP="00F315F9">
      <w:pPr>
        <w:adjustRightInd w:val="0"/>
        <w:snapToGrid w:val="0"/>
        <w:spacing w:line="480" w:lineRule="auto"/>
        <w:ind w:left="720" w:hanging="720"/>
        <w:rPr>
          <w:rFonts w:ascii="Times New Roman" w:hAnsi="Times New Roman" w:cs="Times New Roman"/>
        </w:rPr>
      </w:pPr>
      <w:r w:rsidRPr="00F315F9">
        <w:rPr>
          <w:rFonts w:ascii="Times New Roman" w:hAnsi="Times New Roman" w:cs="Times New Roman"/>
        </w:rPr>
        <w:t>Weick, K. E., Sutcliffe, K. M., &amp; Obstfeld, D. (2005). Organizing and the Process of Sensemaking. </w:t>
      </w:r>
      <w:r w:rsidRPr="00F315F9">
        <w:rPr>
          <w:rFonts w:ascii="Times New Roman" w:hAnsi="Times New Roman" w:cs="Times New Roman"/>
          <w:i/>
          <w:iCs/>
        </w:rPr>
        <w:t>Organization Science (INFORMS)</w:t>
      </w:r>
      <w:r w:rsidRPr="00F315F9">
        <w:rPr>
          <w:rFonts w:ascii="Times New Roman" w:hAnsi="Times New Roman" w:cs="Times New Roman"/>
        </w:rPr>
        <w:t>, </w:t>
      </w:r>
      <w:r w:rsidRPr="00F315F9">
        <w:rPr>
          <w:rFonts w:ascii="Times New Roman" w:hAnsi="Times New Roman" w:cs="Times New Roman"/>
          <w:i/>
          <w:iCs/>
        </w:rPr>
        <w:t>16</w:t>
      </w:r>
      <w:r w:rsidRPr="00F315F9">
        <w:rPr>
          <w:rFonts w:ascii="Times New Roman" w:hAnsi="Times New Roman" w:cs="Times New Roman"/>
        </w:rPr>
        <w:t>(4), 409–421. https://0-doi-org.aupac.lib.athabascau.ca/10.1287/orsc.1050.0133</w:t>
      </w:r>
    </w:p>
    <w:p w14:paraId="37C2AD6C" w14:textId="14F13DBE" w:rsidR="00C67050" w:rsidRPr="003C60E1" w:rsidRDefault="00C67050" w:rsidP="00F315F9">
      <w:pPr>
        <w:adjustRightInd w:val="0"/>
        <w:snapToGrid w:val="0"/>
        <w:spacing w:line="480" w:lineRule="auto"/>
        <w:rPr>
          <w:rFonts w:ascii="Times New Roman" w:hAnsi="Times New Roman" w:cs="Times New Roman"/>
        </w:rPr>
      </w:pPr>
    </w:p>
    <w:sectPr w:rsidR="00C67050" w:rsidRPr="003C60E1" w:rsidSect="00F6536E">
      <w:headerReference w:type="even" r:id="rId6"/>
      <w:headerReference w:type="default" r:id="rId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32A7E" w14:textId="77777777" w:rsidR="00191540" w:rsidRDefault="00191540" w:rsidP="00F6536E">
      <w:pPr>
        <w:spacing w:line="240" w:lineRule="auto"/>
      </w:pPr>
      <w:r>
        <w:separator/>
      </w:r>
    </w:p>
  </w:endnote>
  <w:endnote w:type="continuationSeparator" w:id="0">
    <w:p w14:paraId="03323A86" w14:textId="77777777" w:rsidR="00191540" w:rsidRDefault="00191540" w:rsidP="00F653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B763D" w14:textId="77777777" w:rsidR="00191540" w:rsidRDefault="00191540" w:rsidP="00F6536E">
      <w:pPr>
        <w:spacing w:line="240" w:lineRule="auto"/>
      </w:pPr>
      <w:r>
        <w:separator/>
      </w:r>
    </w:p>
  </w:footnote>
  <w:footnote w:type="continuationSeparator" w:id="0">
    <w:p w14:paraId="7F5D3D35" w14:textId="77777777" w:rsidR="00191540" w:rsidRDefault="00191540" w:rsidP="00F653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8341988"/>
      <w:docPartObj>
        <w:docPartGallery w:val="Page Numbers (Top of Page)"/>
        <w:docPartUnique/>
      </w:docPartObj>
    </w:sdtPr>
    <w:sdtContent>
      <w:p w14:paraId="665F3148" w14:textId="301E87AF" w:rsidR="00F6536E" w:rsidRDefault="00F6536E" w:rsidP="00C13A9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2D2590" w14:textId="77777777" w:rsidR="00F6536E" w:rsidRDefault="00F6536E" w:rsidP="00F6536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906670900"/>
      <w:docPartObj>
        <w:docPartGallery w:val="Page Numbers (Top of Page)"/>
        <w:docPartUnique/>
      </w:docPartObj>
    </w:sdtPr>
    <w:sdtContent>
      <w:p w14:paraId="38A89230" w14:textId="0E965796" w:rsidR="00F6536E" w:rsidRPr="00F6536E" w:rsidRDefault="00F6536E" w:rsidP="00C13A95">
        <w:pPr>
          <w:pStyle w:val="Header"/>
          <w:framePr w:wrap="none" w:vAnchor="text" w:hAnchor="margin" w:xAlign="right" w:y="1"/>
          <w:rPr>
            <w:rStyle w:val="PageNumber"/>
            <w:rFonts w:ascii="Times New Roman" w:hAnsi="Times New Roman" w:cs="Times New Roman"/>
          </w:rPr>
        </w:pPr>
        <w:r w:rsidRPr="00F6536E">
          <w:rPr>
            <w:rStyle w:val="PageNumber"/>
            <w:rFonts w:ascii="Times New Roman" w:hAnsi="Times New Roman" w:cs="Times New Roman"/>
          </w:rPr>
          <w:fldChar w:fldCharType="begin"/>
        </w:r>
        <w:r w:rsidRPr="00F6536E">
          <w:rPr>
            <w:rStyle w:val="PageNumber"/>
            <w:rFonts w:ascii="Times New Roman" w:hAnsi="Times New Roman" w:cs="Times New Roman"/>
          </w:rPr>
          <w:instrText xml:space="preserve"> PAGE </w:instrText>
        </w:r>
        <w:r w:rsidRPr="00F6536E">
          <w:rPr>
            <w:rStyle w:val="PageNumber"/>
            <w:rFonts w:ascii="Times New Roman" w:hAnsi="Times New Roman" w:cs="Times New Roman"/>
          </w:rPr>
          <w:fldChar w:fldCharType="separate"/>
        </w:r>
        <w:r w:rsidRPr="00F6536E">
          <w:rPr>
            <w:rStyle w:val="PageNumber"/>
            <w:rFonts w:ascii="Times New Roman" w:hAnsi="Times New Roman" w:cs="Times New Roman"/>
            <w:noProof/>
          </w:rPr>
          <w:t>1</w:t>
        </w:r>
        <w:r w:rsidRPr="00F6536E">
          <w:rPr>
            <w:rStyle w:val="PageNumber"/>
            <w:rFonts w:ascii="Times New Roman" w:hAnsi="Times New Roman" w:cs="Times New Roman"/>
          </w:rPr>
          <w:fldChar w:fldCharType="end"/>
        </w:r>
      </w:p>
    </w:sdtContent>
  </w:sdt>
  <w:p w14:paraId="74CBA26F" w14:textId="77777777" w:rsidR="00F6536E" w:rsidRPr="00F6536E" w:rsidRDefault="00F6536E" w:rsidP="00F6536E">
    <w:pPr>
      <w:pStyle w:val="Header"/>
      <w:ind w:right="360"/>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36E"/>
    <w:rsid w:val="00031347"/>
    <w:rsid w:val="00047174"/>
    <w:rsid w:val="00053348"/>
    <w:rsid w:val="000F222C"/>
    <w:rsid w:val="00113A4F"/>
    <w:rsid w:val="00151FA4"/>
    <w:rsid w:val="00191540"/>
    <w:rsid w:val="001C09ED"/>
    <w:rsid w:val="002C331D"/>
    <w:rsid w:val="003C60E1"/>
    <w:rsid w:val="0041588E"/>
    <w:rsid w:val="00460040"/>
    <w:rsid w:val="00591FE3"/>
    <w:rsid w:val="005924BA"/>
    <w:rsid w:val="005F5DD8"/>
    <w:rsid w:val="007A4951"/>
    <w:rsid w:val="0087492D"/>
    <w:rsid w:val="009A4B91"/>
    <w:rsid w:val="00AF6B9D"/>
    <w:rsid w:val="00B06A80"/>
    <w:rsid w:val="00C67050"/>
    <w:rsid w:val="00DA237A"/>
    <w:rsid w:val="00DD6302"/>
    <w:rsid w:val="00F24B19"/>
    <w:rsid w:val="00F315F9"/>
    <w:rsid w:val="00F6536E"/>
    <w:rsid w:val="00F76F50"/>
    <w:rsid w:val="00F81E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E8E0BAB"/>
  <w15:chartTrackingRefBased/>
  <w15:docId w15:val="{B2FE9635-23D4-DC4A-922B-1DC59D63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3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3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3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3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36E"/>
    <w:rPr>
      <w:rFonts w:eastAsiaTheme="majorEastAsia" w:cstheme="majorBidi"/>
      <w:color w:val="272727" w:themeColor="text1" w:themeTint="D8"/>
    </w:rPr>
  </w:style>
  <w:style w:type="paragraph" w:styleId="Title">
    <w:name w:val="Title"/>
    <w:basedOn w:val="Normal"/>
    <w:next w:val="Normal"/>
    <w:link w:val="TitleChar"/>
    <w:uiPriority w:val="10"/>
    <w:qFormat/>
    <w:rsid w:val="00F65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3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3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536E"/>
    <w:rPr>
      <w:i/>
      <w:iCs/>
      <w:color w:val="404040" w:themeColor="text1" w:themeTint="BF"/>
    </w:rPr>
  </w:style>
  <w:style w:type="paragraph" w:styleId="ListParagraph">
    <w:name w:val="List Paragraph"/>
    <w:basedOn w:val="Normal"/>
    <w:uiPriority w:val="34"/>
    <w:qFormat/>
    <w:rsid w:val="00F6536E"/>
    <w:pPr>
      <w:ind w:left="720"/>
      <w:contextualSpacing/>
    </w:pPr>
  </w:style>
  <w:style w:type="character" w:styleId="IntenseEmphasis">
    <w:name w:val="Intense Emphasis"/>
    <w:basedOn w:val="DefaultParagraphFont"/>
    <w:uiPriority w:val="21"/>
    <w:qFormat/>
    <w:rsid w:val="00F6536E"/>
    <w:rPr>
      <w:i/>
      <w:iCs/>
      <w:color w:val="0F4761" w:themeColor="accent1" w:themeShade="BF"/>
    </w:rPr>
  </w:style>
  <w:style w:type="paragraph" w:styleId="IntenseQuote">
    <w:name w:val="Intense Quote"/>
    <w:basedOn w:val="Normal"/>
    <w:next w:val="Normal"/>
    <w:link w:val="IntenseQuoteChar"/>
    <w:uiPriority w:val="30"/>
    <w:qFormat/>
    <w:rsid w:val="00F65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36E"/>
    <w:rPr>
      <w:i/>
      <w:iCs/>
      <w:color w:val="0F4761" w:themeColor="accent1" w:themeShade="BF"/>
    </w:rPr>
  </w:style>
  <w:style w:type="character" w:styleId="IntenseReference">
    <w:name w:val="Intense Reference"/>
    <w:basedOn w:val="DefaultParagraphFont"/>
    <w:uiPriority w:val="32"/>
    <w:qFormat/>
    <w:rsid w:val="00F6536E"/>
    <w:rPr>
      <w:b/>
      <w:bCs/>
      <w:smallCaps/>
      <w:color w:val="0F4761" w:themeColor="accent1" w:themeShade="BF"/>
      <w:spacing w:val="5"/>
    </w:rPr>
  </w:style>
  <w:style w:type="paragraph" w:styleId="Header">
    <w:name w:val="header"/>
    <w:basedOn w:val="Normal"/>
    <w:link w:val="HeaderChar"/>
    <w:uiPriority w:val="99"/>
    <w:unhideWhenUsed/>
    <w:rsid w:val="00F6536E"/>
    <w:pPr>
      <w:tabs>
        <w:tab w:val="center" w:pos="4680"/>
        <w:tab w:val="right" w:pos="9360"/>
      </w:tabs>
      <w:spacing w:line="240" w:lineRule="auto"/>
    </w:pPr>
  </w:style>
  <w:style w:type="character" w:customStyle="1" w:styleId="HeaderChar">
    <w:name w:val="Header Char"/>
    <w:basedOn w:val="DefaultParagraphFont"/>
    <w:link w:val="Header"/>
    <w:uiPriority w:val="99"/>
    <w:rsid w:val="00F6536E"/>
  </w:style>
  <w:style w:type="paragraph" w:styleId="Footer">
    <w:name w:val="footer"/>
    <w:basedOn w:val="Normal"/>
    <w:link w:val="FooterChar"/>
    <w:uiPriority w:val="99"/>
    <w:unhideWhenUsed/>
    <w:rsid w:val="00F6536E"/>
    <w:pPr>
      <w:tabs>
        <w:tab w:val="center" w:pos="4680"/>
        <w:tab w:val="right" w:pos="9360"/>
      </w:tabs>
      <w:spacing w:line="240" w:lineRule="auto"/>
    </w:pPr>
  </w:style>
  <w:style w:type="character" w:customStyle="1" w:styleId="FooterChar">
    <w:name w:val="Footer Char"/>
    <w:basedOn w:val="DefaultParagraphFont"/>
    <w:link w:val="Footer"/>
    <w:uiPriority w:val="99"/>
    <w:rsid w:val="00F6536E"/>
  </w:style>
  <w:style w:type="character" w:styleId="PageNumber">
    <w:name w:val="page number"/>
    <w:basedOn w:val="DefaultParagraphFont"/>
    <w:uiPriority w:val="99"/>
    <w:semiHidden/>
    <w:unhideWhenUsed/>
    <w:rsid w:val="00F653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3333</Words>
  <Characters>21236</Characters>
  <Application>Microsoft Office Word</Application>
  <DocSecurity>0</DocSecurity>
  <Lines>337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Ameer Ghany</dc:creator>
  <cp:keywords/>
  <dc:description/>
  <cp:lastModifiedBy>Ameer Ghany</cp:lastModifiedBy>
  <cp:revision>2</cp:revision>
  <dcterms:created xsi:type="dcterms:W3CDTF">2026-03-31T00:12:00Z</dcterms:created>
  <dcterms:modified xsi:type="dcterms:W3CDTF">2026-03-31T00:12:00Z</dcterms:modified>
</cp:coreProperties>
</file>