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9A21" w14:textId="3F91B6E3" w:rsidR="001F7049" w:rsidRDefault="001F7049" w:rsidP="001F7049">
      <w:r>
        <w:t xml:space="preserve">Why is Adobe a good company to choose with the rise of AI? </w:t>
      </w:r>
    </w:p>
    <w:p w14:paraId="7EF97BFA" w14:textId="7A0A4CAE" w:rsidR="001F7049" w:rsidRDefault="001F7049" w:rsidP="001F7049">
      <w:r>
        <w:t>Partner Answers:</w:t>
      </w:r>
    </w:p>
    <w:p w14:paraId="7072F56C" w14:textId="22DFAD5B" w:rsidR="001F7049" w:rsidRDefault="001F7049" w:rsidP="001F7049">
      <w:r>
        <w:t>1.</w:t>
      </w:r>
      <w:r>
        <w:t xml:space="preserve">     I selected Adobe because it earns primarily recurring subscription revenue from Creative Cloud, Document Cloud, and Digital</w:t>
      </w:r>
    </w:p>
    <w:p w14:paraId="053E14CB" w14:textId="77777777" w:rsidR="001F7049" w:rsidRDefault="001F7049" w:rsidP="001F7049">
      <w:r>
        <w:t xml:space="preserve">     Experience. My initial view was that its high-margin, capital-light software model made it suitable for FCFE/DCF and peer P/E</w:t>
      </w:r>
    </w:p>
    <w:p w14:paraId="39B05A3B" w14:textId="77777777" w:rsidR="001F7049" w:rsidRDefault="001F7049" w:rsidP="001F7049">
      <w:r>
        <w:t xml:space="preserve">     analysis.</w:t>
      </w:r>
    </w:p>
    <w:p w14:paraId="3D8262E6" w14:textId="77777777" w:rsidR="001F7049" w:rsidRDefault="001F7049" w:rsidP="001F7049"/>
    <w:p w14:paraId="4E18E6BF" w14:textId="77777777" w:rsidR="001F7049" w:rsidRDefault="001F7049" w:rsidP="001F7049">
      <w:r>
        <w:t xml:space="preserve">  2. Company and evidence</w:t>
      </w:r>
    </w:p>
    <w:p w14:paraId="2C591B62" w14:textId="77777777" w:rsidR="001F7049" w:rsidRDefault="001F7049" w:rsidP="001F7049">
      <w:r>
        <w:t xml:space="preserve">     I used Adobe’s FY2023–FY2025 10-Ks, in USD millions. Revenue rose from $19,409m to $23,769m; gross margin reached 89.27%; Adobe</w:t>
      </w:r>
    </w:p>
    <w:p w14:paraId="717C4AF3" w14:textId="77777777" w:rsidR="001F7049" w:rsidRDefault="001F7049" w:rsidP="001F7049">
      <w:r>
        <w:t xml:space="preserve">     reported no discrete inventory or floor-plan financing balance. See adobe_proforma_research.md.</w:t>
      </w:r>
    </w:p>
    <w:p w14:paraId="48545000" w14:textId="77777777" w:rsidR="001F7049" w:rsidRDefault="001F7049" w:rsidP="001F7049"/>
    <w:p w14:paraId="658DF66D" w14:textId="77777777" w:rsidR="001F7049" w:rsidRDefault="001F7049" w:rsidP="001F7049">
      <w:r>
        <w:t xml:space="preserve">  3. My pro forma</w:t>
      </w:r>
    </w:p>
    <w:p w14:paraId="1233990E" w14:textId="77777777" w:rsidR="001F7049" w:rsidRDefault="001F7049" w:rsidP="001F7049">
      <w:r>
        <w:t xml:space="preserve">     I turned history into forecast inputs: revenue growth fading from 8% to 4%, 89% gross margin, and SG&amp;A/gross profit fading from</w:t>
      </w:r>
    </w:p>
    <w:p w14:paraId="60835F50" w14:textId="77777777" w:rsidR="001F7049" w:rsidRDefault="001F7049" w:rsidP="001F7049">
      <w:r>
        <w:t xml:space="preserve">     38.5% to 38.0%. The linked 2026–2030 statements balance every year, with cash above the model floor; however, working capital,</w:t>
      </w:r>
    </w:p>
    <w:p w14:paraId="2AEC66DE" w14:textId="77777777" w:rsidR="001F7049" w:rsidRDefault="001F7049" w:rsidP="001F7049">
      <w:r>
        <w:t xml:space="preserve">     financing, repayment, and buyback inputs remain placeholders.</w:t>
      </w:r>
    </w:p>
    <w:p w14:paraId="4A330E37" w14:textId="77777777" w:rsidR="001F7049" w:rsidRDefault="001F7049" w:rsidP="001F7049"/>
    <w:p w14:paraId="23B53D55" w14:textId="77777777" w:rsidR="001F7049" w:rsidRDefault="001F7049" w:rsidP="001F7049">
      <w:r>
        <w:t xml:space="preserve">  4. Valuation</w:t>
      </w:r>
    </w:p>
    <w:p w14:paraId="7AFEA830" w14:textId="77777777" w:rsidR="001F7049" w:rsidRDefault="001F7049" w:rsidP="001F7049">
      <w:r>
        <w:t xml:space="preserve">     My saved FCFF DCF base value was $407.95 per diluted share, with a $341.22–$582.55 sensitivity range; it uses USD, 427m diluted</w:t>
      </w:r>
    </w:p>
    <w:p w14:paraId="16873020" w14:textId="77777777" w:rsidR="001F7049" w:rsidRDefault="001F7049" w:rsidP="001F7049">
      <w:r>
        <w:t xml:space="preserve">     shares, 10.33% WACC, and 3% terminal growth. The peer P/E analysis used Nov. 7, </w:t>
      </w:r>
      <w:proofErr w:type="gramStart"/>
      <w:r>
        <w:t>2025</w:t>
      </w:r>
      <w:proofErr w:type="gramEnd"/>
      <w:r>
        <w:t xml:space="preserve"> USD prices and annual GAAP diluted EPS,</w:t>
      </w:r>
    </w:p>
    <w:p w14:paraId="5B4E0AAC" w14:textId="77777777" w:rsidR="001F7049" w:rsidRDefault="001F7049" w:rsidP="001F7049">
      <w:r>
        <w:t xml:space="preserve">     producing $169.59–$717.41; I do not average these because the dates, earnings basis, and methods differ. The reverse DCF had no</w:t>
      </w:r>
    </w:p>
    <w:p w14:paraId="5BFC5A86" w14:textId="77777777" w:rsidR="001F7049" w:rsidRDefault="001F7049" w:rsidP="001F7049">
      <w:r>
        <w:t xml:space="preserve">     solution for the $250.35 target inside the selected growth-shift bracket.</w:t>
      </w:r>
    </w:p>
    <w:p w14:paraId="7B29B20C" w14:textId="77777777" w:rsidR="001F7049" w:rsidRDefault="001F7049" w:rsidP="001F7049"/>
    <w:p w14:paraId="09A081BB" w14:textId="77777777" w:rsidR="001F7049" w:rsidRDefault="001F7049" w:rsidP="001F7049">
      <w:r>
        <w:t xml:space="preserve">  5. Sensitivity and drivers</w:t>
      </w:r>
    </w:p>
    <w:p w14:paraId="6D9D90B6" w14:textId="77777777" w:rsidR="001F7049" w:rsidRDefault="001F7049" w:rsidP="001F7049">
      <w:r>
        <w:t xml:space="preserve">     Over my stated ranges, revenue growth had the larger FY2030 span: $3,313.1m operating profit and $2,683.6m FCFE, versus $565.9m and</w:t>
      </w:r>
    </w:p>
    <w:p w14:paraId="50C595A5" w14:textId="77777777" w:rsidR="001F7049" w:rsidRDefault="001F7049" w:rsidP="001F7049">
      <w:r>
        <w:t xml:space="preserve">     $458.4m for SG&amp;A/gross profit. That does not prove growth is inherently more important, because growth used a wider ±2-point range</w:t>
      </w:r>
    </w:p>
    <w:p w14:paraId="470ABAC6" w14:textId="77777777" w:rsidR="001F7049" w:rsidRDefault="001F7049" w:rsidP="001F7049">
      <w:r>
        <w:t xml:space="preserve">     </w:t>
      </w:r>
      <w:proofErr w:type="gramStart"/>
      <w:r>
        <w:t>while</w:t>
      </w:r>
      <w:proofErr w:type="gramEnd"/>
      <w:r>
        <w:t xml:space="preserve"> SG&amp;A used ±1 point; higher growth flows through revenue, gross profit, operating profit, and then FCFE.</w:t>
      </w:r>
    </w:p>
    <w:p w14:paraId="01AC23FC" w14:textId="77777777" w:rsidR="001F7049" w:rsidRDefault="001F7049" w:rsidP="001F7049"/>
    <w:p w14:paraId="43ED3D29" w14:textId="77777777" w:rsidR="001F7049" w:rsidRDefault="001F7049" w:rsidP="001F7049">
      <w:r>
        <w:t xml:space="preserve">  6. Interpretation</w:t>
      </w:r>
    </w:p>
    <w:p w14:paraId="7F5013BA" w14:textId="77777777" w:rsidR="001F7049" w:rsidRDefault="001F7049" w:rsidP="001F7049">
      <w:r>
        <w:t xml:space="preserve">     My call is watch–defer. I can support balanced statements and operating-driver sensitivities, but I withhold a defensible new pro-</w:t>
      </w:r>
    </w:p>
    <w:p w14:paraId="3E11C281" w14:textId="77777777" w:rsidR="001F7049" w:rsidRDefault="001F7049" w:rsidP="001F7049">
      <w:r>
        <w:t xml:space="preserve">     forma value per share until I source Adobe-specific working capital, debt/revolver terms, debt repayment, and buyback assumptions;</w:t>
      </w:r>
    </w:p>
    <w:p w14:paraId="5DDC5CE6" w14:textId="4A5F931F" w:rsidR="001F7049" w:rsidRDefault="001F7049" w:rsidP="001F7049">
      <w:r>
        <w:t xml:space="preserve">     </w:t>
      </w:r>
      <w:proofErr w:type="gramStart"/>
      <w:r>
        <w:t>updated</w:t>
      </w:r>
      <w:proofErr w:type="gramEnd"/>
      <w:r>
        <w:t xml:space="preserve"> guidance and quarterly subscription growth could also change my forecast path.</w:t>
      </w:r>
    </w:p>
    <w:p w14:paraId="3443EBC1" w14:textId="77777777" w:rsidR="001F7049" w:rsidRDefault="001F7049" w:rsidP="001F7049"/>
    <w:p w14:paraId="2DAE0A7D" w14:textId="3E1C6EF5" w:rsidR="001F7049" w:rsidRDefault="001F7049" w:rsidP="001F7049">
      <w:r>
        <w:t xml:space="preserve">Partner Questioned me on revenue growth how </w:t>
      </w:r>
      <w:proofErr w:type="gramStart"/>
      <w:r>
        <w:t>does sustainability really influence</w:t>
      </w:r>
      <w:proofErr w:type="gramEnd"/>
      <w:r>
        <w:t xml:space="preserve"> people and their decision to buy products who cares and why.</w:t>
      </w:r>
    </w:p>
    <w:p w14:paraId="049ACDA8" w14:textId="730552AD" w:rsidR="001F7049" w:rsidRDefault="001F7049" w:rsidP="001F7049">
      <w:r>
        <w:t xml:space="preserve">I said younger generation will be more likely to </w:t>
      </w:r>
      <w:proofErr w:type="gramStart"/>
      <w:r>
        <w:t>buy given</w:t>
      </w:r>
      <w:proofErr w:type="gramEnd"/>
      <w:r>
        <w:t xml:space="preserve"> good marketing and outreach. </w:t>
      </w:r>
    </w:p>
    <w:sectPr w:rsidR="001F7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49"/>
    <w:rsid w:val="001F7049"/>
    <w:rsid w:val="003854A0"/>
    <w:rsid w:val="006D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C830"/>
  <w15:chartTrackingRefBased/>
  <w15:docId w15:val="{432ACC97-ED78-4271-91A0-87DDCBBB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Calkins</dc:creator>
  <cp:keywords/>
  <dc:description/>
  <cp:lastModifiedBy>Christian Calkins</cp:lastModifiedBy>
  <cp:revision>2</cp:revision>
  <dcterms:created xsi:type="dcterms:W3CDTF">2026-10-01T19:25:00Z</dcterms:created>
  <dcterms:modified xsi:type="dcterms:W3CDTF">2026-10-01T19:25:00Z</dcterms:modified>
</cp:coreProperties>
</file>