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B4F9C"/>
          <w:sz w:val="36"/>
        </w:rPr>
        <w:t>PRE-TRAINING READINESS TEST</w:t>
      </w:r>
    </w:p>
    <w:p>
      <w:r>
        <w:rPr>
          <w:color w:val="555555"/>
          <w:sz w:val="24"/>
        </w:rPr>
        <w:t>Power Automate: Beginner to Intermediate — Is my account ready?</w:t>
      </w:r>
    </w:p>
    <w:p>
      <w:r>
        <w:rPr>
          <w:i/>
        </w:rPr>
        <w:t>Time needed: about 15–20 minutes. Do this on your office laptop, with your office account, at least 1 week before the training. You do not need any Power Automate experience — just follow the steps.</w:t>
      </w:r>
    </w:p>
    <w:tbl>
      <w:tblPr>
        <w:tblStyle w:val="TableGrid"/>
        <w:tblW w:type="auto" w:w="0"/>
        <w:jc w:val="center"/>
        <w:tblLayout w:type="fixed"/>
        <w:tblLook w:firstColumn="1" w:firstRow="1" w:lastColumn="0" w:lastRow="0" w:noHBand="0" w:noVBand="1" w:val="04A0"/>
      </w:tblPr>
      <w:tblGrid>
        <w:gridCol w:w="1701"/>
        <w:gridCol w:w="3118"/>
        <w:gridCol w:w="1701"/>
        <w:gridCol w:w="3118"/>
      </w:tblGrid>
      <w:tr>
        <w:tc>
          <w:tcPr>
            <w:tcW w:type="dxa" w:w="1701"/>
            <w:shd w:val="clear" w:color="auto" w:fill="0B4F9C"/>
          </w:tcPr>
          <w:p>
            <w:r/>
            <w:r>
              <w:rPr>
                <w:b/>
                <w:color w:val="FFFFFF"/>
                <w:sz w:val="20"/>
              </w:rPr>
              <w:t>Name</w:t>
            </w:r>
          </w:p>
        </w:tc>
        <w:tc>
          <w:tcPr>
            <w:tcW w:type="dxa" w:w="3118"/>
            <w:shd w:val="clear" w:color="auto" w:fill="0B4F9C"/>
          </w:tcPr>
          <w:p>
            <w:r/>
            <w:r>
              <w:rPr>
                <w:b/>
                <w:color w:val="FFFFFF"/>
                <w:sz w:val="20"/>
              </w:rPr>
            </w:r>
          </w:p>
        </w:tc>
        <w:tc>
          <w:tcPr>
            <w:tcW w:type="dxa" w:w="1701"/>
            <w:shd w:val="clear" w:color="auto" w:fill="0B4F9C"/>
          </w:tcPr>
          <w:p>
            <w:r/>
            <w:r>
              <w:rPr>
                <w:b/>
                <w:color w:val="FFFFFF"/>
                <w:sz w:val="20"/>
              </w:rPr>
              <w:t>Department</w:t>
            </w:r>
          </w:p>
        </w:tc>
        <w:tc>
          <w:tcPr>
            <w:tcW w:type="dxa" w:w="3118"/>
            <w:shd w:val="clear" w:color="auto" w:fill="0B4F9C"/>
          </w:tcPr>
          <w:p>
            <w:r/>
            <w:r>
              <w:rPr>
                <w:b/>
                <w:color w:val="FFFFFF"/>
                <w:sz w:val="20"/>
              </w:rPr>
            </w:r>
          </w:p>
        </w:tc>
      </w:tr>
      <w:tr>
        <w:tc>
          <w:tcPr>
            <w:tcW w:type="dxa" w:w="1701"/>
          </w:tcPr>
          <w:p>
            <w:r>
              <w:rPr>
                <w:sz w:val="20"/>
              </w:rPr>
            </w:r>
            <w:r>
              <w:rPr>
                <w:sz w:val="20"/>
              </w:rPr>
              <w:t>Office email</w:t>
            </w:r>
          </w:p>
        </w:tc>
        <w:tc>
          <w:tcPr>
            <w:tcW w:type="dxa" w:w="3118"/>
          </w:tcPr>
          <w:p>
            <w:r>
              <w:rPr>
                <w:sz w:val="20"/>
              </w:rPr>
            </w:r>
            <w:r>
              <w:rPr>
                <w:sz w:val="20"/>
              </w:rPr>
            </w:r>
          </w:p>
        </w:tc>
        <w:tc>
          <w:tcPr>
            <w:tcW w:type="dxa" w:w="1701"/>
          </w:tcPr>
          <w:p>
            <w:r>
              <w:rPr>
                <w:sz w:val="20"/>
              </w:rPr>
            </w:r>
            <w:r>
              <w:rPr>
                <w:sz w:val="20"/>
              </w:rPr>
              <w:t>Date tested</w:t>
            </w:r>
          </w:p>
        </w:tc>
        <w:tc>
          <w:tcPr>
            <w:tcW w:type="dxa" w:w="3118"/>
          </w:tcPr>
          <w:p>
            <w:r>
              <w:rPr>
                <w:sz w:val="20"/>
              </w:rPr>
            </w:r>
            <w:r>
              <w:rPr>
                <w:sz w:val="20"/>
              </w:rPr>
            </w:r>
          </w:p>
        </w:tc>
      </w:tr>
    </w:tbl>
    <w:p>
      <w:pPr>
        <w:spacing w:before="200" w:after="80"/>
      </w:pPr>
      <w:r>
        <w:rPr>
          <w:b/>
          <w:color w:val="0B4F9C"/>
          <w:sz w:val="26"/>
        </w:rPr>
        <w:t>1. Good news first — what this training does NOT need</w:t>
      </w:r>
    </w:p>
    <w:p>
      <w:r>
        <w:rPr>
          <w:i w:val="0"/>
        </w:rPr>
        <w:t>Many companies block some Microsoft features for compliance. The items below are blocked in many organisations, and that is fine — the training does not use them:</w:t>
      </w:r>
    </w:p>
    <w:tbl>
      <w:tblPr>
        <w:tblStyle w:val="TableGrid"/>
        <w:tblW w:type="auto" w:w="0"/>
        <w:jc w:val="center"/>
        <w:tblLayout w:type="fixed"/>
        <w:tblLook w:firstColumn="1" w:firstRow="1" w:lastColumn="0" w:lastRow="0" w:noHBand="0" w:noVBand="1" w:val="04A0"/>
      </w:tblPr>
      <w:tblGrid>
        <w:gridCol w:w="3685"/>
        <w:gridCol w:w="5953"/>
      </w:tblGrid>
      <w:tr>
        <w:tc>
          <w:tcPr>
            <w:tcW w:type="dxa" w:w="3685"/>
            <w:shd w:val="clear" w:color="auto" w:fill="0B4F9C"/>
          </w:tcPr>
          <w:p>
            <w:r/>
            <w:r>
              <w:rPr>
                <w:b/>
                <w:color w:val="FFFFFF"/>
                <w:sz w:val="20"/>
              </w:rPr>
              <w:t>Not needed</w:t>
            </w:r>
          </w:p>
        </w:tc>
        <w:tc>
          <w:tcPr>
            <w:tcW w:type="dxa" w:w="5953"/>
            <w:shd w:val="clear" w:color="auto" w:fill="0B4F9C"/>
          </w:tcPr>
          <w:p>
            <w:r/>
            <w:r>
              <w:rPr>
                <w:b/>
                <w:color w:val="FFFFFF"/>
                <w:sz w:val="20"/>
              </w:rPr>
              <w:t>Why</w:t>
            </w:r>
          </w:p>
        </w:tc>
      </w:tr>
      <w:tr>
        <w:tc>
          <w:tcPr>
            <w:tcW w:type="dxa" w:w="3685"/>
          </w:tcPr>
          <w:p>
            <w:r>
              <w:rPr>
                <w:sz w:val="20"/>
              </w:rPr>
            </w:r>
            <w:r>
              <w:rPr>
                <w:sz w:val="20"/>
              </w:rPr>
              <w:t>Office Store Add-ins (Excel / Outlook / Word add-ins)</w:t>
            </w:r>
          </w:p>
        </w:tc>
        <w:tc>
          <w:tcPr>
            <w:tcW w:type="dxa" w:w="5953"/>
          </w:tcPr>
          <w:p>
            <w:r>
              <w:rPr>
                <w:sz w:val="20"/>
              </w:rPr>
            </w:r>
            <w:r>
              <w:rPr>
                <w:sz w:val="20"/>
              </w:rPr>
              <w:t>Power Automate is a separate web app (make.powerautomate.com). It does not run as an add-in.</w:t>
            </w:r>
          </w:p>
        </w:tc>
      </w:tr>
      <w:tr>
        <w:tc>
          <w:tcPr>
            <w:tcW w:type="dxa" w:w="3685"/>
          </w:tcPr>
          <w:p>
            <w:r>
              <w:rPr>
                <w:sz w:val="20"/>
              </w:rPr>
            </w:r>
            <w:r>
              <w:rPr>
                <w:sz w:val="20"/>
              </w:rPr>
              <w:t>Microsoft Copilot / Copilot in Power Automate</w:t>
            </w:r>
          </w:p>
        </w:tc>
        <w:tc>
          <w:tcPr>
            <w:tcW w:type="dxa" w:w="5953"/>
          </w:tcPr>
          <w:p>
            <w:r>
              <w:rPr>
                <w:sz w:val="20"/>
              </w:rPr>
            </w:r>
            <w:r>
              <w:rPr>
                <w:sz w:val="20"/>
              </w:rPr>
              <w:t>All flows are built by hand, step by step. If you see “Copilot is not available”, just ignore it.</w:t>
            </w:r>
          </w:p>
        </w:tc>
      </w:tr>
      <w:tr>
        <w:tc>
          <w:tcPr>
            <w:tcW w:type="dxa" w:w="3685"/>
          </w:tcPr>
          <w:p>
            <w:r>
              <w:rPr>
                <w:sz w:val="20"/>
              </w:rPr>
            </w:r>
            <w:r>
              <w:rPr>
                <w:sz w:val="20"/>
              </w:rPr>
              <w:t>SharePoint</w:t>
            </w:r>
          </w:p>
        </w:tc>
        <w:tc>
          <w:tcPr>
            <w:tcW w:type="dxa" w:w="5953"/>
          </w:tcPr>
          <w:p>
            <w:r>
              <w:rPr>
                <w:sz w:val="20"/>
              </w:rPr>
            </w:r>
            <w:r>
              <w:rPr>
                <w:sz w:val="20"/>
              </w:rPr>
              <w:t>All labs use OneDrive and Excel. SharePoint is shown by the trainer as a demo only.</w:t>
            </w:r>
          </w:p>
        </w:tc>
      </w:tr>
      <w:tr>
        <w:tc>
          <w:tcPr>
            <w:tcW w:type="dxa" w:w="3685"/>
          </w:tcPr>
          <w:p>
            <w:r>
              <w:rPr>
                <w:sz w:val="20"/>
              </w:rPr>
            </w:r>
            <w:r>
              <w:rPr>
                <w:sz w:val="20"/>
              </w:rPr>
              <w:t>Teams meetings</w:t>
            </w:r>
          </w:p>
        </w:tc>
        <w:tc>
          <w:tcPr>
            <w:tcW w:type="dxa" w:w="5953"/>
          </w:tcPr>
          <w:p>
            <w:r>
              <w:rPr>
                <w:sz w:val="20"/>
              </w:rPr>
            </w:r>
            <w:r>
              <w:rPr>
                <w:sz w:val="20"/>
              </w:rPr>
              <w:t>We only send a Teams chat message — and if Teams is blocked, we use Outlook email instead.</w:t>
            </w:r>
          </w:p>
        </w:tc>
      </w:tr>
      <w:tr>
        <w:tc>
          <w:tcPr>
            <w:tcW w:type="dxa" w:w="3685"/>
          </w:tcPr>
          <w:p>
            <w:r>
              <w:rPr>
                <w:sz w:val="20"/>
              </w:rPr>
            </w:r>
            <w:r>
              <w:rPr>
                <w:sz w:val="20"/>
              </w:rPr>
              <w:t>Premium connectors, HTTP, custom connectors, AI Builder, desktop flows (RPA)</w:t>
            </w:r>
          </w:p>
        </w:tc>
        <w:tc>
          <w:tcPr>
            <w:tcW w:type="dxa" w:w="5953"/>
          </w:tcPr>
          <w:p>
            <w:r>
              <w:rPr>
                <w:sz w:val="20"/>
              </w:rPr>
            </w:r>
            <w:r>
              <w:rPr>
                <w:sz w:val="20"/>
              </w:rPr>
              <w:t>Not covered in this course. Only standard Microsoft 365 connectors are used.</w:t>
            </w:r>
          </w:p>
        </w:tc>
      </w:tr>
      <w:tr>
        <w:tc>
          <w:tcPr>
            <w:tcW w:type="dxa" w:w="3685"/>
          </w:tcPr>
          <w:p>
            <w:r>
              <w:rPr>
                <w:sz w:val="20"/>
              </w:rPr>
            </w:r>
            <w:r>
              <w:rPr>
                <w:sz w:val="20"/>
              </w:rPr>
              <w:t>Sending to external / personal email</w:t>
            </w:r>
          </w:p>
        </w:tc>
        <w:tc>
          <w:tcPr>
            <w:tcW w:type="dxa" w:w="5953"/>
          </w:tcPr>
          <w:p>
            <w:r>
              <w:rPr>
                <w:sz w:val="20"/>
              </w:rPr>
            </w:r>
            <w:r>
              <w:rPr>
                <w:sz w:val="20"/>
              </w:rPr>
              <w:t>All tests and labs send email only to your own office address.</w:t>
            </w:r>
          </w:p>
        </w:tc>
      </w:tr>
    </w:tbl>
    <w:p>
      <w:pPr>
        <w:spacing w:before="200" w:after="80"/>
      </w:pPr>
      <w:r>
        <w:rPr>
          <w:b/>
          <w:color w:val="0B4F9C"/>
          <w:sz w:val="26"/>
        </w:rPr>
        <w:t>2. The test — build one small test flow</w:t>
      </w:r>
    </w:p>
    <w:p>
      <w:r>
        <w:rPr>
          <w:i w:val="0"/>
        </w:rPr>
        <w:t xml:space="preserve">Open Chrome or Edge and go to </w:t>
      </w:r>
      <w:r>
        <w:rPr>
          <w:b/>
        </w:rPr>
        <w:t>https://make.powerautomate.com</w:t>
      </w:r>
    </w:p>
    <w:p>
      <w:r>
        <w:rPr>
          <w:i w:val="0"/>
        </w:rPr>
        <w:t>Sign in with your office email. Then do each step in order and tick the result. If any step shows an error, do not try to fix it — take a screenshot and go to the next step.</w:t>
      </w:r>
    </w:p>
    <w:tbl>
      <w:tblPr>
        <w:tblStyle w:val="TableGrid"/>
        <w:tblW w:type="auto" w:w="0"/>
        <w:jc w:val="center"/>
        <w:tblLayout w:type="fixed"/>
        <w:tblLook w:firstColumn="1" w:firstRow="1" w:lastColumn="0" w:lastRow="0" w:noHBand="0" w:noVBand="1" w:val="04A0"/>
      </w:tblPr>
      <w:tblGrid>
        <w:gridCol w:w="453"/>
        <w:gridCol w:w="4082"/>
        <w:gridCol w:w="4082"/>
        <w:gridCol w:w="1020"/>
      </w:tblGrid>
      <w:tr>
        <w:tc>
          <w:tcPr>
            <w:tcW w:type="dxa" w:w="454"/>
            <w:shd w:val="clear" w:color="auto" w:fill="0B4F9C"/>
          </w:tcPr>
          <w:p>
            <w:r/>
            <w:r>
              <w:rPr>
                <w:b/>
                <w:color w:val="FFFFFF"/>
                <w:sz w:val="20"/>
              </w:rPr>
              <w:t>#</w:t>
            </w:r>
          </w:p>
        </w:tc>
        <w:tc>
          <w:tcPr>
            <w:tcW w:type="dxa" w:w="4082"/>
            <w:shd w:val="clear" w:color="auto" w:fill="0B4F9C"/>
          </w:tcPr>
          <w:p>
            <w:r/>
            <w:r>
              <w:rPr>
                <w:b/>
                <w:color w:val="FFFFFF"/>
                <w:sz w:val="20"/>
              </w:rPr>
              <w:t>What to do</w:t>
            </w:r>
          </w:p>
        </w:tc>
        <w:tc>
          <w:tcPr>
            <w:tcW w:type="dxa" w:w="4082"/>
            <w:shd w:val="clear" w:color="auto" w:fill="0B4F9C"/>
          </w:tcPr>
          <w:p>
            <w:r/>
            <w:r>
              <w:rPr>
                <w:b/>
                <w:color w:val="FFFFFF"/>
                <w:sz w:val="20"/>
              </w:rPr>
              <w:t>What you should see</w:t>
            </w:r>
          </w:p>
        </w:tc>
        <w:tc>
          <w:tcPr>
            <w:tcW w:type="dxa" w:w="1020"/>
            <w:shd w:val="clear" w:color="auto" w:fill="0B4F9C"/>
          </w:tcPr>
          <w:p>
            <w:r/>
            <w:r>
              <w:rPr>
                <w:b/>
                <w:color w:val="FFFFFF"/>
                <w:sz w:val="20"/>
              </w:rPr>
              <w:t>OK?</w:t>
            </w:r>
          </w:p>
        </w:tc>
      </w:tr>
      <w:tr>
        <w:tc>
          <w:tcPr>
            <w:tcW w:type="dxa" w:w="454"/>
          </w:tcPr>
          <w:p>
            <w:r>
              <w:rPr>
                <w:sz w:val="20"/>
              </w:rPr>
            </w:r>
            <w:r>
              <w:rPr>
                <w:sz w:val="20"/>
              </w:rPr>
              <w:t>1</w:t>
            </w:r>
          </w:p>
        </w:tc>
        <w:tc>
          <w:tcPr>
            <w:tcW w:type="dxa" w:w="4082"/>
          </w:tcPr>
          <w:p>
            <w:r>
              <w:rPr>
                <w:sz w:val="20"/>
              </w:rPr>
            </w:r>
            <w:r>
              <w:rPr>
                <w:b/>
                <w:sz w:val="20"/>
              </w:rPr>
              <w:t xml:space="preserve">Sign in. </w:t>
            </w:r>
            <w:r>
              <w:rPr>
                <w:sz w:val="20"/>
              </w:rPr>
              <w:t>Go to make.powerautomate.com and sign in with your office email.</w:t>
            </w:r>
          </w:p>
        </w:tc>
        <w:tc>
          <w:tcPr>
            <w:tcW w:type="dxa" w:w="4082"/>
          </w:tcPr>
          <w:p>
            <w:r>
              <w:rPr>
                <w:sz w:val="20"/>
              </w:rPr>
            </w:r>
            <w:r>
              <w:rPr>
                <w:sz w:val="20"/>
              </w:rPr>
              <w:t>The Power Automate home page opens. No “Start free trial”, “You don’t have a license” or “Access denied” message.</w:t>
            </w:r>
          </w:p>
        </w:tc>
        <w:tc>
          <w:tcPr>
            <w:tcW w:type="dxa" w:w="1020"/>
          </w:tcPr>
          <w:p>
            <w:r>
              <w:rPr>
                <w:sz w:val="20"/>
              </w:rPr>
            </w:r>
            <w:r>
              <w:rPr>
                <w:sz w:val="20"/>
              </w:rPr>
              <w:t>☐</w:t>
            </w:r>
          </w:p>
        </w:tc>
      </w:tr>
      <w:tr>
        <w:tc>
          <w:tcPr>
            <w:tcW w:type="dxa" w:w="454"/>
          </w:tcPr>
          <w:p>
            <w:r>
              <w:rPr>
                <w:sz w:val="20"/>
              </w:rPr>
            </w:r>
            <w:r>
              <w:rPr>
                <w:sz w:val="20"/>
              </w:rPr>
              <w:t>2</w:t>
            </w:r>
          </w:p>
        </w:tc>
        <w:tc>
          <w:tcPr>
            <w:tcW w:type="dxa" w:w="4082"/>
          </w:tcPr>
          <w:p>
            <w:r>
              <w:rPr>
                <w:sz w:val="20"/>
              </w:rPr>
            </w:r>
            <w:r>
              <w:rPr>
                <w:b/>
                <w:sz w:val="20"/>
              </w:rPr>
              <w:t xml:space="preserve">Create a flow. </w:t>
            </w:r>
            <w:r>
              <w:rPr>
                <w:sz w:val="20"/>
              </w:rPr>
              <w:t>Click + Create → Instant cloud flow. Name it READINESS TEST. Choose “Manually trigger a flow” → Create.</w:t>
            </w:r>
          </w:p>
        </w:tc>
        <w:tc>
          <w:tcPr>
            <w:tcW w:type="dxa" w:w="4082"/>
          </w:tcPr>
          <w:p>
            <w:r>
              <w:rPr>
                <w:sz w:val="20"/>
              </w:rPr>
            </w:r>
            <w:r>
              <w:rPr>
                <w:sz w:val="20"/>
              </w:rPr>
              <w:t>The flow designer opens with a “Manually trigger a flow” box.</w:t>
            </w:r>
          </w:p>
        </w:tc>
        <w:tc>
          <w:tcPr>
            <w:tcW w:type="dxa" w:w="1020"/>
          </w:tcPr>
          <w:p>
            <w:r>
              <w:rPr>
                <w:sz w:val="20"/>
              </w:rPr>
            </w:r>
            <w:r>
              <w:rPr>
                <w:sz w:val="20"/>
              </w:rPr>
              <w:t>☐</w:t>
            </w:r>
          </w:p>
        </w:tc>
      </w:tr>
      <w:tr>
        <w:tc>
          <w:tcPr>
            <w:tcW w:type="dxa" w:w="454"/>
          </w:tcPr>
          <w:p>
            <w:r>
              <w:rPr>
                <w:sz w:val="20"/>
              </w:rPr>
            </w:r>
            <w:r>
              <w:rPr>
                <w:sz w:val="20"/>
              </w:rPr>
              <w:t>3</w:t>
            </w:r>
          </w:p>
        </w:tc>
        <w:tc>
          <w:tcPr>
            <w:tcW w:type="dxa" w:w="4082"/>
          </w:tcPr>
          <w:p>
            <w:r>
              <w:rPr>
                <w:sz w:val="20"/>
              </w:rPr>
            </w:r>
            <w:r>
              <w:rPr>
                <w:b/>
                <w:sz w:val="20"/>
              </w:rPr>
              <w:t xml:space="preserve">Outlook. </w:t>
            </w:r>
            <w:r>
              <w:rPr>
                <w:sz w:val="20"/>
              </w:rPr>
              <w:t>Click + (New step) → search “Send an email (V2)” (Office 365 Outlook). To: your own office email. Subject: Test OK. Body: Hello.</w:t>
            </w:r>
          </w:p>
        </w:tc>
        <w:tc>
          <w:tcPr>
            <w:tcW w:type="dxa" w:w="4082"/>
          </w:tcPr>
          <w:p>
            <w:r>
              <w:rPr>
                <w:sz w:val="20"/>
              </w:rPr>
            </w:r>
            <w:r>
              <w:rPr>
                <w:sz w:val="20"/>
              </w:rPr>
              <w:t>The action is added. If asked to sign in to create a connection, sign in — it should succeed.</w:t>
            </w:r>
          </w:p>
        </w:tc>
        <w:tc>
          <w:tcPr>
            <w:tcW w:type="dxa" w:w="1020"/>
          </w:tcPr>
          <w:p>
            <w:r>
              <w:rPr>
                <w:sz w:val="20"/>
              </w:rPr>
            </w:r>
            <w:r>
              <w:rPr>
                <w:sz w:val="20"/>
              </w:rPr>
              <w:t>☐</w:t>
            </w:r>
          </w:p>
        </w:tc>
      </w:tr>
      <w:tr>
        <w:tc>
          <w:tcPr>
            <w:tcW w:type="dxa" w:w="454"/>
          </w:tcPr>
          <w:p>
            <w:r>
              <w:rPr>
                <w:sz w:val="20"/>
              </w:rPr>
            </w:r>
            <w:r>
              <w:rPr>
                <w:sz w:val="20"/>
              </w:rPr>
              <w:t>4</w:t>
            </w:r>
          </w:p>
        </w:tc>
        <w:tc>
          <w:tcPr>
            <w:tcW w:type="dxa" w:w="4082"/>
          </w:tcPr>
          <w:p>
            <w:r>
              <w:rPr>
                <w:sz w:val="20"/>
              </w:rPr>
            </w:r>
            <w:r>
              <w:rPr>
                <w:b/>
                <w:sz w:val="20"/>
              </w:rPr>
              <w:t xml:space="preserve">OneDrive. </w:t>
            </w:r>
            <w:r>
              <w:rPr>
                <w:sz w:val="20"/>
              </w:rPr>
              <w:t>Add action “Create file” (OneDrive for Business). Folder: / (root). File name: readiness-test.txt. File content: Test.</w:t>
            </w:r>
          </w:p>
        </w:tc>
        <w:tc>
          <w:tcPr>
            <w:tcW w:type="dxa" w:w="4082"/>
          </w:tcPr>
          <w:p>
            <w:r>
              <w:rPr>
                <w:sz w:val="20"/>
              </w:rPr>
            </w:r>
            <w:r>
              <w:rPr>
                <w:sz w:val="20"/>
              </w:rPr>
              <w:t>The action is added with no connection error.</w:t>
            </w:r>
          </w:p>
        </w:tc>
        <w:tc>
          <w:tcPr>
            <w:tcW w:type="dxa" w:w="1020"/>
          </w:tcPr>
          <w:p>
            <w:r>
              <w:rPr>
                <w:sz w:val="20"/>
              </w:rPr>
            </w:r>
            <w:r>
              <w:rPr>
                <w:sz w:val="20"/>
              </w:rPr>
              <w:t>☐</w:t>
            </w:r>
          </w:p>
        </w:tc>
      </w:tr>
      <w:tr>
        <w:tc>
          <w:tcPr>
            <w:tcW w:type="dxa" w:w="454"/>
          </w:tcPr>
          <w:p>
            <w:r>
              <w:rPr>
                <w:sz w:val="20"/>
              </w:rPr>
            </w:r>
            <w:r>
              <w:rPr>
                <w:sz w:val="20"/>
              </w:rPr>
              <w:t>5</w:t>
            </w:r>
          </w:p>
        </w:tc>
        <w:tc>
          <w:tcPr>
            <w:tcW w:type="dxa" w:w="4082"/>
          </w:tcPr>
          <w:p>
            <w:r>
              <w:rPr>
                <w:sz w:val="20"/>
              </w:rPr>
            </w:r>
            <w:r>
              <w:rPr>
                <w:b/>
                <w:sz w:val="20"/>
              </w:rPr>
              <w:t xml:space="preserve">Excel. </w:t>
            </w:r>
            <w:r>
              <w:rPr>
                <w:sz w:val="20"/>
              </w:rPr>
              <w:t>First, in OneDrive, create an Excel file named Test.xlsx; type Name in A1 and Test in A2; select A1:A2 → Insert → Table. Then add action “List rows present in a table” (Excel Online (Business)) and pick that file and table.</w:t>
            </w:r>
          </w:p>
        </w:tc>
        <w:tc>
          <w:tcPr>
            <w:tcW w:type="dxa" w:w="4082"/>
          </w:tcPr>
          <w:p>
            <w:r>
              <w:rPr>
                <w:sz w:val="20"/>
              </w:rPr>
            </w:r>
            <w:r>
              <w:rPr>
                <w:sz w:val="20"/>
              </w:rPr>
              <w:t>You can browse to Test.xlsx and the table (Table1) appears in the drop-down.</w:t>
            </w:r>
          </w:p>
        </w:tc>
        <w:tc>
          <w:tcPr>
            <w:tcW w:type="dxa" w:w="1020"/>
          </w:tcPr>
          <w:p>
            <w:r>
              <w:rPr>
                <w:sz w:val="20"/>
              </w:rPr>
            </w:r>
            <w:r>
              <w:rPr>
                <w:sz w:val="20"/>
              </w:rPr>
              <w:t>☐</w:t>
            </w:r>
          </w:p>
        </w:tc>
      </w:tr>
      <w:tr>
        <w:tc>
          <w:tcPr>
            <w:tcW w:type="dxa" w:w="454"/>
          </w:tcPr>
          <w:p>
            <w:r>
              <w:rPr>
                <w:sz w:val="20"/>
              </w:rPr>
            </w:r>
            <w:r>
              <w:rPr>
                <w:sz w:val="20"/>
              </w:rPr>
              <w:t>6</w:t>
            </w:r>
          </w:p>
        </w:tc>
        <w:tc>
          <w:tcPr>
            <w:tcW w:type="dxa" w:w="4082"/>
          </w:tcPr>
          <w:p>
            <w:r>
              <w:rPr>
                <w:sz w:val="20"/>
              </w:rPr>
            </w:r>
            <w:r>
              <w:rPr>
                <w:b/>
                <w:sz w:val="20"/>
              </w:rPr>
              <w:t xml:space="preserve">Approvals. </w:t>
            </w:r>
            <w:r>
              <w:rPr>
                <w:sz w:val="20"/>
              </w:rPr>
              <w:t>Add action “Start and wait for an approval”. Type: Approve/Reject – First to respond. Title: Test approval. Assigned to: your own office email.</w:t>
            </w:r>
          </w:p>
        </w:tc>
        <w:tc>
          <w:tcPr>
            <w:tcW w:type="dxa" w:w="4082"/>
          </w:tcPr>
          <w:p>
            <w:r>
              <w:rPr>
                <w:sz w:val="20"/>
              </w:rPr>
            </w:r>
            <w:r>
              <w:rPr>
                <w:sz w:val="20"/>
              </w:rPr>
              <w:t>The action is added with no error.</w:t>
            </w:r>
          </w:p>
        </w:tc>
        <w:tc>
          <w:tcPr>
            <w:tcW w:type="dxa" w:w="1020"/>
          </w:tcPr>
          <w:p>
            <w:r>
              <w:rPr>
                <w:sz w:val="20"/>
              </w:rPr>
            </w:r>
            <w:r>
              <w:rPr>
                <w:sz w:val="20"/>
              </w:rPr>
              <w:t>☐</w:t>
            </w:r>
          </w:p>
        </w:tc>
      </w:tr>
      <w:tr>
        <w:tc>
          <w:tcPr>
            <w:tcW w:type="dxa" w:w="454"/>
          </w:tcPr>
          <w:p>
            <w:r>
              <w:rPr>
                <w:sz w:val="20"/>
              </w:rPr>
            </w:r>
            <w:r>
              <w:rPr>
                <w:sz w:val="20"/>
              </w:rPr>
              <w:t>7</w:t>
            </w:r>
          </w:p>
        </w:tc>
        <w:tc>
          <w:tcPr>
            <w:tcW w:type="dxa" w:w="4082"/>
          </w:tcPr>
          <w:p>
            <w:r>
              <w:rPr>
                <w:sz w:val="20"/>
              </w:rPr>
            </w:r>
            <w:r>
              <w:rPr>
                <w:b/>
                <w:sz w:val="20"/>
              </w:rPr>
              <w:t xml:space="preserve">Teams (optional). </w:t>
            </w:r>
            <w:r>
              <w:rPr>
                <w:sz w:val="20"/>
              </w:rPr>
              <w:t>Add action “Post message in a chat or channel” (Microsoft Teams). Post as: Flow bot. Post in: Chat with Flow bot. Recipient: your own email. Message: Test.</w:t>
            </w:r>
          </w:p>
        </w:tc>
        <w:tc>
          <w:tcPr>
            <w:tcW w:type="dxa" w:w="4082"/>
          </w:tcPr>
          <w:p>
            <w:r>
              <w:rPr>
                <w:sz w:val="20"/>
              </w:rPr>
            </w:r>
            <w:r>
              <w:rPr>
                <w:sz w:val="20"/>
              </w:rPr>
              <w:t>The action is added with no error. (If Teams is blocked, tick N/A — we will use email instead.)</w:t>
            </w:r>
          </w:p>
        </w:tc>
        <w:tc>
          <w:tcPr>
            <w:tcW w:type="dxa" w:w="1020"/>
          </w:tcPr>
          <w:p>
            <w:r>
              <w:rPr>
                <w:sz w:val="20"/>
              </w:rPr>
            </w:r>
            <w:r>
              <w:rPr>
                <w:sz w:val="20"/>
              </w:rPr>
              <w:t>☐ / N/A</w:t>
            </w:r>
          </w:p>
        </w:tc>
      </w:tr>
      <w:tr>
        <w:tc>
          <w:tcPr>
            <w:tcW w:type="dxa" w:w="454"/>
          </w:tcPr>
          <w:p>
            <w:r>
              <w:rPr>
                <w:sz w:val="20"/>
              </w:rPr>
            </w:r>
            <w:r>
              <w:rPr>
                <w:sz w:val="20"/>
              </w:rPr>
              <w:t>8</w:t>
            </w:r>
          </w:p>
        </w:tc>
        <w:tc>
          <w:tcPr>
            <w:tcW w:type="dxa" w:w="4082"/>
          </w:tcPr>
          <w:p>
            <w:r>
              <w:rPr>
                <w:sz w:val="20"/>
              </w:rPr>
            </w:r>
            <w:r>
              <w:rPr>
                <w:b/>
                <w:sz w:val="20"/>
              </w:rPr>
              <w:t xml:space="preserve">Save. </w:t>
            </w:r>
            <w:r>
              <w:rPr>
                <w:sz w:val="20"/>
              </w:rPr>
              <w:t>Click Save (top right).</w:t>
            </w:r>
          </w:p>
        </w:tc>
        <w:tc>
          <w:tcPr>
            <w:tcW w:type="dxa" w:w="4082"/>
          </w:tcPr>
          <w:p>
            <w:r>
              <w:rPr>
                <w:sz w:val="20"/>
              </w:rPr>
            </w:r>
            <w:r>
              <w:rPr>
                <w:sz w:val="20"/>
              </w:rPr>
              <w:t>“Your flow is ready” / saved message. NO red banner about “data policy”, “DLP” or “blocked connector”.</w:t>
            </w:r>
          </w:p>
        </w:tc>
        <w:tc>
          <w:tcPr>
            <w:tcW w:type="dxa" w:w="1020"/>
          </w:tcPr>
          <w:p>
            <w:r>
              <w:rPr>
                <w:sz w:val="20"/>
              </w:rPr>
            </w:r>
            <w:r>
              <w:rPr>
                <w:sz w:val="20"/>
              </w:rPr>
              <w:t>☐</w:t>
            </w:r>
          </w:p>
        </w:tc>
      </w:tr>
      <w:tr>
        <w:tc>
          <w:tcPr>
            <w:tcW w:type="dxa" w:w="454"/>
          </w:tcPr>
          <w:p>
            <w:r>
              <w:rPr>
                <w:sz w:val="20"/>
              </w:rPr>
            </w:r>
            <w:r>
              <w:rPr>
                <w:sz w:val="20"/>
              </w:rPr>
              <w:t>9</w:t>
            </w:r>
          </w:p>
        </w:tc>
        <w:tc>
          <w:tcPr>
            <w:tcW w:type="dxa" w:w="4082"/>
          </w:tcPr>
          <w:p>
            <w:r>
              <w:rPr>
                <w:sz w:val="20"/>
              </w:rPr>
            </w:r>
            <w:r>
              <w:rPr>
                <w:b/>
                <w:sz w:val="20"/>
              </w:rPr>
              <w:t xml:space="preserve">Run it. </w:t>
            </w:r>
            <w:r>
              <w:rPr>
                <w:sz w:val="20"/>
              </w:rPr>
              <w:t>Click Test → Manually → Test → Run flow. Open Outlook (or the Approvals section in Power Automate) and click Approve on the approval.</w:t>
            </w:r>
          </w:p>
        </w:tc>
        <w:tc>
          <w:tcPr>
            <w:tcW w:type="dxa" w:w="4082"/>
          </w:tcPr>
          <w:p>
            <w:r>
              <w:rPr>
                <w:sz w:val="20"/>
              </w:rPr>
            </w:r>
            <w:r>
              <w:rPr>
                <w:sz w:val="20"/>
              </w:rPr>
              <w:t>The run finishes with a green tick for every step. You received the “Test OK” email, the file readiness-test.txt is in OneDrive, and a Teams message from Flow bot (if step 7 was used).</w:t>
            </w:r>
          </w:p>
        </w:tc>
        <w:tc>
          <w:tcPr>
            <w:tcW w:type="dxa" w:w="1020"/>
          </w:tcPr>
          <w:p>
            <w:r>
              <w:rPr>
                <w:sz w:val="20"/>
              </w:rPr>
            </w:r>
            <w:r>
              <w:rPr>
                <w:sz w:val="20"/>
              </w:rPr>
              <w:t>☐</w:t>
            </w:r>
          </w:p>
        </w:tc>
      </w:tr>
      <w:tr>
        <w:tc>
          <w:tcPr>
            <w:tcW w:type="dxa" w:w="454"/>
          </w:tcPr>
          <w:p>
            <w:r>
              <w:rPr>
                <w:sz w:val="20"/>
              </w:rPr>
            </w:r>
            <w:r>
              <w:rPr>
                <w:sz w:val="20"/>
              </w:rPr>
              <w:t>10</w:t>
            </w:r>
          </w:p>
        </w:tc>
        <w:tc>
          <w:tcPr>
            <w:tcW w:type="dxa" w:w="4082"/>
          </w:tcPr>
          <w:p>
            <w:r>
              <w:rPr>
                <w:sz w:val="20"/>
              </w:rPr>
            </w:r>
            <w:r>
              <w:rPr>
                <w:b/>
                <w:sz w:val="20"/>
              </w:rPr>
              <w:t xml:space="preserve">Microsoft Forms. </w:t>
            </w:r>
            <w:r>
              <w:rPr>
                <w:sz w:val="20"/>
              </w:rPr>
              <w:t>Go to forms.office.com and create a form with 1 question. Back in Power Automate: + Create → Automated cloud flow → trigger “When a new response is submitted” → Create. Open the Form Id drop-down.</w:t>
            </w:r>
          </w:p>
        </w:tc>
        <w:tc>
          <w:tcPr>
            <w:tcW w:type="dxa" w:w="4082"/>
          </w:tcPr>
          <w:p>
            <w:r>
              <w:rPr>
                <w:sz w:val="20"/>
              </w:rPr>
            </w:r>
            <w:r>
              <w:rPr>
                <w:sz w:val="20"/>
              </w:rPr>
              <w:t>You can see and select your form in the drop-down. (No need to save this flow.)</w:t>
            </w:r>
          </w:p>
        </w:tc>
        <w:tc>
          <w:tcPr>
            <w:tcW w:type="dxa" w:w="1020"/>
          </w:tcPr>
          <w:p>
            <w:r>
              <w:rPr>
                <w:sz w:val="20"/>
              </w:rPr>
            </w:r>
            <w:r>
              <w:rPr>
                <w:sz w:val="20"/>
              </w:rPr>
              <w:t>☐</w:t>
            </w:r>
          </w:p>
        </w:tc>
      </w:tr>
      <w:tr>
        <w:tc>
          <w:tcPr>
            <w:tcW w:type="dxa" w:w="454"/>
          </w:tcPr>
          <w:p>
            <w:r>
              <w:rPr>
                <w:sz w:val="20"/>
              </w:rPr>
            </w:r>
            <w:r>
              <w:rPr>
                <w:sz w:val="20"/>
              </w:rPr>
              <w:t>11</w:t>
            </w:r>
          </w:p>
        </w:tc>
        <w:tc>
          <w:tcPr>
            <w:tcW w:type="dxa" w:w="4082"/>
          </w:tcPr>
          <w:p>
            <w:r>
              <w:rPr>
                <w:sz w:val="20"/>
              </w:rPr>
            </w:r>
            <w:r>
              <w:rPr>
                <w:b/>
                <w:sz w:val="20"/>
              </w:rPr>
              <w:t xml:space="preserve">Scheduled flow. </w:t>
            </w:r>
            <w:r>
              <w:rPr>
                <w:sz w:val="20"/>
              </w:rPr>
              <w:t>+ Create → Scheduled cloud flow. Set it to repeat every 1 day → Create → add any action (e.g. Send an email to yourself) → Save → then turn the flow Off.</w:t>
            </w:r>
          </w:p>
        </w:tc>
        <w:tc>
          <w:tcPr>
            <w:tcW w:type="dxa" w:w="4082"/>
          </w:tcPr>
          <w:p>
            <w:r>
              <w:rPr>
                <w:sz w:val="20"/>
              </w:rPr>
            </w:r>
            <w:r>
              <w:rPr>
                <w:sz w:val="20"/>
              </w:rPr>
              <w:t>The flow saves with no error.</w:t>
            </w:r>
          </w:p>
        </w:tc>
        <w:tc>
          <w:tcPr>
            <w:tcW w:type="dxa" w:w="1020"/>
          </w:tcPr>
          <w:p>
            <w:r>
              <w:rPr>
                <w:sz w:val="20"/>
              </w:rPr>
            </w:r>
            <w:r>
              <w:rPr>
                <w:sz w:val="20"/>
              </w:rPr>
              <w:t>☐</w:t>
            </w:r>
          </w:p>
        </w:tc>
      </w:tr>
    </w:tbl>
    <w:p>
      <w:r>
        <w:rPr>
          <w:i/>
          <w:color w:val="555555"/>
          <w:sz w:val="19"/>
        </w:rPr>
        <w:t>When finished: you may delete the test flows (My flows → … → Delete).</w:t>
      </w:r>
    </w:p>
    <w:p>
      <w:pPr>
        <w:spacing w:before="200" w:after="80"/>
      </w:pPr>
      <w:r>
        <w:rPr>
          <w:b/>
          <w:color w:val="0B4F9C"/>
          <w:sz w:val="26"/>
        </w:rPr>
        <w:t>3. Your result</w:t>
      </w:r>
    </w:p>
    <w:tbl>
      <w:tblPr>
        <w:tblStyle w:val="TableGrid"/>
        <w:tblW w:type="auto" w:w="0"/>
        <w:tblLayout w:type="fixed"/>
        <w:tblLook w:firstColumn="1" w:firstRow="1" w:lastColumn="0" w:lastRow="0" w:noHBand="0" w:noVBand="1" w:val="04A0"/>
      </w:tblPr>
      <w:tblGrid>
        <w:gridCol w:w="2551"/>
        <w:gridCol w:w="7087"/>
      </w:tblGrid>
      <w:tr>
        <w:tc>
          <w:tcPr>
            <w:tcW w:type="dxa" w:w="2551"/>
            <w:shd w:val="clear" w:color="auto" w:fill="C6EFCE"/>
          </w:tcPr>
          <w:p>
            <w:r/>
            <w:r>
              <w:rPr>
                <w:b/>
              </w:rPr>
              <w:t>GREEN — Ready to go</w:t>
            </w:r>
          </w:p>
        </w:tc>
        <w:tc>
          <w:tcPr>
            <w:tcW w:type="dxa" w:w="7087"/>
          </w:tcPr>
          <w:p>
            <w:r>
              <w:t>Every step ticked (step 7 may be N/A). Nothing else to do — see you at the training!</w:t>
            </w:r>
          </w:p>
        </w:tc>
      </w:tr>
      <w:tr>
        <w:tc>
          <w:tcPr>
            <w:tcW w:type="dxa" w:w="2551"/>
            <w:shd w:val="clear" w:color="auto" w:fill="FFEB9C"/>
          </w:tcPr>
          <w:p>
            <w:r/>
            <w:r>
              <w:rPr>
                <w:b/>
              </w:rPr>
              <w:t>AMBER — Mostly ready</w:t>
            </w:r>
          </w:p>
        </w:tc>
        <w:tc>
          <w:tcPr>
            <w:tcW w:type="dxa" w:w="7087"/>
          </w:tcPr>
          <w:p>
            <w:r>
              <w:t>Only step 7 (Teams) failed or is blocked. You can still join — the Teams labs will use an Outlook-email version instead. Please still send the screenshot to your coordinator so IT is aware.</w:t>
            </w:r>
          </w:p>
        </w:tc>
      </w:tr>
      <w:tr>
        <w:tc>
          <w:tcPr>
            <w:tcW w:type="dxa" w:w="2551"/>
            <w:shd w:val="clear" w:color="auto" w:fill="FFC7CE"/>
          </w:tcPr>
          <w:p>
            <w:r/>
            <w:r>
              <w:rPr>
                <w:b/>
              </w:rPr>
              <w:t>RED — Need IT help before training</w:t>
            </w:r>
          </w:p>
        </w:tc>
        <w:tc>
          <w:tcPr>
            <w:tcW w:type="dxa" w:w="7087"/>
          </w:tcPr>
          <w:p>
            <w:r>
              <w:t>Any other step failed (1–6 or 8–11). Send the screenshot(s) to your training coordinator / IT now — these features are used in the hands-on labs and must work before Day 1.</w:t>
            </w:r>
          </w:p>
        </w:tc>
      </w:tr>
    </w:tbl>
    <w:p/>
    <w:p>
      <w:pPr>
        <w:spacing w:before="200" w:after="80"/>
      </w:pPr>
      <w:r>
        <w:rPr>
          <w:b/>
          <w:color w:val="0B4F9C"/>
          <w:sz w:val="26"/>
        </w:rPr>
        <w:t>4. For your IT / Microsoft 365 administrator</w:t>
      </w:r>
    </w:p>
    <w:p>
      <w:r>
        <w:rPr>
          <w:i w:val="0"/>
        </w:rPr>
        <w:t>If a participant gets a RED or AMBER result, please check the following. Only standard Microsoft 365 features are required — no add-ins, no Copilot, no premium licence.</w:t>
      </w:r>
    </w:p>
    <w:tbl>
      <w:tblPr>
        <w:tblStyle w:val="TableGrid"/>
        <w:tblW w:type="auto" w:w="0"/>
        <w:jc w:val="center"/>
        <w:tblLayout w:type="fixed"/>
        <w:tblLook w:firstColumn="1" w:firstRow="1" w:lastColumn="0" w:lastRow="0" w:noHBand="0" w:noVBand="1" w:val="04A0"/>
      </w:tblPr>
      <w:tblGrid>
        <w:gridCol w:w="2551"/>
        <w:gridCol w:w="7087"/>
      </w:tblGrid>
      <w:tr>
        <w:tc>
          <w:tcPr>
            <w:tcW w:type="dxa" w:w="2551"/>
            <w:shd w:val="clear" w:color="auto" w:fill="0B4F9C"/>
          </w:tcPr>
          <w:p>
            <w:r/>
            <w:r>
              <w:rPr>
                <w:b/>
                <w:color w:val="FFFFFF"/>
                <w:sz w:val="20"/>
              </w:rPr>
              <w:t>Item</w:t>
            </w:r>
          </w:p>
        </w:tc>
        <w:tc>
          <w:tcPr>
            <w:tcW w:type="dxa" w:w="7087"/>
            <w:shd w:val="clear" w:color="auto" w:fill="0B4F9C"/>
          </w:tcPr>
          <w:p>
            <w:r/>
            <w:r>
              <w:rPr>
                <w:b/>
                <w:color w:val="FFFFFF"/>
                <w:sz w:val="20"/>
              </w:rPr>
              <w:t>What is needed</w:t>
            </w:r>
          </w:p>
        </w:tc>
      </w:tr>
      <w:tr>
        <w:tc>
          <w:tcPr>
            <w:tcW w:type="dxa" w:w="2551"/>
          </w:tcPr>
          <w:p>
            <w:r>
              <w:rPr>
                <w:sz w:val="20"/>
              </w:rPr>
            </w:r>
            <w:r>
              <w:rPr>
                <w:sz w:val="20"/>
              </w:rPr>
              <w:t>Licence</w:t>
            </w:r>
          </w:p>
        </w:tc>
        <w:tc>
          <w:tcPr>
            <w:tcW w:type="dxa" w:w="7087"/>
          </w:tcPr>
          <w:p>
            <w:r>
              <w:rPr>
                <w:sz w:val="20"/>
              </w:rPr>
            </w:r>
            <w:r>
              <w:rPr>
                <w:sz w:val="20"/>
              </w:rPr>
              <w:t>A Microsoft 365 / Office 365 licence that includes Power Automate for Office 365 (included in most Business and E3/E5 plans). The Power Automate service plan must be switched ON for the user.</w:t>
            </w:r>
          </w:p>
        </w:tc>
      </w:tr>
      <w:tr>
        <w:tc>
          <w:tcPr>
            <w:tcW w:type="dxa" w:w="2551"/>
          </w:tcPr>
          <w:p>
            <w:r>
              <w:rPr>
                <w:sz w:val="20"/>
              </w:rPr>
            </w:r>
            <w:r>
              <w:rPr>
                <w:sz w:val="20"/>
              </w:rPr>
              <w:t>Environment</w:t>
            </w:r>
          </w:p>
        </w:tc>
        <w:tc>
          <w:tcPr>
            <w:tcW w:type="dxa" w:w="7087"/>
          </w:tcPr>
          <w:p>
            <w:r>
              <w:rPr>
                <w:sz w:val="20"/>
              </w:rPr>
            </w:r>
            <w:r>
              <w:rPr>
                <w:sz w:val="20"/>
              </w:rPr>
              <w:t>Users can create cloud flows in the Default environment (or a training environment that IT provides).</w:t>
            </w:r>
          </w:p>
        </w:tc>
      </w:tr>
      <w:tr>
        <w:tc>
          <w:tcPr>
            <w:tcW w:type="dxa" w:w="2551"/>
          </w:tcPr>
          <w:p>
            <w:r>
              <w:rPr>
                <w:sz w:val="20"/>
              </w:rPr>
            </w:r>
            <w:r>
              <w:rPr>
                <w:sz w:val="20"/>
              </w:rPr>
              <w:t>Connectors allowed (DLP policy)</w:t>
            </w:r>
          </w:p>
        </w:tc>
        <w:tc>
          <w:tcPr>
            <w:tcW w:type="dxa" w:w="7087"/>
          </w:tcPr>
          <w:p>
            <w:r>
              <w:rPr>
                <w:sz w:val="20"/>
              </w:rPr>
            </w:r>
            <w:r>
              <w:rPr>
                <w:sz w:val="20"/>
              </w:rPr>
              <w:t>Office 365 Outlook, OneDrive for Business, Excel Online (Business), Approvals, Microsoft Forms, Microsoft Teams (optional), Office 365 Users (optional), Notifications. These must be allowed together in the same DLP group (all in “Business”).</w:t>
            </w:r>
          </w:p>
        </w:tc>
      </w:tr>
      <w:tr>
        <w:tc>
          <w:tcPr>
            <w:tcW w:type="dxa" w:w="2551"/>
          </w:tcPr>
          <w:p>
            <w:r>
              <w:rPr>
                <w:sz w:val="20"/>
              </w:rPr>
            </w:r>
            <w:r>
              <w:rPr>
                <w:sz w:val="20"/>
              </w:rPr>
              <w:t>Approvals</w:t>
            </w:r>
          </w:p>
        </w:tc>
        <w:tc>
          <w:tcPr>
            <w:tcW w:type="dxa" w:w="7087"/>
          </w:tcPr>
          <w:p>
            <w:r>
              <w:rPr>
                <w:sz w:val="20"/>
              </w:rPr>
            </w:r>
            <w:r>
              <w:rPr>
                <w:sz w:val="20"/>
              </w:rPr>
              <w:t>The Approvals feature can be used in the environment (it is set up automatically the first time someone uses it — this may require the Default environment to have Dataverse provisioned).</w:t>
            </w:r>
          </w:p>
        </w:tc>
      </w:tr>
      <w:tr>
        <w:tc>
          <w:tcPr>
            <w:tcW w:type="dxa" w:w="2551"/>
          </w:tcPr>
          <w:p>
            <w:r>
              <w:rPr>
                <w:sz w:val="20"/>
              </w:rPr>
            </w:r>
            <w:r>
              <w:rPr>
                <w:sz w:val="20"/>
              </w:rPr>
              <w:t>Browser access</w:t>
            </w:r>
          </w:p>
        </w:tc>
        <w:tc>
          <w:tcPr>
            <w:tcW w:type="dxa" w:w="7087"/>
          </w:tcPr>
          <w:p>
            <w:r>
              <w:rPr>
                <w:sz w:val="20"/>
              </w:rPr>
            </w:r>
            <w:r>
              <w:rPr>
                <w:sz w:val="20"/>
              </w:rPr>
              <w:t>make.powerautomate.com, forms.office.com, OneDrive and Outlook on the web are not blocked by proxy / firewall on the training laptop and on the training-room Wi-Fi.</w:t>
            </w:r>
          </w:p>
        </w:tc>
      </w:tr>
    </w:tbl>
    <w:tbl>
      <w:tblPr>
        <w:tblStyle w:val="TableGrid"/>
        <w:tblW w:type="auto" w:w="0"/>
        <w:tblLook w:firstColumn="1" w:firstRow="1" w:lastColumn="0" w:lastRow="0" w:noHBand="0" w:noVBand="1" w:val="04A0"/>
      </w:tblPr>
      <w:tblGrid>
        <w:gridCol w:w="9972"/>
      </w:tblGrid>
      <w:tr>
        <w:tc>
          <w:tcPr>
            <w:tcW w:type="dxa" w:w="9972"/>
            <w:shd w:val="clear" w:color="auto" w:fill="EAF1FB"/>
          </w:tcPr>
          <w:p>
            <w:r/>
            <w:r>
              <w:rPr>
                <w:b/>
              </w:rPr>
              <w:t>Stuck? Contact your trainer</w:t>
            </w:r>
          </w:p>
          <w:p>
            <w:pPr>
              <w:spacing w:after="20"/>
            </w:pPr>
            <w:r>
              <w:rPr>
                <w:b/>
              </w:rPr>
              <w:t>Mohd Arif Mohd Ghazali</w:t>
            </w:r>
            <w:r>
              <w:t xml:space="preserve"> — AI &amp; Digital Transformation Consultant</w:t>
            </w:r>
          </w:p>
          <w:p>
            <w:pPr>
              <w:spacing w:after="20"/>
            </w:pPr>
            <w:r>
              <w:t>Send your screenshots and this sheet before the training day so we can sort it out in advance.</w:t>
            </w:r>
          </w:p>
        </w:tc>
      </w:tr>
    </w:tbl>
    <w:p>
      <w:pPr>
        <w:spacing w:after="0"/>
      </w:pP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