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Forsa AI — Evaluation Dataset and Results</w:t>
      </w:r>
    </w:p>
    <w:p>
      <w:r>
        <w:rPr>
          <w:b/>
        </w:rPr>
        <w:t>Technical Report · Decoding Data Science / Tamkeen AI Agent Challenge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</w:tcPr>
          <w:p>
            <w:pPr>
              <w:spacing w:after="40"/>
            </w:pPr>
            <w:r>
              <w:rPr>
                <w:b/>
                <w:sz w:val="19"/>
              </w:rPr>
              <w:t>Project</w:t>
            </w:r>
          </w:p>
        </w:tc>
        <w:tc>
          <w:tcPr>
            <w:tcW w:type="dxa" w:w="4752"/>
          </w:tcPr>
          <w:p>
            <w:pPr>
              <w:spacing w:after="40"/>
            </w:pPr>
            <w:r>
              <w:rPr>
                <w:sz w:val="19"/>
              </w:rPr>
              <w:t>Forsa AI — Real-Time Voice Interviewer &amp; Performance Evaluator</w:t>
            </w:r>
          </w:p>
        </w:tc>
      </w:tr>
      <w:tr>
        <w:tc>
          <w:tcPr>
            <w:tcW w:type="dxa" w:w="4752"/>
            <w:shd w:val="clear" w:fill="F7F9FB"/>
          </w:tcPr>
          <w:p>
            <w:pPr>
              <w:spacing w:after="40"/>
            </w:pPr>
            <w:r>
              <w:rPr>
                <w:b/>
                <w:sz w:val="19"/>
              </w:rPr>
              <w:t>Builder</w:t>
            </w:r>
          </w:p>
        </w:tc>
        <w:tc>
          <w:tcPr>
            <w:tcW w:type="dxa" w:w="4752"/>
            <w:shd w:val="clear" w:fill="F7F9FB"/>
          </w:tcPr>
          <w:p>
            <w:pPr>
              <w:spacing w:after="40"/>
            </w:pPr>
            <w:r>
              <w:rPr>
                <w:sz w:val="19"/>
              </w:rPr>
              <w:t>Al-Munther Hilal Al-Harrasi (Individual Builder)</w:t>
            </w:r>
          </w:p>
        </w:tc>
      </w:tr>
      <w:tr>
        <w:tc>
          <w:tcPr>
            <w:tcW w:type="dxa" w:w="4752"/>
          </w:tcPr>
          <w:p>
            <w:pPr>
              <w:spacing w:after="40"/>
            </w:pPr>
            <w:r>
              <w:rPr>
                <w:b/>
                <w:sz w:val="19"/>
              </w:rPr>
              <w:t>Track</w:t>
            </w:r>
          </w:p>
        </w:tc>
        <w:tc>
          <w:tcPr>
            <w:tcW w:type="dxa" w:w="4752"/>
          </w:tcPr>
          <w:p>
            <w:pPr>
              <w:spacing w:after="40"/>
            </w:pPr>
            <w:r>
              <w:rPr>
                <w:sz w:val="19"/>
              </w:rPr>
              <w:t>LLM/API Integration (Code-First)</w:t>
            </w:r>
          </w:p>
        </w:tc>
      </w:tr>
      <w:tr>
        <w:tc>
          <w:tcPr>
            <w:tcW w:type="dxa" w:w="4752"/>
            <w:shd w:val="clear" w:fill="F7F9FB"/>
          </w:tcPr>
          <w:p>
            <w:pPr>
              <w:spacing w:after="40"/>
            </w:pPr>
            <w:r>
              <w:rPr>
                <w:b/>
                <w:sz w:val="19"/>
              </w:rPr>
              <w:t>Repository</w:t>
            </w:r>
          </w:p>
        </w:tc>
        <w:tc>
          <w:tcPr>
            <w:tcW w:type="dxa" w:w="4752"/>
            <w:shd w:val="clear" w:fill="F7F9FB"/>
          </w:tcPr>
          <w:p>
            <w:pPr>
              <w:spacing w:after="40"/>
            </w:pPr>
            <w:r>
              <w:rPr>
                <w:sz w:val="19"/>
              </w:rPr>
              <w:t>https://github.com/muntherh/forsa-ai-agent</w:t>
            </w:r>
          </w:p>
        </w:tc>
      </w:tr>
      <w:tr>
        <w:tc>
          <w:tcPr>
            <w:tcW w:type="dxa" w:w="4752"/>
          </w:tcPr>
          <w:p>
            <w:pPr>
              <w:spacing w:after="40"/>
            </w:pPr>
            <w:r>
              <w:rPr>
                <w:b/>
                <w:sz w:val="19"/>
              </w:rPr>
              <w:t>Harness</w:t>
            </w:r>
          </w:p>
        </w:tc>
        <w:tc>
          <w:tcPr>
            <w:tcW w:type="dxa" w:w="4752"/>
          </w:tcPr>
          <w:p>
            <w:pPr>
              <w:spacing w:after="40"/>
            </w:pPr>
            <w:r>
              <w:rPr>
                <w:rFonts w:ascii="Consolas" w:hAnsi="Consolas"/>
                <w:color w:val="1F4E79"/>
                <w:sz w:val="19"/>
              </w:rPr>
              <w:t>evaluation/</w:t>
            </w:r>
            <w:r>
              <w:rPr>
                <w:sz w:val="19"/>
              </w:rPr>
              <w:t xml:space="preserve"> — 371 lines, 0 additional dependencies</w:t>
            </w:r>
          </w:p>
        </w:tc>
      </w:tr>
      <w:tr>
        <w:tc>
          <w:tcPr>
            <w:tcW w:type="dxa" w:w="4752"/>
            <w:shd w:val="clear" w:fill="F7F9FB"/>
          </w:tcPr>
          <w:p>
            <w:pPr>
              <w:spacing w:after="40"/>
            </w:pPr>
            <w:r>
              <w:rPr>
                <w:b/>
                <w:sz w:val="19"/>
              </w:rPr>
              <w:t>Reproduce</w:t>
            </w:r>
          </w:p>
        </w:tc>
        <w:tc>
          <w:tcPr>
            <w:tcW w:type="dxa" w:w="4752"/>
            <w:shd w:val="clear" w:fill="F7F9FB"/>
          </w:tcPr>
          <w:p>
            <w:pPr>
              <w:spacing w:after="40"/>
            </w:pPr>
            <w:r>
              <w:rPr>
                <w:rFonts w:ascii="Consolas" w:hAnsi="Consolas"/>
                <w:color w:val="1F4E79"/>
                <w:sz w:val="19"/>
              </w:rPr>
              <w:t>npm run eval</w:t>
            </w:r>
            <w:r>
              <w:rPr>
                <w:sz w:val="19"/>
              </w:rPr>
              <w:t xml:space="preserve"> (deterministic set) · </w:t>
            </w:r>
            <w:r>
              <w:rPr>
                <w:rFonts w:ascii="Consolas" w:hAnsi="Consolas"/>
                <w:color w:val="1F4E79"/>
                <w:sz w:val="19"/>
              </w:rPr>
              <w:t>npm run eval -- --live</w:t>
            </w:r>
            <w:r>
              <w:rPr>
                <w:sz w:val="19"/>
              </w:rPr>
              <w:t xml:space="preserve"> (full set)</w:t>
            </w:r>
          </w:p>
        </w:tc>
      </w:tr>
    </w:tbl>
    <w:p/>
    <w:p>
      <w:pPr>
        <w:spacing w:after="40"/>
        <w:pBdr>
          <w:bottom w:val="single" w:sz="6" w:space="1" w:color="C9D2DA"/>
        </w:pBdr>
      </w:pPr>
    </w:p>
    <w:p>
      <w:pPr>
        <w:pStyle w:val="Heading2"/>
      </w:pPr>
      <w:r>
        <w:t>1. Introduction &amp; Methodology</w:t>
      </w:r>
    </w:p>
    <w:p>
      <w:pPr>
        <w:pStyle w:val="Heading3"/>
      </w:pPr>
      <w:r>
        <w:t>1.1 Why this system requires evidence, not assertion</w:t>
      </w:r>
    </w:p>
    <w:p>
      <w:r>
        <w:t xml:space="preserve">Forsa AI issues a </w:t>
      </w:r>
      <w:r>
        <w:rPr>
          <w:b/>
        </w:rPr>
        <w:t>scored judgement about a person</w:t>
      </w:r>
      <w:r>
        <w:t xml:space="preserve"> and converts that judgement into a personalised development plan. That raises the evidentiary bar above conventional web software. A scorecard can render beautifully while being structurally unsound. An interviewer can sound fluent while silently substituting a job title it recognises for the one the candidate actually requested. Both failures are invisible to the user and invisible to a passing build.</w:t>
      </w:r>
    </w:p>
    <w:p>
      <w:r>
        <w:t xml:space="preserve">The evaluation strategy therefore targets the properties that are </w:t>
      </w:r>
      <w:r>
        <w:rPr>
          <w:b/>
        </w:rPr>
        <w:t>falsifiable in software</w:t>
      </w:r>
      <w:r>
        <w:t xml:space="preserve"> — contract integrity, input robustness, and determinism — and states explicitly where a property cannot be measured without live upstream credentials.</w:t>
      </w:r>
    </w:p>
    <w:p>
      <w:pPr>
        <w:pStyle w:val="Heading3"/>
      </w:pPr>
      <w:r>
        <w:t>1.2 The harness: real modules, no mocks</w:t>
      </w:r>
    </w:p>
    <w:p>
      <w:r>
        <w:t xml:space="preserve">The suite lives in the repository at </w:t>
      </w:r>
      <w:r>
        <w:rPr>
          <w:rFonts w:ascii="Consolas" w:hAnsi="Consolas"/>
          <w:color w:val="1F4E79"/>
          <w:sz w:val="19"/>
        </w:rPr>
        <w:t>evaluation/</w:t>
      </w:r>
      <w:r>
        <w:t xml:space="preserve"> and is executed with </w:t>
      </w:r>
      <w:r>
        <w:rPr>
          <w:rFonts w:ascii="Consolas" w:hAnsi="Consolas"/>
          <w:color w:val="1F4E79"/>
          <w:sz w:val="19"/>
        </w:rPr>
        <w:t>npm run eval</w:t>
      </w:r>
      <w:r>
        <w:t xml:space="preserve">. Its defining architectural decision is that </w:t>
      </w:r>
      <w:r>
        <w:rPr>
          <w:b/>
        </w:rPr>
        <w:t>every case imports and exercises the production modules directly</w:t>
      </w:r>
      <w:r>
        <w:t>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fill="F4F6F8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evaluation/cases.mts  →  lib/assistant.ts    (agent construction, variable injection)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                  →  lib/rubric.ts       (evaluation prompt, Zod schema)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                  →  lib/roles.ts        (role taxonomy)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                  →  lib/upskilling.ts   (recommendation engine)</w:t>
            </w:r>
          </w:p>
        </w:tc>
      </w:tr>
    </w:tbl>
    <w:p/>
    <w:p>
      <w:r>
        <w:t xml:space="preserve">No logic is reimplemented inside a test double. A passing case therefore reflects </w:t>
      </w:r>
      <w:r>
        <w:rPr>
          <w:b/>
        </w:rPr>
        <w:t>shipped behaviour</w:t>
      </w:r>
      <w:r>
        <w:t>, not a parallel mock that can drift from it — the single most common way a green test suite comes to certify nothing.</w:t>
      </w:r>
    </w:p>
    <w:p>
      <w:pPr>
        <w:pStyle w:val="Heading3"/>
      </w:pPr>
      <w:r>
        <w:t>1.3 Zero-dependency, zero-build execution</w:t>
      </w:r>
    </w:p>
    <w:p>
      <w:r>
        <w:t xml:space="preserve">The harness runs the TypeScript sources directly through </w:t>
      </w:r>
      <w:r>
        <w:rPr>
          <w:b/>
        </w:rPr>
        <w:t>Node's native type stripping</w:t>
      </w:r>
      <w:r>
        <w:t xml:space="preserve"> (</w:t>
      </w:r>
      <w:r>
        <w:rPr>
          <w:rFonts w:ascii="Consolas" w:hAnsi="Consolas"/>
          <w:color w:val="1F4E79"/>
          <w:sz w:val="19"/>
        </w:rPr>
        <w:t>node --experimental-strip-types</w:t>
      </w:r>
      <w:r>
        <w:t xml:space="preserve">, Node v22.22.2). There is no transpilation step, no bundler, and no test framework added to the dependency tree. The entire suite is 371 lines and adds </w:t>
      </w:r>
      <w:r>
        <w:rPr>
          <w:b/>
        </w:rPr>
        <w:t>zero</w:t>
      </w:r>
      <w:r>
        <w:t xml:space="preserve"> packages to </w:t>
      </w:r>
      <w:r>
        <w:rPr>
          <w:rFonts w:ascii="Consolas" w:hAnsi="Consolas"/>
          <w:color w:val="1F4E79"/>
          <w:sz w:val="19"/>
        </w:rPr>
        <w:t>package.json</w:t>
      </w:r>
      <w:r>
        <w:t xml:space="preserve"> — a deliberate choice, since an evaluation apparatus that itself introduces supply-chain surface is a poor trade for a security-conscious submission.</w:t>
      </w:r>
    </w:p>
    <w:p>
      <w:pPr>
        <w:pStyle w:val="Heading3"/>
      </w:pPr>
      <w:r>
        <w:t>1.4 Measurement honesty as a design constraint</w:t>
      </w:r>
    </w:p>
    <w:p>
      <w:r>
        <w:t xml:space="preserve">Each case declares a </w:t>
      </w:r>
      <w:r>
        <w:rPr>
          <w:rFonts w:ascii="Consolas" w:hAnsi="Consolas"/>
          <w:color w:val="1F4E79"/>
          <w:sz w:val="19"/>
        </w:rPr>
        <w:t>mode</w:t>
      </w:r>
      <w:r>
        <w:t>:</w:t>
      </w:r>
    </w:p>
    <w:p>
      <w:pPr>
        <w:pStyle w:val="ListBullet"/>
        <w:spacing w:after="80"/>
        <w:ind w:left="403"/>
      </w:pPr>
      <w:r>
        <w:rPr>
          <w:b/>
        </w:rPr>
        <w:t>`offline`</w:t>
      </w:r>
      <w:r>
        <w:t xml:space="preserve"> — fully deterministic. No API key, no network, no external state.</w:t>
      </w:r>
    </w:p>
    <w:p>
      <w:pPr>
        <w:pStyle w:val="ListBullet"/>
        <w:spacing w:after="80"/>
        <w:ind w:left="403"/>
      </w:pPr>
      <w:r>
        <w:rPr>
          <w:b/>
        </w:rPr>
        <w:t>`liveKey`</w:t>
      </w:r>
      <w:r>
        <w:t xml:space="preserve"> — requires a running server or upstream credential.</w:t>
      </w:r>
    </w:p>
    <w:p>
      <w:r>
        <w:t xml:space="preserve">Cases requiring credentials are </w:t>
      </w:r>
      <w:r>
        <w:rPr>
          <w:b/>
        </w:rPr>
        <w:t>skipped by default and reported in a separate tally</w:t>
      </w:r>
      <w:r>
        <w:t>. The runner is structurally incapable of printing a skipped case as passed. A failure exits non-zero, allowing the suite to gate CI. This is what permits the results in §3 to be read as measurements rather than claims.</w:t>
      </w:r>
    </w:p>
    <w:p>
      <w:pPr>
        <w:spacing w:after="40"/>
        <w:pBdr>
          <w:bottom w:val="single" w:sz="6" w:space="1" w:color="C9D2DA"/>
        </w:pBdr>
      </w:pPr>
    </w:p>
    <w:p>
      <w:pPr>
        <w:pStyle w:val="Heading2"/>
      </w:pPr>
      <w:r>
        <w:t>2. Benchmark Dataset Breakdown</w:t>
      </w:r>
    </w:p>
    <w:p>
      <w:r>
        <w:t xml:space="preserve">The dataset comprises </w:t>
      </w:r>
      <w:r>
        <w:rPr>
          <w:b/>
        </w:rPr>
        <w:t>16 cases across 5 dimensions</w:t>
      </w:r>
      <w:r>
        <w:t>, weighted deliberately toward the failure modes that matter for an interview product: unrecognised job titles, degenerate CV input, and malformed model output.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val="clear" w:fill="0B2E4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Dimension</w:t>
            </w:r>
          </w:p>
        </w:tc>
        <w:tc>
          <w:tcPr>
            <w:tcW w:type="dxa" w:w="3168"/>
            <w:shd w:val="clear" w:fill="0B2E4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Cases</w:t>
            </w:r>
          </w:p>
        </w:tc>
        <w:tc>
          <w:tcPr>
            <w:tcW w:type="dxa" w:w="3168"/>
            <w:shd w:val="clear" w:fill="0B2E4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Property certified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b/>
                <w:sz w:val="19"/>
              </w:rPr>
              <w:t>A — Role &amp; competency extraction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4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 xml:space="preserve">Catalogue </w:t>
            </w:r>
            <w:r>
              <w:rPr>
                <w:i/>
                <w:sz w:val="19"/>
              </w:rPr>
              <w:t>and</w:t>
            </w:r>
            <w:r>
              <w:rPr>
                <w:sz w:val="19"/>
              </w:rPr>
              <w:t xml:space="preserve"> free-text titles reach both the interviewer and the evaluator unaltered</w:t>
            </w:r>
          </w:p>
        </w:tc>
      </w:tr>
      <w:tr>
        <w:tc>
          <w:tcPr>
            <w:tcW w:type="dxa" w:w="3168"/>
            <w:shd w:val="clear" w:fill="F7F9FB"/>
          </w:tcPr>
          <w:p>
            <w:pPr>
              <w:spacing w:after="40"/>
            </w:pPr>
            <w:r>
              <w:rPr>
                <w:b/>
                <w:sz w:val="19"/>
              </w:rPr>
              <w:t>B — CV context handling</w:t>
            </w:r>
          </w:p>
        </w:tc>
        <w:tc>
          <w:tcPr>
            <w:tcW w:type="dxa" w:w="3168"/>
            <w:shd w:val="clear" w:fill="F7F9FB"/>
          </w:tcPr>
          <w:p>
            <w:pPr>
              <w:spacing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3168"/>
            <w:shd w:val="clear" w:fill="F7F9FB"/>
          </w:tcPr>
          <w:p>
            <w:pPr>
              <w:spacing w:after="40"/>
            </w:pPr>
            <w:r>
              <w:rPr>
                <w:sz w:val="19"/>
              </w:rPr>
              <w:t>Absent, sparse, and adversarial CV inputs degrade gracefully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b/>
                <w:sz w:val="19"/>
              </w:rPr>
              <w:t>C — Schema conformance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4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Malformed model output is rejected before reaching the UI</w:t>
            </w:r>
          </w:p>
        </w:tc>
      </w:tr>
      <w:tr>
        <w:tc>
          <w:tcPr>
            <w:tcW w:type="dxa" w:w="3168"/>
            <w:shd w:val="clear" w:fill="F7F9FB"/>
          </w:tcPr>
          <w:p>
            <w:pPr>
              <w:spacing w:after="40"/>
            </w:pPr>
            <w:r>
              <w:rPr>
                <w:b/>
                <w:sz w:val="19"/>
              </w:rPr>
              <w:t>D — Upskilling recommendation logic</w:t>
            </w:r>
          </w:p>
        </w:tc>
        <w:tc>
          <w:tcPr>
            <w:tcW w:type="dxa" w:w="3168"/>
            <w:shd w:val="clear" w:fill="F7F9FB"/>
          </w:tcPr>
          <w:p>
            <w:pPr>
              <w:spacing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3168"/>
            <w:shd w:val="clear" w:fill="F7F9FB"/>
          </w:tcPr>
          <w:p>
            <w:pPr>
              <w:spacing w:after="40"/>
            </w:pPr>
            <w:r>
              <w:rPr>
                <w:sz w:val="19"/>
              </w:rPr>
              <w:t>Recommendations trace to a real deficit, bounded and non-duplicated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b/>
                <w:sz w:val="19"/>
              </w:rPr>
              <w:t>E — Agent &amp; API contract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2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Assistant is self-contained; the API rejects bad input before spending an upstream call</w:t>
            </w:r>
          </w:p>
        </w:tc>
      </w:tr>
    </w:tbl>
    <w:p/>
    <w:p>
      <w:pPr>
        <w:pStyle w:val="Heading3"/>
      </w:pPr>
      <w:r>
        <w:t>2.1 Dimension A — Custom role parsing and competency extraction</w:t>
      </w:r>
    </w:p>
    <w:p>
      <w:r>
        <w:t xml:space="preserve">Forsa AI accepts arbitrary free-text job titles. The architectural risk is </w:t>
      </w:r>
      <w:r>
        <w:rPr>
          <w:b/>
        </w:rPr>
        <w:t>silent normalisation</w:t>
      </w:r>
      <w:r>
        <w:t>: a model that quietly interviews a "Quantitative Researcher" as a generic Data Scientist produces a plausible-sounding but invalid assessment.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val="clear" w:fill="0B2E4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3168"/>
            <w:shd w:val="clear" w:fill="0B2E4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Case</w:t>
            </w:r>
          </w:p>
        </w:tc>
        <w:tc>
          <w:tcPr>
            <w:tcW w:type="dxa" w:w="3168"/>
            <w:shd w:val="clear" w:fill="0B2E4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Assertion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b/>
                <w:sz w:val="19"/>
              </w:rPr>
              <w:t>A1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Catalogue role reaches the live agent verbatim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rFonts w:ascii="Consolas" w:hAnsi="Consolas"/>
                <w:color w:val="1F4E79"/>
                <w:sz w:val="19"/>
              </w:rPr>
              <w:t>buildInterviewVariableValues()</w:t>
            </w:r>
            <w:r>
              <w:rPr>
                <w:sz w:val="19"/>
              </w:rPr>
              <w:t xml:space="preserve"> injects the exact label into the Vapi call's </w:t>
            </w:r>
            <w:r>
              <w:rPr>
                <w:rFonts w:ascii="Consolas" w:hAnsi="Consolas"/>
                <w:color w:val="1F4E79"/>
                <w:sz w:val="19"/>
              </w:rPr>
              <w:t>variableValues</w:t>
            </w:r>
          </w:p>
        </w:tc>
      </w:tr>
      <w:tr>
        <w:tc>
          <w:tcPr>
            <w:tcW w:type="dxa" w:w="3168"/>
            <w:shd w:val="clear" w:fill="F7F9FB"/>
          </w:tcPr>
          <w:p>
            <w:pPr>
              <w:spacing w:after="40"/>
            </w:pPr>
            <w:r>
              <w:rPr>
                <w:b/>
                <w:sz w:val="19"/>
              </w:rPr>
              <w:t>A2</w:t>
            </w:r>
          </w:p>
        </w:tc>
        <w:tc>
          <w:tcPr>
            <w:tcW w:type="dxa" w:w="3168"/>
            <w:shd w:val="clear" w:fill="F7F9FB"/>
          </w:tcPr>
          <w:p>
            <w:pPr>
              <w:spacing w:after="40"/>
            </w:pPr>
            <w:r>
              <w:rPr>
                <w:sz w:val="19"/>
              </w:rPr>
              <w:t xml:space="preserve">Hybrid custom title is </w:t>
            </w:r>
            <w:r>
              <w:rPr>
                <w:b/>
                <w:sz w:val="19"/>
              </w:rPr>
              <w:t>not</w:t>
            </w:r>
            <w:r>
              <w:rPr>
                <w:sz w:val="19"/>
              </w:rPr>
              <w:t xml:space="preserve"> coerced to a preset</w:t>
            </w:r>
          </w:p>
        </w:tc>
        <w:tc>
          <w:tcPr>
            <w:tcW w:type="dxa" w:w="3168"/>
            <w:shd w:val="clear" w:fill="F7F9FB"/>
          </w:tcPr>
          <w:p>
            <w:pPr>
              <w:spacing w:after="40"/>
            </w:pPr>
            <w:r>
              <w:rPr>
                <w:rFonts w:ascii="Consolas" w:hAnsi="Consolas"/>
                <w:color w:val="1F4E79"/>
                <w:sz w:val="19"/>
              </w:rPr>
              <w:t>"Quantitative Researcher (Systematic Macro)"</w:t>
            </w:r>
            <w:r>
              <w:rPr>
                <w:sz w:val="19"/>
              </w:rPr>
              <w:t xml:space="preserve"> survives verbatim and matches </w:t>
            </w:r>
            <w:r>
              <w:rPr>
                <w:b/>
                <w:sz w:val="19"/>
              </w:rPr>
              <w:t>no</w:t>
            </w:r>
            <w:r>
              <w:rPr>
                <w:sz w:val="19"/>
              </w:rPr>
              <w:t xml:space="preserve"> catalogue entry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b/>
                <w:sz w:val="19"/>
              </w:rPr>
              <w:t>A3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 xml:space="preserve">Custom title also reaches the </w:t>
            </w:r>
            <w:r>
              <w:rPr>
                <w:i/>
                <w:sz w:val="19"/>
              </w:rPr>
              <w:t>evaluation</w:t>
            </w:r>
            <w:r>
              <w:rPr>
                <w:sz w:val="19"/>
              </w:rPr>
              <w:t xml:space="preserve"> prompt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The scorer is calibrated to the same title as the interviewer — no interviewer/evaluator drift</w:t>
            </w:r>
          </w:p>
        </w:tc>
      </w:tr>
      <w:tr>
        <w:tc>
          <w:tcPr>
            <w:tcW w:type="dxa" w:w="3168"/>
            <w:shd w:val="clear" w:fill="F7F9FB"/>
          </w:tcPr>
          <w:p>
            <w:pPr>
              <w:spacing w:after="40"/>
            </w:pPr>
            <w:r>
              <w:rPr>
                <w:b/>
                <w:sz w:val="19"/>
              </w:rPr>
              <w:t>A4</w:t>
            </w:r>
          </w:p>
        </w:tc>
        <w:tc>
          <w:tcPr>
            <w:tcW w:type="dxa" w:w="3168"/>
            <w:shd w:val="clear" w:fill="F7F9FB"/>
          </w:tcPr>
          <w:p>
            <w:pPr>
              <w:spacing w:after="40"/>
            </w:pPr>
            <w:r>
              <w:rPr>
                <w:sz w:val="19"/>
              </w:rPr>
              <w:t>Taxonomy integrity</w:t>
            </w:r>
          </w:p>
        </w:tc>
        <w:tc>
          <w:tcPr>
            <w:tcW w:type="dxa" w:w="3168"/>
            <w:shd w:val="clear" w:fill="F7F9FB"/>
          </w:tcPr>
          <w:p>
            <w:pPr>
              <w:spacing w:after="40"/>
            </w:pPr>
            <w:r>
              <w:rPr>
                <w:sz w:val="19"/>
              </w:rPr>
              <w:t>All role ids unique, all labels non-empty, no empty categories</w:t>
            </w:r>
          </w:p>
        </w:tc>
      </w:tr>
    </w:tbl>
    <w:p/>
    <w:p>
      <w:r>
        <w:t xml:space="preserve">The title in </w:t>
      </w:r>
      <w:r>
        <w:rPr>
          <w:b/>
        </w:rPr>
        <w:t>A2</w:t>
      </w:r>
      <w:r>
        <w:t xml:space="preserve"> is chosen adversarially: it contains a parenthetical sub-specialisation, spans two recognised disciplines, and appears nowhere in the 43-role catalogue.</w:t>
      </w:r>
    </w:p>
    <w:p>
      <w:pPr>
        <w:pStyle w:val="Heading3"/>
      </w:pPr>
      <w:r>
        <w:t>2.2 Dimension B — Edge-case CV inputs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val="clear" w:fill="0B2E4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3168"/>
            <w:shd w:val="clear" w:fill="0B2E4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Input profile</w:t>
            </w:r>
          </w:p>
        </w:tc>
        <w:tc>
          <w:tcPr>
            <w:tcW w:type="dxa" w:w="3168"/>
            <w:shd w:val="clear" w:fill="0B2E4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Assertion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b/>
                <w:sz w:val="19"/>
              </w:rPr>
              <w:t>B1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b/>
                <w:sz w:val="19"/>
              </w:rPr>
              <w:t>Absent</w:t>
            </w:r>
            <w:r>
              <w:rPr>
                <w:sz w:val="19"/>
              </w:rPr>
              <w:t xml:space="preserve"> — no CV uploaded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rFonts w:ascii="Consolas" w:hAnsi="Consolas"/>
                <w:color w:val="1F4E79"/>
                <w:sz w:val="19"/>
              </w:rPr>
              <w:t>cvContext</w:t>
            </w:r>
            <w:r>
              <w:rPr>
                <w:sz w:val="19"/>
              </w:rPr>
              <w:t xml:space="preserve"> resolves to empty string; the system prompt directs the agent to run a general interview rather than hallucinate a background</w:t>
            </w:r>
          </w:p>
        </w:tc>
      </w:tr>
      <w:tr>
        <w:tc>
          <w:tcPr>
            <w:tcW w:type="dxa" w:w="3168"/>
            <w:shd w:val="clear" w:fill="F7F9FB"/>
          </w:tcPr>
          <w:p>
            <w:pPr>
              <w:spacing w:after="40"/>
            </w:pPr>
            <w:r>
              <w:rPr>
                <w:b/>
                <w:sz w:val="19"/>
              </w:rPr>
              <w:t>B2</w:t>
            </w:r>
          </w:p>
        </w:tc>
        <w:tc>
          <w:tcPr>
            <w:tcW w:type="dxa" w:w="3168"/>
            <w:shd w:val="clear" w:fill="F7F9FB"/>
          </w:tcPr>
          <w:p>
            <w:pPr>
              <w:spacing w:after="40"/>
            </w:pPr>
            <w:r>
              <w:rPr>
                <w:b/>
                <w:sz w:val="19"/>
              </w:rPr>
              <w:t>Extremely sparse</w:t>
            </w:r>
            <w:r>
              <w:rPr>
                <w:sz w:val="19"/>
              </w:rPr>
              <w:t xml:space="preserve"> — 27 characters (</w:t>
            </w:r>
            <w:r>
              <w:rPr>
                <w:rFonts w:ascii="Consolas" w:hAnsi="Consolas"/>
                <w:color w:val="1F4E79"/>
                <w:sz w:val="19"/>
              </w:rPr>
              <w:t>"Jane Doe. Graduate. Python."</w:t>
            </w:r>
            <w:r>
              <w:rPr>
                <w:sz w:val="19"/>
              </w:rPr>
              <w:t>)</w:t>
            </w:r>
          </w:p>
        </w:tc>
        <w:tc>
          <w:tcPr>
            <w:tcW w:type="dxa" w:w="3168"/>
            <w:shd w:val="clear" w:fill="F7F9FB"/>
          </w:tcPr>
          <w:p>
            <w:pPr>
              <w:spacing w:after="40"/>
            </w:pPr>
            <w:r>
              <w:rPr>
                <w:sz w:val="19"/>
              </w:rPr>
              <w:t>Forwarded byte-identical. No padding, no inferred experience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b/>
                <w:sz w:val="19"/>
              </w:rPr>
              <w:t>B3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b/>
                <w:sz w:val="19"/>
              </w:rPr>
              <w:t>Adversarial / oversized</w:t>
            </w:r>
            <w:r>
              <w:rPr>
                <w:sz w:val="19"/>
              </w:rPr>
              <w:t xml:space="preserve"> — 5,000+ characters containing embedded double quotes, tabs, and CRLF sequences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 xml:space="preserve">Capped to </w:t>
            </w:r>
            <w:r>
              <w:rPr>
                <w:b/>
                <w:sz w:val="19"/>
              </w:rPr>
              <w:t>1,000 characters</w:t>
            </w:r>
            <w:r>
              <w:rPr>
                <w:sz w:val="19"/>
              </w:rPr>
              <w:t>; quotes, newlines, tabs and repeated whitespace stripped before entering the call payload</w:t>
            </w:r>
          </w:p>
        </w:tc>
      </w:tr>
    </w:tbl>
    <w:p/>
    <w:p>
      <w:r>
        <w:rPr>
          <w:b/>
        </w:rPr>
        <w:t>B3</w:t>
      </w:r>
      <w:r>
        <w:t xml:space="preserve"> protects a real failure mode. The Vapi call-start request carries </w:t>
      </w:r>
      <w:r>
        <w:rPr>
          <w:rFonts w:ascii="Consolas" w:hAnsi="Consolas"/>
          <w:color w:val="1F4E79"/>
          <w:sz w:val="19"/>
        </w:rPr>
        <w:t>variableValues</w:t>
      </w:r>
      <w:r>
        <w:t xml:space="preserve"> in its payload; raw PDF extraction routinely produces multi-line text with quote characters and column artifacts that can malform that payload and reject the call at the moment the candidate presses </w:t>
      </w:r>
      <w:r>
        <w:rPr>
          <w:i/>
        </w:rPr>
        <w:t>Start</w:t>
      </w:r>
      <w:r>
        <w:t>.</w:t>
      </w:r>
    </w:p>
    <w:p>
      <w:pPr>
        <w:pStyle w:val="Heading3"/>
      </w:pPr>
      <w:r>
        <w:t>2.3 Dimension C — Schema conformance and JSON structure validation</w:t>
      </w:r>
    </w:p>
    <w:p>
      <w:r>
        <w:t xml:space="preserve">The evaluation route uses </w:t>
      </w:r>
      <w:r>
        <w:rPr>
          <w:b/>
        </w:rPr>
        <w:t>Anthropic Structured Outputs</w:t>
      </w:r>
      <w:r>
        <w:t xml:space="preserve"> — </w:t>
      </w:r>
      <w:r>
        <w:rPr>
          <w:rFonts w:ascii="Consolas" w:hAnsi="Consolas"/>
          <w:color w:val="1F4E79"/>
          <w:sz w:val="19"/>
        </w:rPr>
        <w:t>client.messages.parse()</w:t>
      </w:r>
      <w:r>
        <w:t xml:space="preserve"> with </w:t>
      </w:r>
      <w:r>
        <w:rPr>
          <w:rFonts w:ascii="Consolas" w:hAnsi="Consolas"/>
          <w:color w:val="1F4E79"/>
          <w:sz w:val="19"/>
        </w:rPr>
        <w:t>output_config.format</w:t>
      </w:r>
      <w:r>
        <w:t xml:space="preserve"> derived from a Zod schema — so the model is constrained at generation time rather than corrected afterwards. Dimension C certifies the second line of defence: the schema itself.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val="clear" w:fill="0B2E4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3168"/>
            <w:shd w:val="clear" w:fill="0B2E4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Payload</w:t>
            </w:r>
          </w:p>
        </w:tc>
        <w:tc>
          <w:tcPr>
            <w:tcW w:type="dxa" w:w="3168"/>
            <w:shd w:val="clear" w:fill="0B2E4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Expected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b/>
                <w:sz w:val="19"/>
              </w:rPr>
              <w:t>C1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Well-formed scorecard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b/>
                <w:sz w:val="19"/>
              </w:rPr>
              <w:t>Accepted</w:t>
            </w:r>
          </w:p>
        </w:tc>
      </w:tr>
      <w:tr>
        <w:tc>
          <w:tcPr>
            <w:tcW w:type="dxa" w:w="3168"/>
            <w:shd w:val="clear" w:fill="F7F9FB"/>
          </w:tcPr>
          <w:p>
            <w:pPr>
              <w:spacing w:after="40"/>
            </w:pPr>
            <w:r>
              <w:rPr>
                <w:b/>
                <w:sz w:val="19"/>
              </w:rPr>
              <w:t>C2</w:t>
            </w:r>
          </w:p>
        </w:tc>
        <w:tc>
          <w:tcPr>
            <w:tcW w:type="dxa" w:w="3168"/>
            <w:shd w:val="clear" w:fill="F7F9FB"/>
          </w:tcPr>
          <w:p>
            <w:pPr>
              <w:spacing w:after="40"/>
            </w:pPr>
            <w:r>
              <w:rPr>
                <w:rFonts w:ascii="Consolas" w:hAnsi="Consolas"/>
                <w:color w:val="1F4E79"/>
                <w:sz w:val="19"/>
              </w:rPr>
              <w:t>overallScore: 142</w:t>
            </w:r>
            <w:r>
              <w:rPr>
                <w:sz w:val="19"/>
              </w:rPr>
              <w:t xml:space="preserve"> (out of 0–100 range)</w:t>
            </w:r>
          </w:p>
        </w:tc>
        <w:tc>
          <w:tcPr>
            <w:tcW w:type="dxa" w:w="3168"/>
            <w:shd w:val="clear" w:fill="F7F9FB"/>
          </w:tcPr>
          <w:p>
            <w:pPr>
              <w:spacing w:after="40"/>
            </w:pPr>
            <w:r>
              <w:rPr>
                <w:b/>
                <w:sz w:val="19"/>
              </w:rPr>
              <w:t>Rejected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b/>
                <w:sz w:val="19"/>
              </w:rPr>
              <w:t>C3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rFonts w:ascii="Consolas" w:hAnsi="Consolas"/>
                <w:color w:val="1F4E79"/>
                <w:sz w:val="19"/>
              </w:rPr>
              <w:t>actionPlan</w:t>
            </w:r>
            <w:r>
              <w:rPr>
                <w:sz w:val="19"/>
              </w:rPr>
              <w:t xml:space="preserve"> key deleted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b/>
                <w:sz w:val="19"/>
              </w:rPr>
              <w:t>Rejected</w:t>
            </w:r>
            <w:r>
              <w:rPr>
                <w:sz w:val="19"/>
              </w:rPr>
              <w:t xml:space="preserve"> — the UI contract requires it</w:t>
            </w:r>
          </w:p>
        </w:tc>
      </w:tr>
      <w:tr>
        <w:tc>
          <w:tcPr>
            <w:tcW w:type="dxa" w:w="3168"/>
            <w:shd w:val="clear" w:fill="F7F9FB"/>
          </w:tcPr>
          <w:p>
            <w:pPr>
              <w:spacing w:after="40"/>
            </w:pPr>
            <w:r>
              <w:rPr>
                <w:b/>
                <w:sz w:val="19"/>
              </w:rPr>
              <w:t>C4</w:t>
            </w:r>
          </w:p>
        </w:tc>
        <w:tc>
          <w:tcPr>
            <w:tcW w:type="dxa" w:w="3168"/>
            <w:shd w:val="clear" w:fill="F7F9FB"/>
          </w:tcPr>
          <w:p>
            <w:pPr>
              <w:spacing w:after="40"/>
            </w:pPr>
            <w:r>
              <w:rPr>
                <w:rFonts w:ascii="Consolas" w:hAnsi="Consolas"/>
                <w:color w:val="1F4E79"/>
                <w:sz w:val="19"/>
              </w:rPr>
              <w:t>recommendation: "Maybe Hire"</w:t>
            </w:r>
            <w:r>
              <w:rPr>
                <w:sz w:val="19"/>
              </w:rPr>
              <w:t xml:space="preserve"> (outside enum)</w:t>
            </w:r>
          </w:p>
        </w:tc>
        <w:tc>
          <w:tcPr>
            <w:tcW w:type="dxa" w:w="3168"/>
            <w:shd w:val="clear" w:fill="F7F9FB"/>
          </w:tcPr>
          <w:p>
            <w:pPr>
              <w:spacing w:after="40"/>
            </w:pPr>
            <w:r>
              <w:rPr>
                <w:b/>
                <w:sz w:val="19"/>
              </w:rPr>
              <w:t>Rejected</w:t>
            </w:r>
          </w:p>
        </w:tc>
      </w:tr>
    </w:tbl>
    <w:p/>
    <w:p>
      <w:r>
        <w:rPr>
          <w:i/>
        </w:rPr>
        <w:t>Implementation note:</w:t>
      </w:r>
      <w:r>
        <w:t xml:space="preserve"> the schema is authored against the </w:t>
      </w:r>
      <w:r>
        <w:rPr>
          <w:b/>
        </w:rPr>
        <w:t>Zod v4 API surface</w:t>
      </w:r>
      <w:r>
        <w:t xml:space="preserve"> via the </w:t>
      </w:r>
      <w:r>
        <w:rPr>
          <w:rFonts w:ascii="Consolas" w:hAnsi="Consolas"/>
          <w:color w:val="1F4E79"/>
          <w:sz w:val="19"/>
        </w:rPr>
        <w:t>zod/v4</w:t>
      </w:r>
      <w:r>
        <w:t xml:space="preserve"> entry point of the installed </w:t>
      </w:r>
      <w:r>
        <w:rPr>
          <w:rFonts w:ascii="Consolas" w:hAnsi="Consolas"/>
          <w:color w:val="1F4E79"/>
          <w:sz w:val="19"/>
        </w:rPr>
        <w:t>zod@3.25.76</w:t>
      </w:r>
      <w:r>
        <w:t xml:space="preserve">. This is load-bearing rather than cosmetic — </w:t>
      </w:r>
      <w:r>
        <w:rPr>
          <w:rFonts w:ascii="Consolas" w:hAnsi="Consolas"/>
          <w:color w:val="1F4E79"/>
          <w:sz w:val="19"/>
        </w:rPr>
        <w:t>zodOutputFormat()</w:t>
      </w:r>
      <w:r>
        <w:t xml:space="preserve"> calls </w:t>
      </w:r>
      <w:r>
        <w:rPr>
          <w:rFonts w:ascii="Consolas" w:hAnsi="Consolas"/>
          <w:color w:val="1F4E79"/>
          <w:sz w:val="19"/>
        </w:rPr>
        <w:t>z.toJSONSchema()</w:t>
      </w:r>
      <w:r>
        <w:t xml:space="preserve"> internally, which exists only on v4-style schema instances; a schema built from the classic v3 import fails at runtime when passed to it.</w:t>
      </w:r>
    </w:p>
    <w:p>
      <w:pPr>
        <w:pStyle w:val="Heading3"/>
      </w:pPr>
      <w:r>
        <w:t>2.4 Dimension D — Threshold-based upskilling recommendation logic</w:t>
      </w:r>
    </w:p>
    <w:p>
      <w:r>
        <w:t xml:space="preserve">The recommendation engine converts rubric scores into a learning roadmap. A category scoring </w:t>
      </w:r>
      <w:r>
        <w:rPr>
          <w:b/>
        </w:rPr>
        <w:t>below 75</w:t>
      </w:r>
      <w:r>
        <w:t xml:space="preserve"> is treated as a genuine deficit; recommendations are ordered weakest-first, limited to two courses per deficit and </w:t>
      </w:r>
      <w:r>
        <w:rPr>
          <w:b/>
        </w:rPr>
        <w:t>four in total</w:t>
      </w:r>
      <w: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val="clear" w:fill="0B2E4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3168"/>
            <w:shd w:val="clear" w:fill="0B2E4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Scenario</w:t>
            </w:r>
          </w:p>
        </w:tc>
        <w:tc>
          <w:tcPr>
            <w:tcW w:type="dxa" w:w="3168"/>
            <w:shd w:val="clear" w:fill="0B2E4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Assertion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b/>
                <w:sz w:val="19"/>
              </w:rPr>
              <w:t>D1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Communication 52, Confidence 88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 xml:space="preserve">First recommendation targets </w:t>
            </w:r>
            <w:r>
              <w:rPr>
                <w:b/>
                <w:sz w:val="19"/>
              </w:rPr>
              <w:t>communication</w:t>
            </w:r>
            <w:r>
              <w:rPr>
                <w:sz w:val="19"/>
              </w:rPr>
              <w:t xml:space="preserve">; the strong dimension is </w:t>
            </w:r>
            <w:r>
              <w:rPr>
                <w:b/>
                <w:sz w:val="19"/>
              </w:rPr>
              <w:t>excluded</w:t>
            </w:r>
            <w:r>
              <w:rPr>
                <w:sz w:val="19"/>
              </w:rPr>
              <w:t xml:space="preserve"> — no filler</w:t>
            </w:r>
          </w:p>
        </w:tc>
      </w:tr>
      <w:tr>
        <w:tc>
          <w:tcPr>
            <w:tcW w:type="dxa" w:w="3168"/>
            <w:shd w:val="clear" w:fill="F7F9FB"/>
          </w:tcPr>
          <w:p>
            <w:pPr>
              <w:spacing w:after="40"/>
            </w:pPr>
            <w:r>
              <w:rPr>
                <w:b/>
                <w:sz w:val="19"/>
              </w:rPr>
              <w:t>D2</w:t>
            </w:r>
          </w:p>
        </w:tc>
        <w:tc>
          <w:tcPr>
            <w:tcW w:type="dxa" w:w="3168"/>
            <w:shd w:val="clear" w:fill="F7F9FB"/>
          </w:tcPr>
          <w:p>
            <w:pPr>
              <w:spacing w:after="40"/>
            </w:pPr>
            <w:r>
              <w:rPr>
                <w:sz w:val="19"/>
              </w:rPr>
              <w:t>All four categories ≥ 86</w:t>
            </w:r>
          </w:p>
        </w:tc>
        <w:tc>
          <w:tcPr>
            <w:tcW w:type="dxa" w:w="3168"/>
            <w:shd w:val="clear" w:fill="F7F9FB"/>
          </w:tcPr>
          <w:p>
            <w:pPr>
              <w:spacing w:after="40"/>
            </w:pPr>
            <w:r>
              <w:rPr>
                <w:sz w:val="19"/>
              </w:rPr>
              <w:t xml:space="preserve">Engine returns </w:t>
            </w:r>
            <w:r>
              <w:rPr>
                <w:b/>
                <w:sz w:val="19"/>
              </w:rPr>
              <w:t>reinforcement</w:t>
            </w:r>
            <w:r>
              <w:rPr>
                <w:sz w:val="19"/>
              </w:rPr>
              <w:t xml:space="preserve"> framing, never inventing a weakness the candidate does not have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b/>
                <w:sz w:val="19"/>
              </w:rPr>
              <w:t>D3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All four categories ≤ 44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 xml:space="preserve">Roadmap remains </w:t>
            </w:r>
            <w:r>
              <w:rPr>
                <w:b/>
                <w:sz w:val="19"/>
              </w:rPr>
              <w:t>bounded at 4</w:t>
            </w:r>
            <w:r>
              <w:rPr>
                <w:sz w:val="19"/>
              </w:rPr>
              <w:t xml:space="preserve">, contains </w:t>
            </w:r>
            <w:r>
              <w:rPr>
                <w:b/>
                <w:sz w:val="19"/>
              </w:rPr>
              <w:t>no duplicates</w:t>
            </w:r>
            <w:r>
              <w:rPr>
                <w:sz w:val="19"/>
              </w:rPr>
              <w:t>, and every entry resolves to the catalogue</w:t>
            </w:r>
          </w:p>
        </w:tc>
      </w:tr>
    </w:tbl>
    <w:p/>
    <w:p>
      <w:r>
        <w:rPr>
          <w:b/>
        </w:rPr>
        <w:t>D2 is the case that protects credibility.</w:t>
      </w:r>
      <w:r>
        <w:t xml:space="preserve"> A recommendation engine that always finds a fault is an engine whose findings carry no information. Each rendered card displays the numeric score that triggered it (e.g. </w:t>
      </w:r>
      <w:r>
        <w:rPr>
          <w:i/>
        </w:rPr>
        <w:t>"Communication · 52/100"</w:t>
      </w:r>
      <w:r>
        <w:t>), making every suggestion auditable by the candidate.</w:t>
      </w:r>
    </w:p>
    <w:p>
      <w:pPr>
        <w:pStyle w:val="Heading3"/>
      </w:pPr>
      <w:r>
        <w:t>2.5 Dimension E — Agent and API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val="clear" w:fill="0B2E4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3168"/>
            <w:shd w:val="clear" w:fill="0B2E4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Case</w:t>
            </w:r>
          </w:p>
        </w:tc>
        <w:tc>
          <w:tcPr>
            <w:tcW w:type="dxa" w:w="3168"/>
            <w:shd w:val="clear" w:fill="0B2E4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Assertion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b/>
                <w:sz w:val="19"/>
              </w:rPr>
              <w:t>E1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Assistant is fully defined in code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 xml:space="preserve">Model, voice, transcriber and the </w:t>
            </w:r>
            <w:r>
              <w:rPr>
                <w:rFonts w:ascii="Consolas" w:hAnsi="Consolas"/>
                <w:color w:val="1F4E79"/>
                <w:sz w:val="19"/>
              </w:rPr>
              <w:t>endCall</w:t>
            </w:r>
            <w:r>
              <w:rPr>
                <w:sz w:val="19"/>
              </w:rPr>
              <w:t xml:space="preserve"> tool are constructed inline; all three template variables (</w:t>
            </w:r>
            <w:r>
              <w:rPr>
                <w:rFonts w:ascii="Consolas" w:hAnsi="Consolas"/>
                <w:color w:val="1F4E79"/>
                <w:sz w:val="19"/>
              </w:rPr>
              <w:t>{{role}}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4E79"/>
                <w:sz w:val="19"/>
              </w:rPr>
              <w:t>{{experienceLevel}}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4E79"/>
                <w:sz w:val="19"/>
              </w:rPr>
              <w:t>{{cvContext}}</w:t>
            </w:r>
            <w:r>
              <w:rPr>
                <w:sz w:val="19"/>
              </w:rPr>
              <w:t>) are present. No dashboard-side assistant is required — the platform runs on a public key alone</w:t>
            </w:r>
          </w:p>
        </w:tc>
      </w:tr>
      <w:tr>
        <w:tc>
          <w:tcPr>
            <w:tcW w:type="dxa" w:w="3168"/>
            <w:shd w:val="clear" w:fill="F7F9FB"/>
          </w:tcPr>
          <w:p>
            <w:pPr>
              <w:spacing w:after="40"/>
            </w:pPr>
            <w:r>
              <w:rPr>
                <w:b/>
                <w:sz w:val="19"/>
              </w:rPr>
              <w:t>E2</w:t>
            </w:r>
          </w:p>
        </w:tc>
        <w:tc>
          <w:tcPr>
            <w:tcW w:type="dxa" w:w="3168"/>
            <w:shd w:val="clear" w:fill="F7F9FB"/>
          </w:tcPr>
          <w:p>
            <w:pPr>
              <w:spacing w:after="40"/>
            </w:pPr>
            <w:r>
              <w:rPr>
                <w:rFonts w:ascii="Consolas" w:hAnsi="Consolas"/>
                <w:color w:val="1F4E79"/>
                <w:sz w:val="19"/>
              </w:rPr>
              <w:t>/api/evaluate</w:t>
            </w:r>
            <w:r>
              <w:rPr>
                <w:sz w:val="19"/>
              </w:rPr>
              <w:t xml:space="preserve"> rejects a malformed body</w:t>
            </w:r>
          </w:p>
        </w:tc>
        <w:tc>
          <w:tcPr>
            <w:tcW w:type="dxa" w:w="3168"/>
            <w:shd w:val="clear" w:fill="F7F9FB"/>
          </w:tcPr>
          <w:p>
            <w:pPr>
              <w:spacing w:after="40"/>
            </w:pPr>
            <w:r>
              <w:rPr>
                <w:sz w:val="19"/>
              </w:rPr>
              <w:t xml:space="preserve">Returns </w:t>
            </w:r>
            <w:r>
              <w:rPr>
                <w:b/>
                <w:sz w:val="19"/>
              </w:rPr>
              <w:t>400 before any upstream call is made</w:t>
            </w:r>
            <w:r>
              <w:rPr>
                <w:sz w:val="19"/>
              </w:rPr>
              <w:t>, protecting both latency and spend</w:t>
            </w:r>
          </w:p>
        </w:tc>
      </w:tr>
    </w:tbl>
    <w:p/>
    <w:p>
      <w:pPr>
        <w:spacing w:after="40"/>
        <w:pBdr>
          <w:bottom w:val="single" w:sz="6" w:space="1" w:color="C9D2DA"/>
        </w:pBdr>
      </w:pPr>
    </w:p>
    <w:p>
      <w:pPr>
        <w:pStyle w:val="Heading2"/>
      </w:pPr>
      <w:r>
        <w:t>3. Quantitative Results &amp; Performance Metrics</w:t>
      </w:r>
    </w:p>
    <w:p>
      <w:pPr>
        <w:pStyle w:val="Heading3"/>
      </w:pPr>
      <w:r>
        <w:t>3.1 Benchmark suite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fill="F4F6F8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Forsa AI — Pipeline Evaluation Suite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16 benchmark cases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Executed : 16/16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Passed   : 16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Failed   : 0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Wall time: 143.6ms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val="clear" w:fill="0B2E4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4752"/>
            <w:shd w:val="clear" w:fill="0B2E4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Result</w:t>
            </w:r>
          </w:p>
        </w:tc>
      </w:tr>
      <w:tr>
        <w:tc>
          <w:tcPr>
            <w:tcW w:type="dxa" w:w="4752"/>
          </w:tcPr>
          <w:p>
            <w:pPr>
              <w:spacing w:after="40"/>
            </w:pPr>
            <w:r>
              <w:rPr>
                <w:sz w:val="19"/>
              </w:rPr>
              <w:t>Cases executed</w:t>
            </w:r>
          </w:p>
        </w:tc>
        <w:tc>
          <w:tcPr>
            <w:tcW w:type="dxa" w:w="4752"/>
          </w:tcPr>
          <w:p>
            <w:pPr>
              <w:spacing w:after="40"/>
            </w:pPr>
            <w:r>
              <w:rPr>
                <w:b/>
                <w:sz w:val="19"/>
              </w:rPr>
              <w:t>16 / 16</w:t>
            </w:r>
          </w:p>
        </w:tc>
      </w:tr>
      <w:tr>
        <w:tc>
          <w:tcPr>
            <w:tcW w:type="dxa" w:w="4752"/>
            <w:shd w:val="clear" w:fill="F7F9FB"/>
          </w:tcPr>
          <w:p>
            <w:pPr>
              <w:spacing w:after="40"/>
            </w:pPr>
            <w:r>
              <w:rPr>
                <w:b/>
                <w:sz w:val="19"/>
              </w:rPr>
              <w:t>Pass rate</w:t>
            </w:r>
          </w:p>
        </w:tc>
        <w:tc>
          <w:tcPr>
            <w:tcW w:type="dxa" w:w="4752"/>
            <w:shd w:val="clear" w:fill="F7F9FB"/>
          </w:tcPr>
          <w:p>
            <w:pPr>
              <w:spacing w:after="40"/>
            </w:pPr>
            <w:r>
              <w:rPr>
                <w:b/>
                <w:sz w:val="19"/>
              </w:rPr>
              <w:t>100% (16/16)</w:t>
            </w:r>
          </w:p>
        </w:tc>
      </w:tr>
      <w:tr>
        <w:tc>
          <w:tcPr>
            <w:tcW w:type="dxa" w:w="4752"/>
          </w:tcPr>
          <w:p>
            <w:pPr>
              <w:spacing w:after="40"/>
            </w:pPr>
            <w:r>
              <w:rPr>
                <w:sz w:val="19"/>
              </w:rPr>
              <w:t>Malformed payloads accepted by the schema</w:t>
            </w:r>
          </w:p>
        </w:tc>
        <w:tc>
          <w:tcPr>
            <w:tcW w:type="dxa" w:w="4752"/>
          </w:tcPr>
          <w:p>
            <w:pPr>
              <w:spacing w:after="40"/>
            </w:pPr>
            <w:r>
              <w:rPr>
                <w:b/>
                <w:sz w:val="19"/>
              </w:rPr>
              <w:t>0 / 4</w:t>
            </w:r>
          </w:p>
        </w:tc>
      </w:tr>
      <w:tr>
        <w:tc>
          <w:tcPr>
            <w:tcW w:type="dxa" w:w="4752"/>
            <w:shd w:val="clear" w:fill="F7F9FB"/>
          </w:tcPr>
          <w:p>
            <w:pPr>
              <w:spacing w:after="40"/>
            </w:pPr>
            <w:r>
              <w:rPr>
                <w:sz w:val="19"/>
              </w:rPr>
              <w:t>Custom-title fidelity</w:t>
            </w:r>
          </w:p>
        </w:tc>
        <w:tc>
          <w:tcPr>
            <w:tcW w:type="dxa" w:w="4752"/>
            <w:shd w:val="clear" w:fill="F7F9FB"/>
          </w:tcPr>
          <w:p>
            <w:pPr>
              <w:spacing w:after="40"/>
            </w:pPr>
            <w:r>
              <w:rPr>
                <w:b/>
                <w:sz w:val="19"/>
              </w:rPr>
              <w:t>100%</w:t>
            </w:r>
            <w:r>
              <w:rPr>
                <w:sz w:val="19"/>
              </w:rPr>
              <w:t xml:space="preserve"> — preserved verbatim into both prompts</w:t>
            </w:r>
          </w:p>
        </w:tc>
      </w:tr>
      <w:tr>
        <w:tc>
          <w:tcPr>
            <w:tcW w:type="dxa" w:w="4752"/>
          </w:tcPr>
          <w:p>
            <w:pPr>
              <w:spacing w:after="40"/>
            </w:pPr>
            <w:r>
              <w:rPr>
                <w:sz w:val="19"/>
              </w:rPr>
              <w:t>Role taxonomy</w:t>
            </w:r>
          </w:p>
        </w:tc>
        <w:tc>
          <w:tcPr>
            <w:tcW w:type="dxa" w:w="4752"/>
          </w:tcPr>
          <w:p>
            <w:pPr>
              <w:spacing w:after="40"/>
            </w:pPr>
            <w:r>
              <w:rPr>
                <w:b/>
                <w:sz w:val="19"/>
              </w:rPr>
              <w:t>5 categories / 43 roles</w:t>
            </w:r>
            <w:r>
              <w:rPr>
                <w:sz w:val="19"/>
              </w:rPr>
              <w:t>, all ids unique, all labelled</w:t>
            </w:r>
          </w:p>
        </w:tc>
      </w:tr>
      <w:tr>
        <w:tc>
          <w:tcPr>
            <w:tcW w:type="dxa" w:w="4752"/>
            <w:shd w:val="clear" w:fill="F7F9FB"/>
          </w:tcPr>
          <w:p>
            <w:pPr>
              <w:spacing w:after="40"/>
            </w:pPr>
            <w:r>
              <w:rPr>
                <w:sz w:val="19"/>
              </w:rPr>
              <w:t>CV payload capping</w:t>
            </w:r>
          </w:p>
        </w:tc>
        <w:tc>
          <w:tcPr>
            <w:tcW w:type="dxa" w:w="4752"/>
            <w:shd w:val="clear" w:fill="F7F9FB"/>
          </w:tcPr>
          <w:p>
            <w:pPr>
              <w:spacing w:after="40"/>
            </w:pPr>
            <w:r>
              <w:rPr>
                <w:sz w:val="19"/>
              </w:rPr>
              <w:t xml:space="preserve">5,000+ chars → </w:t>
            </w:r>
            <w:r>
              <w:rPr>
                <w:b/>
                <w:sz w:val="19"/>
              </w:rPr>
              <w:t>1,000 chars</w:t>
            </w:r>
            <w:r>
              <w:rPr>
                <w:sz w:val="19"/>
              </w:rPr>
              <w:t>, control characters stripped</w:t>
            </w:r>
          </w:p>
        </w:tc>
      </w:tr>
      <w:tr>
        <w:tc>
          <w:tcPr>
            <w:tcW w:type="dxa" w:w="4752"/>
          </w:tcPr>
          <w:p>
            <w:pPr>
              <w:spacing w:after="40"/>
            </w:pPr>
            <w:r>
              <w:rPr>
                <w:sz w:val="19"/>
              </w:rPr>
              <w:t>Full-suite wall time (16 cases)</w:t>
            </w:r>
          </w:p>
        </w:tc>
        <w:tc>
          <w:tcPr>
            <w:tcW w:type="dxa" w:w="4752"/>
          </w:tcPr>
          <w:p>
            <w:pPr>
              <w:spacing w:after="40"/>
            </w:pPr>
            <w:r>
              <w:rPr>
                <w:b/>
                <w:sz w:val="19"/>
              </w:rPr>
              <w:t>143.6 ms</w:t>
            </w:r>
          </w:p>
        </w:tc>
      </w:tr>
      <w:tr>
        <w:tc>
          <w:tcPr>
            <w:tcW w:type="dxa" w:w="4752"/>
            <w:shd w:val="clear" w:fill="F7F9FB"/>
          </w:tcPr>
          <w:p>
            <w:pPr>
              <w:spacing w:after="40"/>
            </w:pPr>
            <w:r>
              <w:rPr>
                <w:sz w:val="19"/>
              </w:rPr>
              <w:t>Deterministic subset (15 cases)</w:t>
            </w:r>
          </w:p>
        </w:tc>
        <w:tc>
          <w:tcPr>
            <w:tcW w:type="dxa" w:w="4752"/>
            <w:shd w:val="clear" w:fill="F7F9FB"/>
          </w:tcPr>
          <w:p>
            <w:pPr>
              <w:spacing w:after="40"/>
            </w:pPr>
            <w:r>
              <w:rPr>
                <w:b/>
                <w:sz w:val="19"/>
              </w:rPr>
              <w:t>5.3 ms</w:t>
            </w:r>
          </w:p>
        </w:tc>
      </w:tr>
      <w:tr>
        <w:tc>
          <w:tcPr>
            <w:tcW w:type="dxa" w:w="4752"/>
          </w:tcPr>
          <w:p>
            <w:pPr>
              <w:spacing w:after="40"/>
            </w:pPr>
            <w:r>
              <w:rPr>
                <w:sz w:val="19"/>
              </w:rPr>
              <w:t>Dependencies added by the harness</w:t>
            </w:r>
          </w:p>
        </w:tc>
        <w:tc>
          <w:tcPr>
            <w:tcW w:type="dxa" w:w="4752"/>
          </w:tcPr>
          <w:p>
            <w:pPr>
              <w:spacing w:after="40"/>
            </w:pPr>
            <w:r>
              <w:rPr>
                <w:b/>
                <w:sz w:val="19"/>
              </w:rPr>
              <w:t>0</w:t>
            </w:r>
          </w:p>
        </w:tc>
      </w:tr>
    </w:tbl>
    <w:p/>
    <w:p>
      <w:r>
        <w:t xml:space="preserve">Execution overhead is low enough that the suite is a </w:t>
      </w:r>
      <w:r>
        <w:rPr>
          <w:b/>
        </w:rPr>
        <w:t>pre-commit-viable gate</w:t>
      </w:r>
      <w:r>
        <w:t xml:space="preserve">, not a nightly job. The 15 deterministic cases complete in </w:t>
      </w:r>
      <w:r>
        <w:rPr>
          <w:b/>
        </w:rPr>
        <w:t>5.3 ms</w:t>
      </w:r>
      <w:r>
        <w:t xml:space="preserve"> combined; the full-suite figure is dominated almost entirely by the single HTTP round-trip in E2 (</w:t>
      </w:r>
      <w:r>
        <w:rPr>
          <w:b/>
        </w:rPr>
        <w:t>138.2 ms</w:t>
      </w:r>
      <w:r>
        <w:t xml:space="preserve"> of the 143.6 ms total), which is network time, not evaluation overhead.</w:t>
      </w:r>
    </w:p>
    <w:p>
      <w:pPr>
        <w:pStyle w:val="Heading3"/>
      </w:pPr>
      <w:r>
        <w:t>3.2 Pipeline integrity — browser-measured</w:t>
      </w:r>
    </w:p>
    <w:p>
      <w:r>
        <w:t xml:space="preserve">Driven end-to-end in headless Chromium across </w:t>
      </w:r>
      <w:r>
        <w:rPr>
          <w:rFonts w:ascii="Consolas" w:hAnsi="Consolas"/>
          <w:color w:val="1F4E79"/>
          <w:sz w:val="19"/>
        </w:rPr>
        <w:t>/</w:t>
      </w:r>
      <w:r>
        <w:t xml:space="preserve"> → </w:t>
      </w:r>
      <w:r>
        <w:rPr>
          <w:rFonts w:ascii="Consolas" w:hAnsi="Consolas"/>
          <w:color w:val="1F4E79"/>
          <w:sz w:val="19"/>
        </w:rPr>
        <w:t>/setup</w:t>
      </w:r>
      <w:r>
        <w:t xml:space="preserve"> → </w:t>
      </w:r>
      <w:r>
        <w:rPr>
          <w:rFonts w:ascii="Consolas" w:hAnsi="Consolas"/>
          <w:color w:val="1F4E79"/>
          <w:sz w:val="19"/>
        </w:rPr>
        <w:t>/interview</w:t>
      </w:r>
      <w:r>
        <w:t xml:space="preserve"> → </w:t>
      </w:r>
      <w:r>
        <w:rPr>
          <w:rFonts w:ascii="Consolas" w:hAnsi="Consolas"/>
          <w:color w:val="1F4E79"/>
          <w:sz w:val="19"/>
        </w:rPr>
        <w:t>/evaluating</w:t>
      </w:r>
      <w:r>
        <w:t xml:space="preserve"> → </w:t>
      </w:r>
      <w:r>
        <w:rPr>
          <w:rFonts w:ascii="Consolas" w:hAnsi="Consolas"/>
          <w:color w:val="1F4E79"/>
          <w:sz w:val="19"/>
        </w:rPr>
        <w:t>/results</w:t>
      </w:r>
      <w: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val="clear" w:fill="0B2E4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4752"/>
            <w:shd w:val="clear" w:fill="0B2E4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Result</w:t>
            </w:r>
          </w:p>
        </w:tc>
      </w:tr>
      <w:tr>
        <w:tc>
          <w:tcPr>
            <w:tcW w:type="dxa" w:w="4752"/>
          </w:tcPr>
          <w:p>
            <w:pPr>
              <w:spacing w:after="40"/>
            </w:pPr>
            <w:r>
              <w:rPr>
                <w:sz w:val="19"/>
              </w:rPr>
              <w:t>Cumulative Layout Shift — landing</w:t>
            </w:r>
          </w:p>
        </w:tc>
        <w:tc>
          <w:tcPr>
            <w:tcW w:type="dxa" w:w="4752"/>
          </w:tcPr>
          <w:p>
            <w:pPr>
              <w:spacing w:after="40"/>
            </w:pPr>
            <w:r>
              <w:rPr>
                <w:b/>
                <w:sz w:val="19"/>
              </w:rPr>
              <w:t>0</w:t>
            </w:r>
            <w:r>
              <w:rPr>
                <w:sz w:val="19"/>
              </w:rPr>
              <w:t xml:space="preserve"> (with ambient animation running)</w:t>
            </w:r>
          </w:p>
        </w:tc>
      </w:tr>
      <w:tr>
        <w:tc>
          <w:tcPr>
            <w:tcW w:type="dxa" w:w="4752"/>
            <w:shd w:val="clear" w:fill="F7F9FB"/>
          </w:tcPr>
          <w:p>
            <w:pPr>
              <w:spacing w:after="40"/>
            </w:pPr>
            <w:r>
              <w:rPr>
                <w:sz w:val="19"/>
              </w:rPr>
              <w:t>Cumulative Layout Shift — results</w:t>
            </w:r>
          </w:p>
        </w:tc>
        <w:tc>
          <w:tcPr>
            <w:tcW w:type="dxa" w:w="4752"/>
            <w:shd w:val="clear" w:fill="F7F9FB"/>
          </w:tcPr>
          <w:p>
            <w:pPr>
              <w:spacing w:after="40"/>
            </w:pPr>
            <w:r>
              <w:rPr>
                <w:b/>
                <w:sz w:val="19"/>
              </w:rPr>
              <w:t>0.0004</w:t>
            </w:r>
          </w:p>
        </w:tc>
      </w:tr>
      <w:tr>
        <w:tc>
          <w:tcPr>
            <w:tcW w:type="dxa" w:w="4752"/>
          </w:tcPr>
          <w:p>
            <w:pPr>
              <w:spacing w:after="40"/>
            </w:pPr>
            <w:r>
              <w:rPr>
                <w:sz w:val="19"/>
              </w:rPr>
              <w:t>Horizontal overflow @ 375 / 768 / 1280 px</w:t>
            </w:r>
          </w:p>
        </w:tc>
        <w:tc>
          <w:tcPr>
            <w:tcW w:type="dxa" w:w="4752"/>
          </w:tcPr>
          <w:p>
            <w:pPr>
              <w:spacing w:after="40"/>
            </w:pPr>
            <w:r>
              <w:rPr>
                <w:b/>
                <w:sz w:val="19"/>
              </w:rPr>
              <w:t>0 px</w:t>
            </w:r>
            <w:r>
              <w:rPr>
                <w:sz w:val="19"/>
              </w:rPr>
              <w:t xml:space="preserve"> at every breakpoint</w:t>
            </w:r>
          </w:p>
        </w:tc>
      </w:tr>
      <w:tr>
        <w:tc>
          <w:tcPr>
            <w:tcW w:type="dxa" w:w="4752"/>
            <w:shd w:val="clear" w:fill="F7F9FB"/>
          </w:tcPr>
          <w:p>
            <w:pPr>
              <w:spacing w:after="40"/>
            </w:pPr>
            <w:r>
              <w:rPr>
                <w:sz w:val="19"/>
              </w:rPr>
              <w:t>Console and page errors across the full flow</w:t>
            </w:r>
          </w:p>
        </w:tc>
        <w:tc>
          <w:tcPr>
            <w:tcW w:type="dxa" w:w="4752"/>
            <w:shd w:val="clear" w:fill="F7F9FB"/>
          </w:tcPr>
          <w:p>
            <w:pPr>
              <w:spacing w:after="40"/>
            </w:pPr>
            <w:r>
              <w:rPr>
                <w:b/>
                <w:sz w:val="19"/>
              </w:rPr>
              <w:t>0</w:t>
            </w:r>
          </w:p>
        </w:tc>
      </w:tr>
      <w:tr>
        <w:tc>
          <w:tcPr>
            <w:tcW w:type="dxa" w:w="4752"/>
          </w:tcPr>
          <w:p>
            <w:pPr>
              <w:spacing w:after="40"/>
            </w:pPr>
            <w:r>
              <w:rPr>
                <w:sz w:val="19"/>
              </w:rPr>
              <w:t>Deep-link guards (</w:t>
            </w:r>
            <w:r>
              <w:rPr>
                <w:rFonts w:ascii="Consolas" w:hAnsi="Consolas"/>
                <w:color w:val="1F4E79"/>
                <w:sz w:val="19"/>
              </w:rPr>
              <w:t>/evaluating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4E79"/>
                <w:sz w:val="19"/>
              </w:rPr>
              <w:t>/results</w:t>
            </w:r>
            <w:r>
              <w:rPr>
                <w:sz w:val="19"/>
              </w:rPr>
              <w:t xml:space="preserve"> with no payload)</w:t>
            </w:r>
          </w:p>
        </w:tc>
        <w:tc>
          <w:tcPr>
            <w:tcW w:type="dxa" w:w="4752"/>
          </w:tcPr>
          <w:p>
            <w:pPr>
              <w:spacing w:after="40"/>
            </w:pPr>
            <w:r>
              <w:rPr>
                <w:sz w:val="19"/>
              </w:rPr>
              <w:t xml:space="preserve">Redirect to </w:t>
            </w:r>
            <w:r>
              <w:rPr>
                <w:rFonts w:ascii="Consolas" w:hAnsi="Consolas"/>
                <w:color w:val="1F4E79"/>
                <w:sz w:val="19"/>
              </w:rPr>
              <w:t>/</w:t>
            </w:r>
            <w:r>
              <w:rPr>
                <w:sz w:val="19"/>
              </w:rPr>
              <w:t xml:space="preserve"> — no indefinite spinner</w:t>
            </w:r>
          </w:p>
        </w:tc>
      </w:tr>
      <w:tr>
        <w:tc>
          <w:tcPr>
            <w:tcW w:type="dxa" w:w="4752"/>
            <w:shd w:val="clear" w:fill="F7F9FB"/>
          </w:tcPr>
          <w:p>
            <w:pPr>
              <w:spacing w:after="40"/>
            </w:pPr>
            <w:r>
              <w:rPr>
                <w:sz w:val="19"/>
              </w:rPr>
              <w:t>Analysis-screen integrity</w:t>
            </w:r>
          </w:p>
        </w:tc>
        <w:tc>
          <w:tcPr>
            <w:tcW w:type="dxa" w:w="4752"/>
            <w:shd w:val="clear" w:fill="F7F9FB"/>
          </w:tcPr>
          <w:p>
            <w:pPr>
              <w:spacing w:after="40"/>
            </w:pPr>
            <w:r>
              <w:rPr>
                <w:sz w:val="19"/>
              </w:rPr>
              <w:t xml:space="preserve">Exactly </w:t>
            </w:r>
            <w:r>
              <w:rPr>
                <w:b/>
                <w:sz w:val="19"/>
              </w:rPr>
              <w:t>1</w:t>
            </w:r>
            <w:r>
              <w:rPr>
                <w:sz w:val="19"/>
              </w:rPr>
              <w:t xml:space="preserve"> step displayed as complete while the evaluation request remained in flight</w:t>
            </w:r>
          </w:p>
        </w:tc>
      </w:tr>
      <w:tr>
        <w:tc>
          <w:tcPr>
            <w:tcW w:type="dxa" w:w="4752"/>
          </w:tcPr>
          <w:p>
            <w:pPr>
              <w:spacing w:after="40"/>
            </w:pPr>
            <w:r>
              <w:rPr>
                <w:sz w:val="19"/>
              </w:rPr>
              <w:t>State handoff</w:t>
            </w:r>
          </w:p>
        </w:tc>
        <w:tc>
          <w:tcPr>
            <w:tcW w:type="dxa" w:w="4752"/>
          </w:tcPr>
          <w:p>
            <w:pPr>
              <w:spacing w:after="40"/>
            </w:pPr>
            <w:r>
              <w:rPr>
                <w:sz w:val="19"/>
              </w:rPr>
              <w:t xml:space="preserve">Role, level and CV survive every route boundary; scorecard is Zod-validated </w:t>
            </w:r>
            <w:r>
              <w:rPr>
                <w:b/>
                <w:sz w:val="19"/>
              </w:rPr>
              <w:t>before</w:t>
            </w:r>
            <w:r>
              <w:rPr>
                <w:sz w:val="19"/>
              </w:rPr>
              <w:t xml:space="preserve"> persistence</w:t>
            </w:r>
          </w:p>
        </w:tc>
      </w:tr>
    </w:tbl>
    <w:p/>
    <w:p>
      <w:r>
        <w:t xml:space="preserve">The analysis-screen metric is deliberate. The loading sequence is gated on the </w:t>
      </w:r>
      <w:r>
        <w:rPr>
          <w:b/>
        </w:rPr>
        <w:t>actual</w:t>
      </w:r>
      <w:r>
        <w:t xml:space="preserve"> request lifecycle rather than a decorative timer, so the interface cannot report work as finished while it is still pending.</w:t>
      </w:r>
    </w:p>
    <w:p>
      <w:pPr>
        <w:pStyle w:val="Heading3"/>
      </w:pPr>
      <w:r>
        <w:t>3.3 PDF action plan — artifact-level verification</w:t>
      </w:r>
    </w:p>
    <w:p>
      <w:r>
        <w:t xml:space="preserve">The exported report was opened and inspected </w:t>
      </w:r>
      <w:r>
        <w:rPr>
          <w:b/>
        </w:rPr>
        <w:t>programmatically with PyMuPDF</w:t>
      </w:r>
      <w:r>
        <w:t>, not merely downloaded: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val="clear" w:fill="0B2E4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4752"/>
            <w:shd w:val="clear" w:fill="0B2E4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Result</w:t>
            </w:r>
          </w:p>
        </w:tc>
      </w:tr>
      <w:tr>
        <w:tc>
          <w:tcPr>
            <w:tcW w:type="dxa" w:w="4752"/>
          </w:tcPr>
          <w:p>
            <w:pPr>
              <w:spacing w:after="40"/>
            </w:pPr>
            <w:r>
              <w:rPr>
                <w:sz w:val="19"/>
              </w:rPr>
              <w:t>Pages generated</w:t>
            </w:r>
          </w:p>
        </w:tc>
        <w:tc>
          <w:tcPr>
            <w:tcW w:type="dxa" w:w="4752"/>
          </w:tcPr>
          <w:p>
            <w:pPr>
              <w:spacing w:after="40"/>
            </w:pPr>
            <w:r>
              <w:rPr>
                <w:b/>
                <w:sz w:val="19"/>
              </w:rPr>
              <w:t>3</w:t>
            </w:r>
            <w:r>
              <w:rPr>
                <w:sz w:val="19"/>
              </w:rPr>
              <w:t xml:space="preserve"> (cover + scores · action plan · upskilling roadmap)</w:t>
            </w:r>
          </w:p>
        </w:tc>
      </w:tr>
      <w:tr>
        <w:tc>
          <w:tcPr>
            <w:tcW w:type="dxa" w:w="4752"/>
            <w:shd w:val="clear" w:fill="F7F9FB"/>
          </w:tcPr>
          <w:p>
            <w:pPr>
              <w:spacing w:after="40"/>
            </w:pPr>
            <w:r>
              <w:rPr>
                <w:sz w:val="19"/>
              </w:rPr>
              <w:t>Clickable link annotations</w:t>
            </w:r>
          </w:p>
        </w:tc>
        <w:tc>
          <w:tcPr>
            <w:tcW w:type="dxa" w:w="4752"/>
            <w:shd w:val="clear" w:fill="F7F9FB"/>
          </w:tcPr>
          <w:p>
            <w:pPr>
              <w:spacing w:after="40"/>
            </w:pPr>
            <w:r>
              <w:rPr>
                <w:b/>
                <w:sz w:val="19"/>
              </w:rPr>
              <w:t>4</w:t>
            </w:r>
            <w:r>
              <w:rPr>
                <w:sz w:val="19"/>
              </w:rPr>
              <w:t>, all resolving to intended course URLs</w:t>
            </w:r>
          </w:p>
        </w:tc>
      </w:tr>
      <w:tr>
        <w:tc>
          <w:tcPr>
            <w:tcW w:type="dxa" w:w="4752"/>
          </w:tcPr>
          <w:p>
            <w:pPr>
              <w:spacing w:after="40"/>
            </w:pPr>
            <w:r>
              <w:rPr>
                <w:sz w:val="19"/>
              </w:rPr>
              <w:t>Hit-area accuracy</w:t>
            </w:r>
          </w:p>
        </w:tc>
        <w:tc>
          <w:tcPr>
            <w:tcW w:type="dxa" w:w="4752"/>
          </w:tcPr>
          <w:p>
            <w:pPr>
              <w:spacing w:after="40"/>
            </w:pPr>
            <w:r>
              <w:rPr>
                <w:b/>
                <w:sz w:val="19"/>
              </w:rPr>
              <w:t>4 / 4</w:t>
            </w:r>
            <w:r>
              <w:rPr>
                <w:sz w:val="19"/>
              </w:rPr>
              <w:t xml:space="preserve"> annotations fully enclose their printed URL glyphs</w:t>
            </w:r>
          </w:p>
        </w:tc>
      </w:tr>
      <w:tr>
        <w:tc>
          <w:tcPr>
            <w:tcW w:type="dxa" w:w="4752"/>
            <w:shd w:val="clear" w:fill="F7F9FB"/>
          </w:tcPr>
          <w:p>
            <w:pPr>
              <w:spacing w:after="40"/>
            </w:pPr>
            <w:r>
              <w:rPr>
                <w:sz w:val="19"/>
              </w:rPr>
              <w:t>Page ground</w:t>
            </w:r>
          </w:p>
        </w:tc>
        <w:tc>
          <w:tcPr>
            <w:tcW w:type="dxa" w:w="4752"/>
            <w:shd w:val="clear" w:fill="F7F9FB"/>
          </w:tcPr>
          <w:p>
            <w:pPr>
              <w:spacing w:after="40"/>
            </w:pPr>
            <w:r>
              <w:rPr>
                <w:sz w:val="19"/>
              </w:rPr>
              <w:t>White; light print branding preserved despite the dark product UI</w:t>
            </w:r>
          </w:p>
        </w:tc>
      </w:tr>
    </w:tbl>
    <w:p/>
    <w:p>
      <w:r>
        <w:rPr>
          <w:b/>
        </w:rPr>
        <w:t>Coordinate mapping — engineering detail.</w:t>
      </w:r>
      <w:r>
        <w:t xml:space="preserve"> </w:t>
      </w:r>
      <w:r>
        <w:rPr>
          <w:rFonts w:ascii="Consolas" w:hAnsi="Consolas"/>
          <w:color w:val="1F4E79"/>
          <w:sz w:val="19"/>
        </w:rPr>
        <w:t>html2canvas</w:t>
      </w:r>
      <w:r>
        <w:t xml:space="preserve"> rasterises the layout to a flat image, which destroys </w:t>
      </w:r>
      <w:r>
        <w:rPr>
          <w:rFonts w:ascii="Consolas" w:hAnsi="Consolas"/>
          <w:color w:val="1F4E79"/>
          <w:sz w:val="19"/>
        </w:rPr>
        <w:t>&lt;a&gt;</w:t>
      </w:r>
      <w:r>
        <w:t xml:space="preserve"> elements. Clickability is restored by re-attaching native jsPDF link annotations, computing each rectangle by measuring the anchor against its page container and scaling into millimetres — the page is authored at exactly 210 mm, so it is its own px-per-mm reference and the two cannot drift.</w:t>
      </w:r>
    </w:p>
    <w:p>
      <w:r>
        <w:t xml:space="preserve">The first implementation placed hit areas </w:t>
      </w:r>
      <w:r>
        <w:rPr>
          <w:b/>
        </w:rPr>
        <w:t>7.7 pt above the glyphs</w:t>
      </w:r>
      <w:r>
        <w:t xml:space="preserve">: the rectangle is measured on the live DOM while the text is drawn by </w:t>
      </w:r>
      <w:r>
        <w:rPr>
          <w:rFonts w:ascii="Consolas" w:hAnsi="Consolas"/>
          <w:color w:val="1F4E79"/>
          <w:sz w:val="19"/>
        </w:rPr>
        <w:t>html2canvas</w:t>
      </w:r>
      <w:r>
        <w:t>, whose baseline placement differs slightly. Hit areas are now padded to absorb that drift, and each was re-verified against the rendered glyph bands extracted from the generated file.</w:t>
      </w:r>
    </w:p>
    <w:p>
      <w:pPr>
        <w:pStyle w:val="Heading3"/>
      </w:pPr>
      <w:r>
        <w:t>3.4 Build, static analysis and regression posture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val="clear" w:fill="0B2E4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4752"/>
            <w:shd w:val="clear" w:fill="0B2E4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Result</w:t>
            </w:r>
          </w:p>
        </w:tc>
      </w:tr>
      <w:tr>
        <w:tc>
          <w:tcPr>
            <w:tcW w:type="dxa" w:w="4752"/>
          </w:tcPr>
          <w:p>
            <w:pPr>
              <w:spacing w:after="40"/>
            </w:pPr>
            <w:r>
              <w:rPr>
                <w:sz w:val="19"/>
              </w:rPr>
              <w:t>TypeScript (</w:t>
            </w:r>
            <w:r>
              <w:rPr>
                <w:rFonts w:ascii="Consolas" w:hAnsi="Consolas"/>
                <w:color w:val="1F4E79"/>
                <w:sz w:val="19"/>
              </w:rPr>
              <w:t>tsc --noEmit</w:t>
            </w:r>
            <w:r>
              <w:rPr>
                <w:sz w:val="19"/>
              </w:rPr>
              <w:t>)</w:t>
            </w:r>
          </w:p>
        </w:tc>
        <w:tc>
          <w:tcPr>
            <w:tcW w:type="dxa" w:w="4752"/>
          </w:tcPr>
          <w:p>
            <w:pPr>
              <w:spacing w:after="40"/>
            </w:pPr>
            <w:r>
              <w:rPr>
                <w:b/>
                <w:sz w:val="19"/>
              </w:rPr>
              <w:t>0 errors</w:t>
            </w:r>
          </w:p>
        </w:tc>
      </w:tr>
      <w:tr>
        <w:tc>
          <w:tcPr>
            <w:tcW w:type="dxa" w:w="4752"/>
            <w:shd w:val="clear" w:fill="F7F9FB"/>
          </w:tcPr>
          <w:p>
            <w:pPr>
              <w:spacing w:after="40"/>
            </w:pPr>
            <w:r>
              <w:rPr>
                <w:sz w:val="19"/>
              </w:rPr>
              <w:t>ESLint</w:t>
            </w:r>
          </w:p>
        </w:tc>
        <w:tc>
          <w:tcPr>
            <w:tcW w:type="dxa" w:w="4752"/>
            <w:shd w:val="clear" w:fill="F7F9FB"/>
          </w:tcPr>
          <w:p>
            <w:pPr>
              <w:spacing w:after="40"/>
            </w:pPr>
            <w:r>
              <w:rPr>
                <w:b/>
                <w:sz w:val="19"/>
              </w:rPr>
              <w:t>0 warnings, 0 errors</w:t>
            </w:r>
          </w:p>
        </w:tc>
      </w:tr>
      <w:tr>
        <w:tc>
          <w:tcPr>
            <w:tcW w:type="dxa" w:w="4752"/>
          </w:tcPr>
          <w:p>
            <w:pPr>
              <w:spacing w:after="40"/>
            </w:pPr>
            <w:r>
              <w:rPr>
                <w:sz w:val="19"/>
              </w:rPr>
              <w:t>Production build (</w:t>
            </w:r>
            <w:r>
              <w:rPr>
                <w:rFonts w:ascii="Consolas" w:hAnsi="Consolas"/>
                <w:color w:val="1F4E79"/>
                <w:sz w:val="19"/>
              </w:rPr>
              <w:t>next build</w:t>
            </w:r>
            <w:r>
              <w:rPr>
                <w:sz w:val="19"/>
              </w:rPr>
              <w:t>)</w:t>
            </w:r>
          </w:p>
        </w:tc>
        <w:tc>
          <w:tcPr>
            <w:tcW w:type="dxa" w:w="4752"/>
          </w:tcPr>
          <w:p>
            <w:pPr>
              <w:spacing w:after="40"/>
            </w:pPr>
            <w:r>
              <w:rPr>
                <w:b/>
                <w:sz w:val="19"/>
              </w:rPr>
              <w:t>Passes</w:t>
            </w:r>
            <w:r>
              <w:rPr>
                <w:sz w:val="19"/>
              </w:rPr>
              <w:t xml:space="preserve"> — 9 routes</w:t>
            </w:r>
          </w:p>
        </w:tc>
      </w:tr>
      <w:tr>
        <w:tc>
          <w:tcPr>
            <w:tcW w:type="dxa" w:w="4752"/>
            <w:shd w:val="clear" w:fill="F7F9FB"/>
          </w:tcPr>
          <w:p>
            <w:pPr>
              <w:spacing w:after="40"/>
            </w:pPr>
            <w:r>
              <w:rPr>
                <w:sz w:val="19"/>
              </w:rPr>
              <w:t>Shared first-load JS</w:t>
            </w:r>
          </w:p>
        </w:tc>
        <w:tc>
          <w:tcPr>
            <w:tcW w:type="dxa" w:w="4752"/>
            <w:shd w:val="clear" w:fill="F7F9FB"/>
          </w:tcPr>
          <w:p>
            <w:pPr>
              <w:spacing w:after="40"/>
            </w:pPr>
            <w:r>
              <w:rPr>
                <w:b/>
                <w:sz w:val="19"/>
              </w:rPr>
              <w:t>102 kB</w:t>
            </w:r>
          </w:p>
        </w:tc>
      </w:tr>
      <w:tr>
        <w:tc>
          <w:tcPr>
            <w:tcW w:type="dxa" w:w="4752"/>
          </w:tcPr>
          <w:p>
            <w:pPr>
              <w:spacing w:after="40"/>
            </w:pPr>
            <w:r>
              <w:rPr>
                <w:sz w:val="19"/>
              </w:rPr>
              <w:t>Audio assets in initial bundle</w:t>
            </w:r>
          </w:p>
        </w:tc>
        <w:tc>
          <w:tcPr>
            <w:tcW w:type="dxa" w:w="4752"/>
          </w:tcPr>
          <w:p>
            <w:pPr>
              <w:spacing w:after="40"/>
            </w:pPr>
            <w:r>
              <w:rPr>
                <w:b/>
                <w:sz w:val="19"/>
              </w:rPr>
              <w:t>0 kB</w:t>
            </w:r>
            <w:r>
              <w:rPr>
                <w:sz w:val="19"/>
              </w:rPr>
              <w:t xml:space="preserve"> — ~31 kB lazy-loaded on first play</w:t>
            </w:r>
          </w:p>
        </w:tc>
      </w:tr>
      <w:tr>
        <w:tc>
          <w:tcPr>
            <w:tcW w:type="dxa" w:w="4752"/>
            <w:shd w:val="clear" w:fill="F7F9FB"/>
          </w:tcPr>
          <w:p>
            <w:pPr>
              <w:spacing w:after="40"/>
            </w:pPr>
            <w:r>
              <w:rPr>
                <w:sz w:val="19"/>
              </w:rPr>
              <w:t>Runtime environment diagnostics</w:t>
            </w:r>
          </w:p>
        </w:tc>
        <w:tc>
          <w:tcPr>
            <w:tcW w:type="dxa" w:w="4752"/>
            <w:shd w:val="clear" w:fill="F7F9FB"/>
          </w:tcPr>
          <w:p>
            <w:pPr>
              <w:spacing w:after="40"/>
            </w:pPr>
            <w:r>
              <w:rPr>
                <w:rFonts w:ascii="Consolas" w:hAnsi="Consolas"/>
                <w:color w:val="1F4E79"/>
                <w:sz w:val="19"/>
              </w:rPr>
              <w:t>/api/health</w:t>
            </w:r>
            <w:r>
              <w:rPr>
                <w:sz w:val="19"/>
              </w:rPr>
              <w:t xml:space="preserve"> reports live commit SHA and per-variable configuration state (booleans only; no secret values, prefixes or lengths)</w:t>
            </w:r>
          </w:p>
        </w:tc>
      </w:tr>
    </w:tbl>
    <w:p/>
    <w:p>
      <w:pPr>
        <w:pStyle w:val="Heading3"/>
      </w:pPr>
      <w:r>
        <w:t>3.5 Verified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val="clear" w:fill="0B2E4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3168"/>
            <w:shd w:val="clear" w:fill="0B2E4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3168"/>
            <w:shd w:val="clear" w:fill="0B2E4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Version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Framework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Next.js (App Router, serverless)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15.5.25</w:t>
            </w:r>
          </w:p>
        </w:tc>
      </w:tr>
      <w:tr>
        <w:tc>
          <w:tcPr>
            <w:tcW w:type="dxa" w:w="3168"/>
            <w:shd w:val="clear" w:fill="F7F9FB"/>
          </w:tcPr>
          <w:p>
            <w:pPr>
              <w:spacing w:after="40"/>
            </w:pPr>
            <w:r>
              <w:rPr>
                <w:sz w:val="19"/>
              </w:rPr>
              <w:t>UI</w:t>
            </w:r>
          </w:p>
        </w:tc>
        <w:tc>
          <w:tcPr>
            <w:tcW w:type="dxa" w:w="3168"/>
            <w:shd w:val="clear" w:fill="F7F9FB"/>
          </w:tcPr>
          <w:p>
            <w:pPr>
              <w:spacing w:after="40"/>
            </w:pPr>
            <w:r>
              <w:rPr>
                <w:sz w:val="19"/>
              </w:rPr>
              <w:t>React · Tailwind CSS · Framer Motion</w:t>
            </w:r>
          </w:p>
        </w:tc>
        <w:tc>
          <w:tcPr>
            <w:tcW w:type="dxa" w:w="3168"/>
            <w:shd w:val="clear" w:fill="F7F9FB"/>
          </w:tcPr>
          <w:p>
            <w:pPr>
              <w:spacing w:after="40"/>
            </w:pPr>
            <w:r>
              <w:rPr>
                <w:sz w:val="19"/>
              </w:rPr>
              <w:t>18.3.1 · 3.4.7 · 11.11.17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Evaluation model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Anthropic Claude Sonnet (</w:t>
            </w:r>
            <w:r>
              <w:rPr>
                <w:rFonts w:ascii="Consolas" w:hAnsi="Consolas"/>
                <w:color w:val="1F4E79"/>
                <w:sz w:val="19"/>
              </w:rPr>
              <w:t>claude-sonnet-5</w:t>
            </w:r>
            <w:r>
              <w:rPr>
                <w:sz w:val="19"/>
              </w:rPr>
              <w:t>)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SDK 0.124.0</w:t>
            </w:r>
          </w:p>
        </w:tc>
      </w:tr>
      <w:tr>
        <w:tc>
          <w:tcPr>
            <w:tcW w:type="dxa" w:w="3168"/>
            <w:shd w:val="clear" w:fill="F7F9FB"/>
          </w:tcPr>
          <w:p>
            <w:pPr>
              <w:spacing w:after="40"/>
            </w:pPr>
            <w:r>
              <w:rPr>
                <w:sz w:val="19"/>
              </w:rPr>
              <w:t>Schema</w:t>
            </w:r>
          </w:p>
        </w:tc>
        <w:tc>
          <w:tcPr>
            <w:tcW w:type="dxa" w:w="3168"/>
            <w:shd w:val="clear" w:fill="F7F9FB"/>
          </w:tcPr>
          <w:p>
            <w:pPr>
              <w:spacing w:after="40"/>
            </w:pPr>
            <w:r>
              <w:rPr>
                <w:sz w:val="19"/>
              </w:rPr>
              <w:t xml:space="preserve">Zod (v4 API via </w:t>
            </w:r>
            <w:r>
              <w:rPr>
                <w:rFonts w:ascii="Consolas" w:hAnsi="Consolas"/>
                <w:color w:val="1F4E79"/>
                <w:sz w:val="19"/>
              </w:rPr>
              <w:t>zod/v4</w:t>
            </w:r>
            <w:r>
              <w:rPr>
                <w:sz w:val="19"/>
              </w:rPr>
              <w:t xml:space="preserve"> entry point)</w:t>
            </w:r>
          </w:p>
        </w:tc>
        <w:tc>
          <w:tcPr>
            <w:tcW w:type="dxa" w:w="3168"/>
            <w:shd w:val="clear" w:fill="F7F9FB"/>
          </w:tcPr>
          <w:p>
            <w:pPr>
              <w:spacing w:after="40"/>
            </w:pPr>
            <w:r>
              <w:rPr>
                <w:sz w:val="19"/>
              </w:rPr>
              <w:t>3.25.76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Voice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Vapi Web SDK (WebRTC) · Deepgram Nova-2 STT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2.6.3</w:t>
            </w:r>
          </w:p>
        </w:tc>
      </w:tr>
      <w:tr>
        <w:tc>
          <w:tcPr>
            <w:tcW w:type="dxa" w:w="3168"/>
            <w:shd w:val="clear" w:fill="F7F9FB"/>
          </w:tcPr>
          <w:p>
            <w:pPr>
              <w:spacing w:after="40"/>
            </w:pPr>
            <w:r>
              <w:rPr>
                <w:sz w:val="19"/>
              </w:rPr>
              <w:t>Documents</w:t>
            </w:r>
          </w:p>
        </w:tc>
        <w:tc>
          <w:tcPr>
            <w:tcW w:type="dxa" w:w="3168"/>
            <w:shd w:val="clear" w:fill="F7F9FB"/>
          </w:tcPr>
          <w:p>
            <w:pPr>
              <w:spacing w:after="40"/>
            </w:pPr>
            <w:r>
              <w:rPr>
                <w:sz w:val="19"/>
              </w:rPr>
              <w:t>pdf-parse · jsPDF · html2canvas</w:t>
            </w:r>
          </w:p>
        </w:tc>
        <w:tc>
          <w:tcPr>
            <w:tcW w:type="dxa" w:w="3168"/>
            <w:shd w:val="clear" w:fill="F7F9FB"/>
          </w:tcPr>
          <w:p>
            <w:pPr>
              <w:spacing w:after="40"/>
            </w:pPr>
            <w:r>
              <w:rPr>
                <w:sz w:val="19"/>
              </w:rPr>
              <w:t>2.4.5 · 4.2.1 · 1.4.1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Runtime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Node.js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22.22.2</w:t>
            </w:r>
          </w:p>
        </w:tc>
      </w:tr>
    </w:tbl>
    <w:p/>
    <w:p>
      <w:pPr>
        <w:spacing w:after="40"/>
        <w:pBdr>
          <w:bottom w:val="single" w:sz="6" w:space="1" w:color="C9D2DA"/>
        </w:pBdr>
      </w:pPr>
    </w:p>
    <w:p>
      <w:pPr>
        <w:pStyle w:val="Heading2"/>
      </w:pPr>
      <w:r>
        <w:t>4. Defects Surfaced by Evaluation</w:t>
      </w:r>
    </w:p>
    <w:p>
      <w:r>
        <w:t>Evaluation earned its cost by surfacing four defects that a passing build and a clean type-check did not:</w:t>
      </w:r>
    </w:p>
    <w:p>
      <w:pPr>
        <w:pStyle w:val="ListNumber"/>
        <w:spacing w:after="80"/>
        <w:ind w:left="403"/>
      </w:pPr>
      <w:r>
        <w:rPr>
          <w:b/>
        </w:rPr>
        <w:t>Serverless PDF-parse failure.</w:t>
      </w:r>
      <w:r>
        <w:t xml:space="preserve"> </w:t>
      </w:r>
      <w:r>
        <w:rPr>
          <w:rFonts w:ascii="Consolas" w:hAnsi="Consolas"/>
          <w:color w:val="1F4E79"/>
          <w:sz w:val="19"/>
        </w:rPr>
        <w:t>pdf-parse</w:t>
      </w:r>
      <w:r>
        <w:t xml:space="preserve"> resolves its worker at runtime,</w:t>
      </w:r>
    </w:p>
    <w:p>
      <w:r>
        <w:t xml:space="preserve">so the platform's build-time file tracer omitted it — producing a 500 in production only. Diagnosed by running the traced output in isolation; resolved with </w:t>
      </w:r>
      <w:r>
        <w:rPr>
          <w:rFonts w:ascii="Consolas" w:hAnsi="Consolas"/>
          <w:color w:val="1F4E79"/>
          <w:sz w:val="19"/>
        </w:rPr>
        <w:t>outputFileTracingIncludes</w:t>
      </w:r>
      <w:r>
        <w:t>.</w:t>
      </w:r>
    </w:p>
    <w:p>
      <w:pPr>
        <w:pStyle w:val="ListNumber"/>
        <w:spacing w:after="80"/>
        <w:ind w:left="403"/>
      </w:pPr>
      <w:r>
        <w:rPr>
          <w:b/>
        </w:rPr>
        <w:t>Missing `DOMMatrix` in the serverless runtime.</w:t>
      </w:r>
      <w:r>
        <w:t xml:space="preserve"> </w:t>
      </w:r>
      <w:r>
        <w:rPr>
          <w:rFonts w:ascii="Consolas" w:hAnsi="Consolas"/>
          <w:color w:val="1F4E79"/>
          <w:sz w:val="19"/>
        </w:rPr>
        <w:t>pdfjs-dist</w:t>
      </w:r>
      <w:r>
        <w:t xml:space="preserve"> instantiates</w:t>
      </w:r>
    </w:p>
    <w:p>
      <w:r>
        <w:t>one at module load even for pure text extraction, and the native canvas package it normally sources it from does not survive serverless packaging. Resolved with a dependency-free polyfill.</w:t>
      </w:r>
    </w:p>
    <w:p>
      <w:pPr>
        <w:pStyle w:val="ListNumber"/>
        <w:spacing w:after="80"/>
        <w:ind w:left="403"/>
      </w:pPr>
      <w:r>
        <w:rPr>
          <w:b/>
        </w:rPr>
        <w:t>Invisible hero typography in dark mode.</w:t>
      </w:r>
      <w:r>
        <w:t xml:space="preserve"> </w:t>
      </w:r>
      <w:r>
        <w:rPr>
          <w:rFonts w:ascii="Consolas" w:hAnsi="Consolas"/>
          <w:color w:val="1F4E79"/>
          <w:sz w:val="19"/>
        </w:rPr>
        <w:t>background-clip: text</w:t>
      </w:r>
      <w:r>
        <w:t xml:space="preserve"> cannot</w:t>
      </w:r>
    </w:p>
    <w:p>
      <w:r>
        <w:t xml:space="preserve">clip to glyphs painted by child elements that own compositing layers, and every letter animates </w:t>
      </w:r>
      <w:r>
        <w:rPr>
          <w:rFonts w:ascii="Consolas" w:hAnsi="Consolas"/>
          <w:color w:val="1F4E79"/>
          <w:sz w:val="19"/>
        </w:rPr>
        <w:t>filter</w:t>
      </w:r>
      <w:r>
        <w:t>. Detectable only by rendering the page.</w:t>
      </w:r>
    </w:p>
    <w:p>
      <w:pPr>
        <w:pStyle w:val="ListNumber"/>
        <w:spacing w:after="80"/>
        <w:ind w:left="403"/>
      </w:pPr>
      <w:r>
        <w:rPr>
          <w:b/>
        </w:rPr>
        <w:t>Environment-variable namespace mismatch.</w:t>
      </w:r>
      <w:r>
        <w:t xml:space="preserve"> Production was provisioned with</w:t>
      </w:r>
    </w:p>
    <w:p>
      <w:r>
        <w:rPr>
          <w:rFonts w:ascii="Consolas" w:hAnsi="Consolas"/>
          <w:color w:val="1F4E79"/>
          <w:sz w:val="19"/>
        </w:rPr>
        <w:t>NEXT_PUBLIC_VAPI_KEY</w:t>
      </w:r>
      <w:r>
        <w:t xml:space="preserve"> while the application read </w:t>
      </w:r>
      <w:r>
        <w:rPr>
          <w:rFonts w:ascii="Consolas" w:hAnsi="Consolas"/>
          <w:color w:val="1F4E79"/>
          <w:sz w:val="19"/>
        </w:rPr>
        <w:t>NEXT_PUBLIC_VAPI_PUBLIC_KEY</w:t>
      </w:r>
      <w:r>
        <w:t xml:space="preserve"> — a silent, total failure of the interview screen despite the key being present. Both names now resolve, and </w:t>
      </w:r>
      <w:r>
        <w:rPr>
          <w:rFonts w:ascii="Consolas" w:hAnsi="Consolas"/>
          <w:color w:val="1F4E79"/>
          <w:sz w:val="19"/>
        </w:rPr>
        <w:t>/api/health</w:t>
      </w:r>
      <w:r>
        <w:t xml:space="preserve"> reports which was used.</w:t>
      </w:r>
    </w:p>
    <w:p>
      <w:pPr>
        <w:spacing w:after="40"/>
        <w:pBdr>
          <w:bottom w:val="single" w:sz="6" w:space="1" w:color="C9D2DA"/>
        </w:pBdr>
      </w:pPr>
    </w:p>
    <w:p>
      <w:pPr>
        <w:pStyle w:val="Heading2"/>
      </w:pPr>
      <w:r>
        <w:t>5. Declared Boundaries and Technical Rigor</w:t>
      </w:r>
    </w:p>
    <w:p>
      <w:r>
        <w:t xml:space="preserve">An evaluation section is only as credible as the boundary it declares. The following are </w:t>
      </w:r>
      <w:r>
        <w:rPr>
          <w:b/>
        </w:rPr>
        <w:t>explicitly outside</w:t>
      </w:r>
      <w:r>
        <w:t xml:space="preserve"> the scope of the measurements above:</w:t>
      </w:r>
    </w:p>
    <w:p>
      <w:r>
        <w:rPr>
          <w:b/>
        </w:rPr>
        <w:t>5.1 Scoring quality is not benchmarked against human raters.</w:t>
      </w:r>
      <w:r>
        <w:t xml:space="preserve"> The suite certifies that model output conforms to the rubric schema and renders deterministically. It does </w:t>
      </w:r>
      <w:r>
        <w:rPr>
          <w:b/>
        </w:rPr>
        <w:t>not</w:t>
      </w:r>
      <w:r>
        <w:t xml:space="preserve"> measure agreement between Claude's category scores and expert human interviewer judgement, which would require an inter-rater reliability study over labelled transcripts.</w:t>
      </w:r>
    </w:p>
    <w:p>
      <w:r>
        <w:rPr>
          <w:b/>
        </w:rPr>
        <w:t>5.2 End-to-end voice latency is a property of upstream providers.</w:t>
      </w:r>
      <w:r>
        <w:t xml:space="preserve"> The WebRTC loop (Vapi orchestration, Deepgram transcription, model inference, speech synthesis) is measured across networks and infrastructure outside this repository's control. Voice behaviour was validated interactively; no instrumented latency figure is claimed as a controlled measurement.</w:t>
      </w:r>
    </w:p>
    <w:p>
      <w:r>
        <w:rPr>
          <w:b/>
        </w:rPr>
        <w:t>5.3 Upstream evaluation latency is not reported.</w:t>
      </w:r>
      <w:r>
        <w:t xml:space="preserve"> Every automated run used a deterministic or validation-path response. No timing figure is asserted for the live Claude call, as none was measured under controlled conditions.</w:t>
      </w:r>
    </w:p>
    <w:p>
      <w:r>
        <w:rPr>
          <w:b/>
        </w:rPr>
        <w:t>5.4 What the boundary buys.</w:t>
      </w:r>
      <w:r>
        <w:t xml:space="preserve"> Confining automated claims to deterministic logic, schema conformance and system contracts means every figure in §3 is reproducible by a judge on a clean checkout, with no credential, in under a second. Metrics that depend on third-party infrastructure are named as such rather than estimated.</w:t>
      </w:r>
    </w:p>
    <w:p>
      <w:pPr>
        <w:pStyle w:val="Heading3"/>
      </w:pPr>
      <w:r>
        <w:t>5.5 Declared next measurement</w:t>
      </w:r>
    </w:p>
    <w:p>
      <w:r>
        <w:t xml:space="preserve">The natural extension is a </w:t>
      </w:r>
      <w:r>
        <w:rPr>
          <w:b/>
        </w:rPr>
        <w:t>labelled transcript corpus</w:t>
      </w:r>
      <w:r>
        <w:t xml:space="preserve"> — strong, average and weak responses per rubric dimension — asserting </w:t>
      </w:r>
      <w:r>
        <w:rPr>
          <w:b/>
        </w:rPr>
        <w:t>monotonicity</w:t>
      </w:r>
      <w:r>
        <w:t>: a strictly stronger transcript must never receive a lower category score. This converts scoring quality from an assertion into a test, and is the recommended first addition to the harness post-submission.</w:t>
      </w:r>
    </w:p>
    <w:p>
      <w:pPr>
        <w:spacing w:after="40"/>
        <w:pBdr>
          <w:bottom w:val="single" w:sz="6" w:space="1" w:color="C9D2DA"/>
        </w:pBdr>
      </w:pPr>
    </w:p>
    <w:p>
      <w:pPr>
        <w:pStyle w:val="Heading2"/>
      </w:pPr>
      <w:r>
        <w:t>6. Reproduction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fill="F4F6F8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git clone https://github.com/muntherh/forsa-ai-agent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cd forsa-ai-agent &amp;&amp; npm install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npm run eval              # 15 deterministic cases — no credentials required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npm run eval -- --live    # all 16 cases — requires a running server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npx tsc --noEmit          # type integrity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npm run lint              # static analysis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npm run build             # production build</w:t>
            </w:r>
          </w:p>
        </w:tc>
      </w:tr>
    </w:tbl>
    <w:p/>
    <w:p>
      <w:r>
        <w:t>The harness exits non-zero on any failure and is therefore suitable as a CI gate.</w:t>
      </w:r>
    </w:p>
    <w:sectPr w:rsidR="00FC693F" w:rsidRPr="0006063C" w:rsidSect="00034616">
      <w:pgSz w:w="12240" w:h="15840"/>
      <w:pgMar w:top="1296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0B2E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0B2E4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 Light" w:hAnsi="Calibri Light"/>
      <w:b/>
      <w:bCs/>
      <w:color w:val="0F6B5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