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Forsa AI — Evaluation Dataset and Results</w:t>
      </w:r>
    </w:p>
    <w:p>
      <w:r>
        <w:rPr>
          <w:b/>
        </w:rPr>
        <w:t>Technical Report · Decoding Data Science / Tamkeen AI Agent Challenge 2026</w:t>
      </w:r>
    </w:p>
    <w:tbl>
      <w:tblPr>
        <w:tblStyle w:val="TableGrid"/>
        <w:tblW w:type="auto" w:w="0"/>
        <w:jc w:val="center"/>
        <w:tblLook w:firstColumn="1" w:firstRow="1" w:lastColumn="0" w:lastRow="0" w:noHBand="0" w:noVBand="1" w:val="04A0"/>
      </w:tblPr>
      <w:tblGrid>
        <w:gridCol w:w="4752"/>
        <w:gridCol w:w="4752"/>
      </w:tblGrid>
      <w:tr>
        <w:tc>
          <w:tcPr>
            <w:tcW w:type="dxa" w:w="4752"/>
          </w:tcPr>
          <w:p>
            <w:pPr>
              <w:spacing w:after="40"/>
            </w:pPr>
            <w:r>
              <w:rPr>
                <w:b/>
                <w:sz w:val="19"/>
              </w:rPr>
              <w:t>Project</w:t>
            </w:r>
          </w:p>
        </w:tc>
        <w:tc>
          <w:tcPr>
            <w:tcW w:type="dxa" w:w="4752"/>
          </w:tcPr>
          <w:p>
            <w:pPr>
              <w:spacing w:after="40"/>
            </w:pPr>
            <w:r>
              <w:rPr>
                <w:sz w:val="19"/>
              </w:rPr>
              <w:t>Forsa AI — Real-Time Voice Interviewer &amp; Performance Evaluator</w:t>
            </w:r>
          </w:p>
        </w:tc>
      </w:tr>
      <w:tr>
        <w:tc>
          <w:tcPr>
            <w:tcW w:type="dxa" w:w="4752"/>
            <w:shd w:val="clear" w:fill="F7F9FB"/>
          </w:tcPr>
          <w:p>
            <w:pPr>
              <w:spacing w:after="40"/>
            </w:pPr>
            <w:r>
              <w:rPr>
                <w:b/>
                <w:sz w:val="19"/>
              </w:rPr>
              <w:t>Builder</w:t>
            </w:r>
          </w:p>
        </w:tc>
        <w:tc>
          <w:tcPr>
            <w:tcW w:type="dxa" w:w="4752"/>
            <w:shd w:val="clear" w:fill="F7F9FB"/>
          </w:tcPr>
          <w:p>
            <w:pPr>
              <w:spacing w:after="40"/>
            </w:pPr>
            <w:r>
              <w:rPr>
                <w:sz w:val="19"/>
              </w:rPr>
              <w:t>Al-Munther Hilal Al-Harrasi (Individual Builder)</w:t>
            </w:r>
          </w:p>
        </w:tc>
      </w:tr>
      <w:tr>
        <w:tc>
          <w:tcPr>
            <w:tcW w:type="dxa" w:w="4752"/>
          </w:tcPr>
          <w:p>
            <w:pPr>
              <w:spacing w:after="40"/>
            </w:pPr>
            <w:r>
              <w:rPr>
                <w:b/>
                <w:sz w:val="19"/>
              </w:rPr>
              <w:t>Track</w:t>
            </w:r>
          </w:p>
        </w:tc>
        <w:tc>
          <w:tcPr>
            <w:tcW w:type="dxa" w:w="4752"/>
          </w:tcPr>
          <w:p>
            <w:pPr>
              <w:spacing w:after="40"/>
            </w:pPr>
            <w:r>
              <w:rPr>
                <w:sz w:val="19"/>
              </w:rPr>
              <w:t>LLM/API Integration (Code-First)</w:t>
            </w:r>
          </w:p>
        </w:tc>
      </w:tr>
      <w:tr>
        <w:tc>
          <w:tcPr>
            <w:tcW w:type="dxa" w:w="4752"/>
            <w:shd w:val="clear" w:fill="F7F9FB"/>
          </w:tcPr>
          <w:p>
            <w:pPr>
              <w:spacing w:after="40"/>
            </w:pPr>
            <w:r>
              <w:rPr>
                <w:b/>
                <w:sz w:val="19"/>
              </w:rPr>
              <w:t>Repository</w:t>
            </w:r>
          </w:p>
        </w:tc>
        <w:tc>
          <w:tcPr>
            <w:tcW w:type="dxa" w:w="4752"/>
            <w:shd w:val="clear" w:fill="F7F9FB"/>
          </w:tcPr>
          <w:p>
            <w:pPr>
              <w:spacing w:after="40"/>
            </w:pPr>
            <w:r>
              <w:rPr>
                <w:sz w:val="19"/>
              </w:rPr>
              <w:t>https://github.com/muntherh/forsa-ai-agent</w:t>
            </w:r>
          </w:p>
        </w:tc>
      </w:tr>
      <w:tr>
        <w:tc>
          <w:tcPr>
            <w:tcW w:type="dxa" w:w="4752"/>
          </w:tcPr>
          <w:p>
            <w:pPr>
              <w:spacing w:after="40"/>
            </w:pPr>
            <w:r>
              <w:rPr>
                <w:b/>
                <w:sz w:val="19"/>
              </w:rPr>
              <w:t>Harness</w:t>
            </w:r>
          </w:p>
        </w:tc>
        <w:tc>
          <w:tcPr>
            <w:tcW w:type="dxa" w:w="4752"/>
          </w:tcPr>
          <w:p>
            <w:pPr>
              <w:spacing w:after="40"/>
            </w:pPr>
            <w:r>
              <w:rPr>
                <w:rFonts w:ascii="Consolas" w:hAnsi="Consolas"/>
                <w:color w:val="1F4E79"/>
                <w:sz w:val="19"/>
              </w:rPr>
              <w:t>evaluation/</w:t>
            </w:r>
            <w:r>
              <w:rPr>
                <w:sz w:val="19"/>
              </w:rPr>
              <w:t xml:space="preserve"> — 371 lines, 0 additional dependencies</w:t>
            </w:r>
          </w:p>
        </w:tc>
      </w:tr>
      <w:tr>
        <w:tc>
          <w:tcPr>
            <w:tcW w:type="dxa" w:w="4752"/>
            <w:shd w:val="clear" w:fill="F7F9FB"/>
          </w:tcPr>
          <w:p>
            <w:pPr>
              <w:spacing w:after="40"/>
            </w:pPr>
            <w:r>
              <w:rPr>
                <w:b/>
                <w:sz w:val="19"/>
              </w:rPr>
              <w:t>Reproduce</w:t>
            </w:r>
          </w:p>
        </w:tc>
        <w:tc>
          <w:tcPr>
            <w:tcW w:type="dxa" w:w="4752"/>
            <w:shd w:val="clear" w:fill="F7F9FB"/>
          </w:tcPr>
          <w:p>
            <w:pPr>
              <w:spacing w:after="40"/>
            </w:pPr>
            <w:r>
              <w:rPr>
                <w:rFonts w:ascii="Consolas" w:hAnsi="Consolas"/>
                <w:color w:val="1F4E79"/>
                <w:sz w:val="19"/>
              </w:rPr>
              <w:t>npm run eval</w:t>
            </w:r>
            <w:r>
              <w:rPr>
                <w:sz w:val="19"/>
              </w:rPr>
              <w:t xml:space="preserve"> → 15/16 (no credentials) · </w:t>
            </w:r>
            <w:r>
              <w:rPr>
                <w:rFonts w:ascii="Consolas" w:hAnsi="Consolas"/>
                <w:color w:val="1F4E79"/>
                <w:sz w:val="19"/>
              </w:rPr>
              <w:t>npm run eval -- --live</w:t>
            </w:r>
            <w:r>
              <w:rPr>
                <w:sz w:val="19"/>
              </w:rPr>
              <w:t xml:space="preserve"> → 16/16</w:t>
            </w:r>
          </w:p>
        </w:tc>
      </w:tr>
    </w:tbl>
    <w:p/>
    <w:p>
      <w:pPr>
        <w:spacing w:after="40"/>
        <w:pBdr>
          <w:bottom w:val="single" w:sz="6" w:space="1" w:color="C9D2DA"/>
        </w:pBdr>
      </w:pPr>
    </w:p>
    <w:p>
      <w:pPr>
        <w:pStyle w:val="Heading2"/>
      </w:pPr>
      <w:r>
        <w:t>1. Introduction &amp; Methodology</w:t>
      </w:r>
    </w:p>
    <w:p>
      <w:pPr>
        <w:pStyle w:val="Heading3"/>
      </w:pPr>
      <w:r>
        <w:t>1.1 Why this system requires evidence, not assertion</w:t>
      </w:r>
    </w:p>
    <w:p>
      <w:r>
        <w:t xml:space="preserve">Forsa AI issues a </w:t>
      </w:r>
      <w:r>
        <w:rPr>
          <w:b/>
        </w:rPr>
        <w:t>scored judgement about a person</w:t>
      </w:r>
      <w:r>
        <w:t xml:space="preserve"> and converts that judgement into a personalised development plan. That raises the evidentiary bar above conventional web software. A scorecard can render beautifully while being structurally unsound. An interviewer can sound fluent while silently substituting a job title it recognises for the one the candidate actually requested. Both failures are invisible to the user and invisible to a passing build.</w:t>
      </w:r>
    </w:p>
    <w:p>
      <w:r>
        <w:t xml:space="preserve">The evaluation strategy therefore targets the properties that are </w:t>
      </w:r>
      <w:r>
        <w:rPr>
          <w:b/>
        </w:rPr>
        <w:t>falsifiable in software</w:t>
      </w:r>
      <w:r>
        <w:t xml:space="preserve"> — contract integrity, input robustness, and determinism — and states explicitly where a property cannot be measured without live upstream credentials.</w:t>
      </w:r>
    </w:p>
    <w:p>
      <w:pPr>
        <w:pStyle w:val="Heading3"/>
      </w:pPr>
      <w:r>
        <w:t>1.2 The harness: real modules, no mocks</w:t>
      </w:r>
    </w:p>
    <w:p>
      <w:r>
        <w:t xml:space="preserve">The suite lives in the repository at </w:t>
      </w:r>
      <w:r>
        <w:rPr>
          <w:rFonts w:ascii="Consolas" w:hAnsi="Consolas"/>
          <w:color w:val="1F4E79"/>
          <w:sz w:val="19"/>
        </w:rPr>
        <w:t>evaluation/</w:t>
      </w:r>
      <w:r>
        <w:t xml:space="preserve"> and is executed with </w:t>
      </w:r>
      <w:r>
        <w:rPr>
          <w:rFonts w:ascii="Consolas" w:hAnsi="Consolas"/>
          <w:color w:val="1F4E79"/>
          <w:sz w:val="19"/>
        </w:rPr>
        <w:t>npm run eval</w:t>
      </w:r>
      <w:r>
        <w:t xml:space="preserve">. Its defining architectural decision is that </w:t>
      </w:r>
      <w:r>
        <w:rPr>
          <w:b/>
        </w:rPr>
        <w:t>every case imports and exercises the production modules directly</w:t>
      </w:r>
      <w:r>
        <w:t>:</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evaluation/cases.mts  →  lib/assistant.ts    (agent construction, variable injection)</w:t>
            </w:r>
          </w:p>
          <w:p>
            <w:pPr>
              <w:spacing w:after="0" w:line="240" w:lineRule="auto"/>
            </w:pPr>
            <w:r>
              <w:rPr>
                <w:rFonts w:ascii="Consolas" w:hAnsi="Consolas"/>
                <w:sz w:val="18"/>
              </w:rPr>
              <w:t xml:space="preserve">                      →  lib/rubric.ts       (evaluation prompt, Zod schema)</w:t>
            </w:r>
          </w:p>
          <w:p>
            <w:pPr>
              <w:spacing w:after="0" w:line="240" w:lineRule="auto"/>
            </w:pPr>
            <w:r>
              <w:rPr>
                <w:rFonts w:ascii="Consolas" w:hAnsi="Consolas"/>
                <w:sz w:val="18"/>
              </w:rPr>
              <w:t xml:space="preserve">                      →  lib/roles.ts        (role taxonomy)</w:t>
            </w:r>
          </w:p>
          <w:p>
            <w:pPr>
              <w:spacing w:after="0" w:line="240" w:lineRule="auto"/>
            </w:pPr>
            <w:r>
              <w:rPr>
                <w:rFonts w:ascii="Consolas" w:hAnsi="Consolas"/>
                <w:sz w:val="18"/>
              </w:rPr>
              <w:t xml:space="preserve">                      →  lib/upskilling.ts   (recommendation engine)</w:t>
            </w:r>
          </w:p>
        </w:tc>
      </w:tr>
    </w:tbl>
    <w:p/>
    <w:p>
      <w:r>
        <w:t xml:space="preserve">No logic is reimplemented inside a test double. A passing case therefore reflects </w:t>
      </w:r>
      <w:r>
        <w:rPr>
          <w:b/>
        </w:rPr>
        <w:t>shipped behaviour</w:t>
      </w:r>
      <w:r>
        <w:t>, not a parallel mock that can drift from it — the single most common way a green test suite comes to certify nothing.</w:t>
      </w:r>
    </w:p>
    <w:p>
      <w:pPr>
        <w:pStyle w:val="Heading3"/>
      </w:pPr>
      <w:r>
        <w:t>1.3 Zero-dependency, zero-build execution</w:t>
      </w:r>
    </w:p>
    <w:p>
      <w:r>
        <w:t xml:space="preserve">The harness runs the TypeScript sources directly through </w:t>
      </w:r>
      <w:r>
        <w:rPr>
          <w:b/>
        </w:rPr>
        <w:t>Node's native type stripping</w:t>
      </w:r>
      <w:r>
        <w:t xml:space="preserve"> (</w:t>
      </w:r>
      <w:r>
        <w:rPr>
          <w:rFonts w:ascii="Consolas" w:hAnsi="Consolas"/>
          <w:color w:val="1F4E79"/>
          <w:sz w:val="19"/>
        </w:rPr>
        <w:t>node --experimental-strip-types</w:t>
      </w:r>
      <w:r>
        <w:t xml:space="preserve">, Node v22.22.2). There is no transpilation step, no bundler, and no test framework added to the dependency tree. The entire suite is 371 lines and adds </w:t>
      </w:r>
      <w:r>
        <w:rPr>
          <w:b/>
        </w:rPr>
        <w:t>zero</w:t>
      </w:r>
      <w:r>
        <w:t xml:space="preserve"> packages to </w:t>
      </w:r>
      <w:r>
        <w:rPr>
          <w:rFonts w:ascii="Consolas" w:hAnsi="Consolas"/>
          <w:color w:val="1F4E79"/>
          <w:sz w:val="19"/>
        </w:rPr>
        <w:t>package.json</w:t>
      </w:r>
      <w:r>
        <w:t xml:space="preserve"> — a deliberate choice, since an evaluation apparatus that itself introduces supply-chain surface is a poor trade for a security-conscious submission.</w:t>
      </w:r>
    </w:p>
    <w:p>
      <w:pPr>
        <w:pStyle w:val="Heading3"/>
      </w:pPr>
      <w:r>
        <w:t>1.4 Measurement honesty as a design constraint</w:t>
      </w:r>
    </w:p>
    <w:p>
      <w:r>
        <w:t xml:space="preserve">Each case declares a </w:t>
      </w:r>
      <w:r>
        <w:rPr>
          <w:rFonts w:ascii="Consolas" w:hAnsi="Consolas"/>
          <w:color w:val="1F4E79"/>
          <w:sz w:val="19"/>
        </w:rPr>
        <w:t>mode</w:t>
      </w:r>
      <w:r>
        <w:t>:</w:t>
      </w:r>
    </w:p>
    <w:p>
      <w:pPr>
        <w:pStyle w:val="ListBullet"/>
        <w:spacing w:after="80"/>
        <w:ind w:left="403"/>
      </w:pPr>
      <w:r>
        <w:rPr>
          <w:b/>
        </w:rPr>
        <w:t>`offline`</w:t>
      </w:r>
      <w:r>
        <w:t xml:space="preserve"> — fully deterministic. No API key, no network, no external state.</w:t>
      </w:r>
    </w:p>
    <w:p>
      <w:pPr>
        <w:pStyle w:val="ListBullet"/>
        <w:spacing w:after="80"/>
        <w:ind w:left="403"/>
      </w:pPr>
      <w:r>
        <w:rPr>
          <w:b/>
        </w:rPr>
        <w:t>`liveKey`</w:t>
      </w:r>
      <w:r>
        <w:t xml:space="preserve"> — requires a running server or upstream credential.</w:t>
      </w:r>
    </w:p>
    <w:p>
      <w:r>
        <w:t xml:space="preserve">Cases requiring credentials are </w:t>
      </w:r>
      <w:r>
        <w:rPr>
          <w:b/>
        </w:rPr>
        <w:t>skipped by default and reported in a separate tally</w:t>
      </w:r>
      <w:r>
        <w:t>. The runner is structurally incapable of printing a skipped case as passed. A failure exits non-zero, allowing the suite to gate CI. This is what permits the results in §4 to be read as measurements rather than claims.</w:t>
      </w:r>
    </w:p>
    <w:p>
      <w:pPr>
        <w:spacing w:after="40"/>
        <w:pBdr>
          <w:bottom w:val="single" w:sz="6" w:space="1" w:color="C9D2DA"/>
        </w:pBdr>
      </w:pPr>
    </w:p>
    <w:p>
      <w:pPr>
        <w:pStyle w:val="Heading2"/>
      </w:pPr>
      <w:r>
        <w:t>2. System Architecture Under Test</w:t>
      </w:r>
    </w:p>
    <w:p>
      <w:r>
        <w:t>The measurements in §4 are only meaningful against a clear statement of what was built. Two architectural decisions define the system.</w:t>
      </w:r>
    </w:p>
    <w:p>
      <w:pPr>
        <w:pStyle w:val="Heading3"/>
      </w:pPr>
      <w:r>
        <w:t>2.1 A deliberate two-model split</w:t>
      </w:r>
    </w:p>
    <w:p>
      <w:r>
        <w:t xml:space="preserve">Forsa AI runs </w:t>
      </w:r>
      <w:r>
        <w:rPr>
          <w:b/>
        </w:rPr>
        <w:t>two different models for two different jobs</w:t>
      </w:r>
      <w:r>
        <w:t>, rather than forcing one model to do both badly.</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Stage</w:t>
            </w:r>
          </w:p>
        </w:tc>
        <w:tc>
          <w:tcPr>
            <w:tcW w:type="dxa" w:w="3168"/>
            <w:shd w:val="clear" w:fill="0B2E4A"/>
          </w:tcPr>
          <w:p>
            <w:pPr>
              <w:spacing w:after="40"/>
            </w:pPr>
            <w:r>
              <w:rPr>
                <w:b/>
                <w:color w:val="FFFFFF"/>
                <w:sz w:val="19"/>
              </w:rPr>
              <w:t>Component</w:t>
            </w:r>
          </w:p>
        </w:tc>
        <w:tc>
          <w:tcPr>
            <w:tcW w:type="dxa" w:w="3168"/>
            <w:shd w:val="clear" w:fill="0B2E4A"/>
          </w:tcPr>
          <w:p>
            <w:pPr>
              <w:spacing w:after="40"/>
            </w:pPr>
            <w:r>
              <w:rPr>
                <w:b/>
                <w:color w:val="FFFFFF"/>
                <w:sz w:val="19"/>
              </w:rPr>
              <w:t>Configuration</w:t>
            </w:r>
          </w:p>
        </w:tc>
      </w:tr>
      <w:tr>
        <w:tc>
          <w:tcPr>
            <w:tcW w:type="dxa" w:w="3168"/>
          </w:tcPr>
          <w:p>
            <w:pPr>
              <w:spacing w:after="40"/>
            </w:pPr>
            <w:r>
              <w:rPr>
                <w:b/>
                <w:sz w:val="19"/>
              </w:rPr>
              <w:t>Live conversation</w:t>
            </w:r>
          </w:p>
        </w:tc>
        <w:tc>
          <w:tcPr>
            <w:tcW w:type="dxa" w:w="3168"/>
          </w:tcPr>
          <w:p>
            <w:pPr>
              <w:spacing w:after="40"/>
            </w:pPr>
            <w:r>
              <w:rPr>
                <w:sz w:val="19"/>
              </w:rPr>
              <w:t>GPT-4o, served through Vapi</w:t>
            </w:r>
          </w:p>
        </w:tc>
        <w:tc>
          <w:tcPr>
            <w:tcW w:type="dxa" w:w="3168"/>
          </w:tcPr>
          <w:p>
            <w:pPr>
              <w:spacing w:after="40"/>
            </w:pPr>
            <w:r>
              <w:rPr>
                <w:rFonts w:ascii="Consolas" w:hAnsi="Consolas"/>
                <w:color w:val="1F4E79"/>
                <w:sz w:val="19"/>
              </w:rPr>
              <w:t>provider: "openai"</w:t>
            </w:r>
            <w:r>
              <w:rPr>
                <w:sz w:val="19"/>
              </w:rPr>
              <w:t xml:space="preserve">, </w:t>
            </w:r>
            <w:r>
              <w:rPr>
                <w:rFonts w:ascii="Consolas" w:hAnsi="Consolas"/>
                <w:color w:val="1F4E79"/>
                <w:sz w:val="19"/>
              </w:rPr>
              <w:t>model: "gpt-4o"</w:t>
            </w:r>
            <w:r>
              <w:rPr>
                <w:sz w:val="19"/>
              </w:rPr>
              <w:t xml:space="preserve">, </w:t>
            </w:r>
            <w:r>
              <w:rPr>
                <w:rFonts w:ascii="Consolas" w:hAnsi="Consolas"/>
                <w:color w:val="1F4E79"/>
                <w:sz w:val="19"/>
              </w:rPr>
              <w:t>temperature: 0.6</w:t>
            </w:r>
          </w:p>
        </w:tc>
      </w:tr>
      <w:tr>
        <w:tc>
          <w:tcPr>
            <w:tcW w:type="dxa" w:w="3168"/>
            <w:shd w:val="clear" w:fill="F7F9FB"/>
          </w:tcPr>
          <w:p>
            <w:pPr>
              <w:spacing w:after="40"/>
            </w:pPr>
            <w:r>
              <w:rPr>
                <w:b/>
                <w:sz w:val="19"/>
              </w:rPr>
              <w:t>Speech-to-text</w:t>
            </w:r>
          </w:p>
        </w:tc>
        <w:tc>
          <w:tcPr>
            <w:tcW w:type="dxa" w:w="3168"/>
            <w:shd w:val="clear" w:fill="F7F9FB"/>
          </w:tcPr>
          <w:p>
            <w:pPr>
              <w:spacing w:after="40"/>
            </w:pPr>
            <w:r>
              <w:rPr>
                <w:sz w:val="19"/>
              </w:rPr>
              <w:t>Deepgram Nova-2</w:t>
            </w:r>
          </w:p>
        </w:tc>
        <w:tc>
          <w:tcPr>
            <w:tcW w:type="dxa" w:w="3168"/>
            <w:shd w:val="clear" w:fill="F7F9FB"/>
          </w:tcPr>
          <w:p>
            <w:pPr>
              <w:spacing w:after="40"/>
            </w:pPr>
            <w:r>
              <w:rPr>
                <w:rFonts w:ascii="Consolas" w:hAnsi="Consolas"/>
                <w:color w:val="1F4E79"/>
                <w:sz w:val="19"/>
              </w:rPr>
              <w:t>language: "en"</w:t>
            </w:r>
          </w:p>
        </w:tc>
      </w:tr>
      <w:tr>
        <w:tc>
          <w:tcPr>
            <w:tcW w:type="dxa" w:w="3168"/>
          </w:tcPr>
          <w:p>
            <w:pPr>
              <w:spacing w:after="40"/>
            </w:pPr>
            <w:r>
              <w:rPr>
                <w:b/>
                <w:sz w:val="19"/>
              </w:rPr>
              <w:t>Text-to-speech</w:t>
            </w:r>
          </w:p>
        </w:tc>
        <w:tc>
          <w:tcPr>
            <w:tcW w:type="dxa" w:w="3168"/>
          </w:tcPr>
          <w:p>
            <w:pPr>
              <w:spacing w:after="40"/>
            </w:pPr>
            <w:r>
              <w:rPr>
                <w:sz w:val="19"/>
              </w:rPr>
              <w:t xml:space="preserve">OpenAI </w:t>
            </w:r>
            <w:r>
              <w:rPr>
                <w:rFonts w:ascii="Consolas" w:hAnsi="Consolas"/>
                <w:color w:val="1F4E79"/>
                <w:sz w:val="19"/>
              </w:rPr>
              <w:t>alloy</w:t>
            </w:r>
          </w:p>
        </w:tc>
        <w:tc>
          <w:tcPr>
            <w:tcW w:type="dxa" w:w="3168"/>
          </w:tcPr>
          <w:p>
            <w:pPr>
              <w:spacing w:after="40"/>
            </w:pPr>
            <w:r>
              <w:rPr>
                <w:sz w:val="19"/>
              </w:rPr>
              <w:t>—</w:t>
            </w:r>
          </w:p>
        </w:tc>
      </w:tr>
      <w:tr>
        <w:tc>
          <w:tcPr>
            <w:tcW w:type="dxa" w:w="3168"/>
            <w:shd w:val="clear" w:fill="F7F9FB"/>
          </w:tcPr>
          <w:p>
            <w:pPr>
              <w:spacing w:after="40"/>
            </w:pPr>
            <w:r>
              <w:rPr>
                <w:b/>
                <w:sz w:val="19"/>
              </w:rPr>
              <w:t>Transport</w:t>
            </w:r>
          </w:p>
        </w:tc>
        <w:tc>
          <w:tcPr>
            <w:tcW w:type="dxa" w:w="3168"/>
            <w:shd w:val="clear" w:fill="F7F9FB"/>
          </w:tcPr>
          <w:p>
            <w:pPr>
              <w:spacing w:after="40"/>
            </w:pPr>
            <w:r>
              <w:rPr>
                <w:sz w:val="19"/>
              </w:rPr>
              <w:t>Vapi WebRTC</w:t>
            </w:r>
          </w:p>
        </w:tc>
        <w:tc>
          <w:tcPr>
            <w:tcW w:type="dxa" w:w="3168"/>
            <w:shd w:val="clear" w:fill="F7F9FB"/>
          </w:tcPr>
          <w:p>
            <w:pPr>
              <w:spacing w:after="40"/>
            </w:pPr>
            <w:r>
              <w:rPr>
                <w:rFonts w:ascii="Consolas" w:hAnsi="Consolas"/>
                <w:color w:val="1F4E79"/>
                <w:sz w:val="19"/>
              </w:rPr>
              <w:t>maxDurationSeconds: 900</w:t>
            </w:r>
          </w:p>
        </w:tc>
      </w:tr>
      <w:tr>
        <w:tc>
          <w:tcPr>
            <w:tcW w:type="dxa" w:w="3168"/>
          </w:tcPr>
          <w:p>
            <w:pPr>
              <w:spacing w:after="40"/>
            </w:pPr>
            <w:r>
              <w:rPr>
                <w:b/>
                <w:sz w:val="19"/>
              </w:rPr>
              <w:t>Post-call evaluation</w:t>
            </w:r>
          </w:p>
        </w:tc>
        <w:tc>
          <w:tcPr>
            <w:tcW w:type="dxa" w:w="3168"/>
          </w:tcPr>
          <w:p>
            <w:pPr>
              <w:spacing w:after="40"/>
            </w:pPr>
            <w:r>
              <w:rPr>
                <w:sz w:val="19"/>
              </w:rPr>
              <w:t>Anthropic Claude Sonnet (</w:t>
            </w:r>
            <w:r>
              <w:rPr>
                <w:rFonts w:ascii="Consolas" w:hAnsi="Consolas"/>
                <w:color w:val="1F4E79"/>
                <w:sz w:val="19"/>
              </w:rPr>
              <w:t>claude-sonnet-5</w:t>
            </w:r>
            <w:r>
              <w:rPr>
                <w:sz w:val="19"/>
              </w:rPr>
              <w:t>)</w:t>
            </w:r>
          </w:p>
        </w:tc>
        <w:tc>
          <w:tcPr>
            <w:tcW w:type="dxa" w:w="3168"/>
          </w:tcPr>
          <w:p>
            <w:pPr>
              <w:spacing w:after="40"/>
            </w:pPr>
            <w:r>
              <w:rPr>
                <w:sz w:val="19"/>
              </w:rPr>
              <w:t>Structured Outputs against a Zod schema</w:t>
            </w:r>
          </w:p>
        </w:tc>
      </w:tr>
    </w:tbl>
    <w:p/>
    <w:p>
      <w:r>
        <w:t xml:space="preserve">The rationale is latency versus rigour. A live interview turn must return fast enough to feel like a conversation; the evaluation that follows has no such constraint but must emit a </w:t>
      </w:r>
      <w:r>
        <w:rPr>
          <w:b/>
        </w:rPr>
        <w:t>schema-valid scorecard</w:t>
      </w:r>
      <w:r>
        <w:t xml:space="preserve"> that the UI and the PDF exporter can both consume without defensive parsing. Those are different problems, and they are solved by different models.</w:t>
      </w:r>
    </w:p>
    <w:p>
      <w:r>
        <w:t xml:space="preserve">The assistant — model, voice, transcriber, system prompt, and its self-invoked </w:t>
      </w:r>
      <w:r>
        <w:rPr>
          <w:rFonts w:ascii="Consolas" w:hAnsi="Consolas"/>
          <w:color w:val="1F4E79"/>
          <w:sz w:val="19"/>
        </w:rPr>
        <w:t>endCall</w:t>
      </w:r>
      <w:r>
        <w:t xml:space="preserve"> tool — is constructed </w:t>
      </w:r>
      <w:r>
        <w:rPr>
          <w:b/>
        </w:rPr>
        <w:t>entirely in code</w:t>
      </w:r>
      <w:r>
        <w:t xml:space="preserve"> (</w:t>
      </w:r>
      <w:r>
        <w:rPr>
          <w:rFonts w:ascii="Consolas" w:hAnsi="Consolas"/>
          <w:color w:val="1F4E79"/>
          <w:sz w:val="19"/>
        </w:rPr>
        <w:t>lib/assistant.ts</w:t>
      </w:r>
      <w:r>
        <w:t xml:space="preserve">). No assistant is pre-created in a Vapi dashboard, which means the platform runs on a public key alone and there is no externally-held configuration that can drift out of sync with the repository. Case </w:t>
      </w:r>
      <w:r>
        <w:rPr>
          <w:b/>
        </w:rPr>
        <w:t>E1</w:t>
      </w:r>
      <w:r>
        <w:t xml:space="preserve"> in §3.5 certifies exactly this property.</w:t>
      </w:r>
    </w:p>
    <w:p>
      <w:r>
        <w:t xml:space="preserve">Giving the model an </w:t>
      </w:r>
      <w:r>
        <w:rPr>
          <w:rFonts w:ascii="Consolas" w:hAnsi="Consolas"/>
          <w:color w:val="1F4E79"/>
          <w:sz w:val="19"/>
        </w:rPr>
        <w:t>endCall</w:t>
      </w:r>
      <w:r>
        <w:t xml:space="preserve"> tool is a small decision with real consequence: the agent closes the interview itself once its question set is complete, rather than the application inferring "done" from transcript heuristics that would misfire on a long pause or a candidate's closing remark.</w:t>
      </w:r>
    </w:p>
    <w:p>
      <w:pPr>
        <w:pStyle w:val="Heading3"/>
      </w:pPr>
      <w:r>
        <w:t>2.2 Microphone control and turn-taking, stated precisely</w:t>
      </w:r>
    </w:p>
    <w:p>
      <w:r>
        <w:t xml:space="preserve">The candidate has </w:t>
      </w:r>
      <w:r>
        <w:rPr>
          <w:b/>
        </w:rPr>
        <w:t>direct manual control</w:t>
      </w:r>
      <w:r>
        <w:t xml:space="preserve"> of the microphone during the call via </w:t>
      </w:r>
      <w:r>
        <w:rPr>
          <w:rFonts w:ascii="Consolas" w:hAnsi="Consolas"/>
          <w:color w:val="1F4E79"/>
          <w:sz w:val="19"/>
        </w:rPr>
        <w:t>vapi.setMuted()</w:t>
      </w:r>
      <w:r>
        <w:t>, surfaced as a mute toggle in the call controls.</w:t>
      </w:r>
    </w:p>
    <w:p>
      <w:r>
        <w:t xml:space="preserve">Turn-taking and barge-in are handled by </w:t>
      </w:r>
      <w:r>
        <w:rPr>
          <w:b/>
        </w:rPr>
        <w:t>Vapi's default real-time pipeline</w:t>
      </w:r>
      <w:r>
        <w:t xml:space="preserve">. This project configures no custom speaking plans, silence thresholds, or background-denoising parameters. That is stated plainly here because the distinction is verifiable in thirty seconds by reading </w:t>
      </w:r>
      <w:r>
        <w:rPr>
          <w:rFonts w:ascii="Consolas" w:hAnsi="Consolas"/>
          <w:color w:val="1F4E79"/>
          <w:sz w:val="19"/>
        </w:rPr>
        <w:t>lib/assistant.ts</w:t>
      </w:r>
      <w:r>
        <w:t>, and an inflated claim about it would be worth less than the honest one.</w:t>
      </w:r>
    </w:p>
    <w:p>
      <w:pPr>
        <w:pStyle w:val="Heading3"/>
      </w:pPr>
      <w:r>
        <w:t>2.3 CV → transcript cross-analysis</w:t>
      </w:r>
    </w:p>
    <w:p>
      <w:r>
        <w:t xml:space="preserve">The system does not score spoken answers in isolation. The candidate's CV is injected at </w:t>
      </w:r>
      <w:r>
        <w:rPr>
          <w:b/>
        </w:rPr>
        <w:t>two separate stages</w:t>
      </w:r>
      <w:r>
        <w:t>, under two different constraints.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Stage</w:t>
            </w:r>
          </w:p>
        </w:tc>
        <w:tc>
          <w:tcPr>
            <w:tcW w:type="dxa" w:w="3168"/>
            <w:shd w:val="clear" w:fill="0B2E4A"/>
          </w:tcPr>
          <w:p>
            <w:pPr>
              <w:spacing w:after="40"/>
            </w:pPr>
            <w:r>
              <w:rPr>
                <w:b/>
                <w:color w:val="FFFFFF"/>
                <w:sz w:val="19"/>
              </w:rPr>
              <w:t>CV form</w:t>
            </w:r>
          </w:p>
        </w:tc>
        <w:tc>
          <w:tcPr>
            <w:tcW w:type="dxa" w:w="3168"/>
            <w:shd w:val="clear" w:fill="0B2E4A"/>
          </w:tcPr>
          <w:p>
            <w:pPr>
              <w:spacing w:after="40"/>
            </w:pPr>
            <w:r>
              <w:rPr>
                <w:b/>
                <w:color w:val="FFFFFF"/>
                <w:sz w:val="19"/>
              </w:rPr>
              <w:t>Purpose</w:t>
            </w:r>
          </w:p>
        </w:tc>
      </w:tr>
      <w:tr>
        <w:tc>
          <w:tcPr>
            <w:tcW w:type="dxa" w:w="3168"/>
          </w:tcPr>
          <w:p>
            <w:pPr>
              <w:spacing w:after="40"/>
            </w:pPr>
            <w:r>
              <w:rPr>
                <w:b/>
                <w:sz w:val="19"/>
              </w:rPr>
              <w:t>Live interview</w:t>
            </w:r>
          </w:p>
        </w:tc>
        <w:tc>
          <w:tcPr>
            <w:tcW w:type="dxa" w:w="3168"/>
          </w:tcPr>
          <w:p>
            <w:pPr>
              <w:spacing w:after="40"/>
            </w:pPr>
            <w:r>
              <w:rPr>
                <w:sz w:val="19"/>
              </w:rPr>
              <w:t xml:space="preserve">Sanitised and capped to </w:t>
            </w:r>
            <w:r>
              <w:rPr>
                <w:b/>
                <w:sz w:val="19"/>
              </w:rPr>
              <w:t>1,000 characters</w:t>
            </w:r>
            <w:r>
              <w:rPr>
                <w:sz w:val="19"/>
              </w:rPr>
              <w:t xml:space="preserve"> — quotes, newlines, tabs and repeated whitespace stripped</w:t>
            </w:r>
          </w:p>
        </w:tc>
        <w:tc>
          <w:tcPr>
            <w:tcW w:type="dxa" w:w="3168"/>
          </w:tcPr>
          <w:p>
            <w:pPr>
              <w:spacing w:after="40"/>
            </w:pPr>
            <w:r>
              <w:rPr>
                <w:sz w:val="19"/>
              </w:rPr>
              <w:t xml:space="preserve">The interviewer opens on a </w:t>
            </w:r>
            <w:r>
              <w:rPr>
                <w:b/>
                <w:sz w:val="19"/>
              </w:rPr>
              <w:t>real project from the candidate's own history</w:t>
            </w:r>
            <w:r>
              <w:rPr>
                <w:sz w:val="19"/>
              </w:rPr>
              <w:t>, and grounds at least one technical question in it, instead of a generic opener</w:t>
            </w:r>
          </w:p>
        </w:tc>
      </w:tr>
      <w:tr>
        <w:tc>
          <w:tcPr>
            <w:tcW w:type="dxa" w:w="3168"/>
            <w:shd w:val="clear" w:fill="F7F9FB"/>
          </w:tcPr>
          <w:p>
            <w:pPr>
              <w:spacing w:after="40"/>
            </w:pPr>
            <w:r>
              <w:rPr>
                <w:b/>
                <w:sz w:val="19"/>
              </w:rPr>
              <w:t>Post-call evaluation</w:t>
            </w:r>
          </w:p>
        </w:tc>
        <w:tc>
          <w:tcPr>
            <w:tcW w:type="dxa" w:w="3168"/>
            <w:shd w:val="clear" w:fill="F7F9FB"/>
          </w:tcPr>
          <w:p>
            <w:pPr>
              <w:spacing w:after="40"/>
            </w:pPr>
            <w:r>
              <w:rPr>
                <w:b/>
                <w:sz w:val="19"/>
              </w:rPr>
              <w:t>Full text, uncapped</w:t>
            </w:r>
            <w:r>
              <w:rPr>
                <w:sz w:val="19"/>
              </w:rPr>
              <w:t>, sent alongside the complete transcript</w:t>
            </w:r>
          </w:p>
        </w:tc>
        <w:tc>
          <w:tcPr>
            <w:tcW w:type="dxa" w:w="3168"/>
            <w:shd w:val="clear" w:fill="F7F9FB"/>
          </w:tcPr>
          <w:p>
            <w:pPr>
              <w:spacing w:after="40"/>
            </w:pPr>
            <w:r>
              <w:rPr>
                <w:sz w:val="19"/>
              </w:rPr>
              <w:t xml:space="preserve">Claude weighs what the candidate </w:t>
            </w:r>
            <w:r>
              <w:rPr>
                <w:b/>
                <w:sz w:val="19"/>
              </w:rPr>
              <w:t>said</w:t>
            </w:r>
            <w:r>
              <w:rPr>
                <w:sz w:val="19"/>
              </w:rPr>
              <w:t xml:space="preserve"> against what they </w:t>
            </w:r>
            <w:r>
              <w:rPr>
                <w:b/>
                <w:sz w:val="19"/>
              </w:rPr>
              <w:t>claimed</w:t>
            </w:r>
          </w:p>
        </w:tc>
      </w:tr>
    </w:tbl>
    <w:p/>
    <w:p>
      <w:r>
        <w:t xml:space="preserve">The cap exists for a concrete reason. Vapi's call-start request carries the CV in its </w:t>
      </w:r>
      <w:r>
        <w:rPr>
          <w:rFonts w:ascii="Consolas" w:hAnsi="Consolas"/>
          <w:color w:val="1F4E79"/>
          <w:sz w:val="19"/>
        </w:rPr>
        <w:t>variableValues</w:t>
      </w:r>
      <w:r>
        <w:t xml:space="preserve"> payload; raw PDF extraction routinely yields several thousand characters of multi-line text with quote characters and column artifacts, which can malform that payload and reject the call at the exact moment the candidate presses </w:t>
      </w:r>
      <w:r>
        <w:rPr>
          <w:i/>
        </w:rPr>
        <w:t>Start</w:t>
      </w:r>
      <w:r>
        <w:t xml:space="preserve">. The evaluation call has no such constraint, so it receives everything — the asymmetry is intentional, and case </w:t>
      </w:r>
      <w:r>
        <w:rPr>
          <w:b/>
        </w:rPr>
        <w:t>B3</w:t>
      </w:r>
      <w:r>
        <w:t xml:space="preserve"> in §3.2 certifies it.</w:t>
      </w:r>
    </w:p>
    <w:p>
      <w:r>
        <w:t xml:space="preserve">The payoff is in the action plan. The evaluation prompt </w:t>
      </w:r>
      <w:r>
        <w:rPr>
          <w:b/>
        </w:rPr>
        <w:t>requires</w:t>
      </w:r>
      <w:r>
        <w:t xml:space="preserve"> at least one task to be grounded in a specific CV item — a listed technology the interview revealed a shallow understanding of, or a genuine strength worth building on. This is what separates an evaluator from a transcript summariser: the output is anchored to the candidate's own claimed history, not to generic advice.</w:t>
      </w:r>
    </w:p>
    <w:p>
      <w:r>
        <w:rPr>
          <w:i/>
        </w:rPr>
        <w:t>Scope note:</w:t>
      </w:r>
      <w:r>
        <w:t xml:space="preserve"> the prompt instructs the evaluator to weigh transcript evidence against the CV and to ground remediation in it. It does </w:t>
      </w:r>
      <w:r>
        <w:rPr>
          <w:b/>
        </w:rPr>
        <w:t>not</w:t>
      </w:r>
      <w:r>
        <w:t xml:space="preserve"> run a separate contradiction-detection pass, and the </w:t>
      </w:r>
      <w:r>
        <w:rPr>
          <w:i/>
        </w:rPr>
        <w:t>quality</w:t>
      </w:r>
      <w:r>
        <w:t xml:space="preserve"> of that cross-analysis is not benchmarked here — see §6.1.</w:t>
      </w:r>
    </w:p>
    <w:p>
      <w:pPr>
        <w:spacing w:after="40"/>
        <w:pBdr>
          <w:bottom w:val="single" w:sz="6" w:space="1" w:color="C9D2DA"/>
        </w:pBdr>
      </w:pPr>
    </w:p>
    <w:p>
      <w:pPr>
        <w:pStyle w:val="Heading2"/>
      </w:pPr>
      <w:r>
        <w:t>3. Benchmark Dataset Breakdown</w:t>
      </w:r>
    </w:p>
    <w:p>
      <w:r>
        <w:t xml:space="preserve">The dataset comprises </w:t>
      </w:r>
      <w:r>
        <w:rPr>
          <w:b/>
        </w:rPr>
        <w:t>16 cases across 5 dimensions</w:t>
      </w:r>
      <w:r>
        <w:t>, weighted deliberately toward the failure modes that matter for an interview product: unrecognised job titles, degenerate CV input, and malformed model output.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Dimension</w:t>
            </w:r>
          </w:p>
        </w:tc>
        <w:tc>
          <w:tcPr>
            <w:tcW w:type="dxa" w:w="3168"/>
            <w:shd w:val="clear" w:fill="0B2E4A"/>
          </w:tcPr>
          <w:p>
            <w:pPr>
              <w:spacing w:after="40"/>
            </w:pPr>
            <w:r>
              <w:rPr>
                <w:b/>
                <w:color w:val="FFFFFF"/>
                <w:sz w:val="19"/>
              </w:rPr>
              <w:t>Cases</w:t>
            </w:r>
          </w:p>
        </w:tc>
        <w:tc>
          <w:tcPr>
            <w:tcW w:type="dxa" w:w="3168"/>
            <w:shd w:val="clear" w:fill="0B2E4A"/>
          </w:tcPr>
          <w:p>
            <w:pPr>
              <w:spacing w:after="40"/>
            </w:pPr>
            <w:r>
              <w:rPr>
                <w:b/>
                <w:color w:val="FFFFFF"/>
                <w:sz w:val="19"/>
              </w:rPr>
              <w:t>Property certified</w:t>
            </w:r>
          </w:p>
        </w:tc>
      </w:tr>
      <w:tr>
        <w:tc>
          <w:tcPr>
            <w:tcW w:type="dxa" w:w="3168"/>
          </w:tcPr>
          <w:p>
            <w:pPr>
              <w:spacing w:after="40"/>
            </w:pPr>
            <w:r>
              <w:rPr>
                <w:b/>
                <w:sz w:val="19"/>
              </w:rPr>
              <w:t>A — Role &amp; competency extraction</w:t>
            </w:r>
          </w:p>
        </w:tc>
        <w:tc>
          <w:tcPr>
            <w:tcW w:type="dxa" w:w="3168"/>
          </w:tcPr>
          <w:p>
            <w:pPr>
              <w:spacing w:after="40"/>
            </w:pPr>
            <w:r>
              <w:rPr>
                <w:sz w:val="19"/>
              </w:rPr>
              <w:t>4</w:t>
            </w:r>
          </w:p>
        </w:tc>
        <w:tc>
          <w:tcPr>
            <w:tcW w:type="dxa" w:w="3168"/>
          </w:tcPr>
          <w:p>
            <w:pPr>
              <w:spacing w:after="40"/>
            </w:pPr>
            <w:r>
              <w:rPr>
                <w:sz w:val="19"/>
              </w:rPr>
              <w:t xml:space="preserve">Catalogue </w:t>
            </w:r>
            <w:r>
              <w:rPr>
                <w:i/>
                <w:sz w:val="19"/>
              </w:rPr>
              <w:t>and</w:t>
            </w:r>
            <w:r>
              <w:rPr>
                <w:sz w:val="19"/>
              </w:rPr>
              <w:t xml:space="preserve"> free-text titles reach both the interviewer and the evaluator unaltered</w:t>
            </w:r>
          </w:p>
        </w:tc>
      </w:tr>
      <w:tr>
        <w:tc>
          <w:tcPr>
            <w:tcW w:type="dxa" w:w="3168"/>
            <w:shd w:val="clear" w:fill="F7F9FB"/>
          </w:tcPr>
          <w:p>
            <w:pPr>
              <w:spacing w:after="40"/>
            </w:pPr>
            <w:r>
              <w:rPr>
                <w:b/>
                <w:sz w:val="19"/>
              </w:rPr>
              <w:t>B — CV context handling</w:t>
            </w:r>
          </w:p>
        </w:tc>
        <w:tc>
          <w:tcPr>
            <w:tcW w:type="dxa" w:w="3168"/>
            <w:shd w:val="clear" w:fill="F7F9FB"/>
          </w:tcPr>
          <w:p>
            <w:pPr>
              <w:spacing w:after="40"/>
            </w:pPr>
            <w:r>
              <w:rPr>
                <w:sz w:val="19"/>
              </w:rPr>
              <w:t>3</w:t>
            </w:r>
          </w:p>
        </w:tc>
        <w:tc>
          <w:tcPr>
            <w:tcW w:type="dxa" w:w="3168"/>
            <w:shd w:val="clear" w:fill="F7F9FB"/>
          </w:tcPr>
          <w:p>
            <w:pPr>
              <w:spacing w:after="40"/>
            </w:pPr>
            <w:r>
              <w:rPr>
                <w:sz w:val="19"/>
              </w:rPr>
              <w:t>Absent, sparse, and adversarial CV inputs degrade gracefully</w:t>
            </w:r>
          </w:p>
        </w:tc>
      </w:tr>
      <w:tr>
        <w:tc>
          <w:tcPr>
            <w:tcW w:type="dxa" w:w="3168"/>
          </w:tcPr>
          <w:p>
            <w:pPr>
              <w:spacing w:after="40"/>
            </w:pPr>
            <w:r>
              <w:rPr>
                <w:b/>
                <w:sz w:val="19"/>
              </w:rPr>
              <w:t>C — Schema conformance</w:t>
            </w:r>
          </w:p>
        </w:tc>
        <w:tc>
          <w:tcPr>
            <w:tcW w:type="dxa" w:w="3168"/>
          </w:tcPr>
          <w:p>
            <w:pPr>
              <w:spacing w:after="40"/>
            </w:pPr>
            <w:r>
              <w:rPr>
                <w:sz w:val="19"/>
              </w:rPr>
              <w:t>4</w:t>
            </w:r>
          </w:p>
        </w:tc>
        <w:tc>
          <w:tcPr>
            <w:tcW w:type="dxa" w:w="3168"/>
          </w:tcPr>
          <w:p>
            <w:pPr>
              <w:spacing w:after="40"/>
            </w:pPr>
            <w:r>
              <w:rPr>
                <w:sz w:val="19"/>
              </w:rPr>
              <w:t>Malformed model output is rejected before reaching the UI</w:t>
            </w:r>
          </w:p>
        </w:tc>
      </w:tr>
      <w:tr>
        <w:tc>
          <w:tcPr>
            <w:tcW w:type="dxa" w:w="3168"/>
            <w:shd w:val="clear" w:fill="F7F9FB"/>
          </w:tcPr>
          <w:p>
            <w:pPr>
              <w:spacing w:after="40"/>
            </w:pPr>
            <w:r>
              <w:rPr>
                <w:b/>
                <w:sz w:val="19"/>
              </w:rPr>
              <w:t>D — Upskilling recommendation logic</w:t>
            </w:r>
          </w:p>
        </w:tc>
        <w:tc>
          <w:tcPr>
            <w:tcW w:type="dxa" w:w="3168"/>
            <w:shd w:val="clear" w:fill="F7F9FB"/>
          </w:tcPr>
          <w:p>
            <w:pPr>
              <w:spacing w:after="40"/>
            </w:pPr>
            <w:r>
              <w:rPr>
                <w:sz w:val="19"/>
              </w:rPr>
              <w:t>3</w:t>
            </w:r>
          </w:p>
        </w:tc>
        <w:tc>
          <w:tcPr>
            <w:tcW w:type="dxa" w:w="3168"/>
            <w:shd w:val="clear" w:fill="F7F9FB"/>
          </w:tcPr>
          <w:p>
            <w:pPr>
              <w:spacing w:after="40"/>
            </w:pPr>
            <w:r>
              <w:rPr>
                <w:sz w:val="19"/>
              </w:rPr>
              <w:t>Recommendations trace to a real deficit, bounded and non-duplicated</w:t>
            </w:r>
          </w:p>
        </w:tc>
      </w:tr>
      <w:tr>
        <w:tc>
          <w:tcPr>
            <w:tcW w:type="dxa" w:w="3168"/>
          </w:tcPr>
          <w:p>
            <w:pPr>
              <w:spacing w:after="40"/>
            </w:pPr>
            <w:r>
              <w:rPr>
                <w:b/>
                <w:sz w:val="19"/>
              </w:rPr>
              <w:t>E — Agent &amp; API contract</w:t>
            </w:r>
          </w:p>
        </w:tc>
        <w:tc>
          <w:tcPr>
            <w:tcW w:type="dxa" w:w="3168"/>
          </w:tcPr>
          <w:p>
            <w:pPr>
              <w:spacing w:after="40"/>
            </w:pPr>
            <w:r>
              <w:rPr>
                <w:sz w:val="19"/>
              </w:rPr>
              <w:t>2</w:t>
            </w:r>
          </w:p>
        </w:tc>
        <w:tc>
          <w:tcPr>
            <w:tcW w:type="dxa" w:w="3168"/>
          </w:tcPr>
          <w:p>
            <w:pPr>
              <w:spacing w:after="40"/>
            </w:pPr>
            <w:r>
              <w:rPr>
                <w:sz w:val="19"/>
              </w:rPr>
              <w:t>Assistant is self-contained; the API rejects bad input before spending an upstream call</w:t>
            </w:r>
          </w:p>
        </w:tc>
      </w:tr>
    </w:tbl>
    <w:p/>
    <w:p>
      <w:pPr>
        <w:pStyle w:val="Heading3"/>
      </w:pPr>
      <w:r>
        <w:t>3.1 Dimension A — Custom role parsing and competency extraction</w:t>
      </w:r>
    </w:p>
    <w:p>
      <w:r>
        <w:t xml:space="preserve">Forsa AI accepts arbitrary free-text job titles. The architectural risk is </w:t>
      </w:r>
      <w:r>
        <w:rPr>
          <w:b/>
        </w:rPr>
        <w:t>silent normalisation</w:t>
      </w:r>
      <w:r>
        <w:t>: a model that quietly interviews a "Quantitative Researcher" as a generic Data Scientist produces a plausible-sounding but invalid assessment.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Case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A1</w:t>
            </w:r>
          </w:p>
        </w:tc>
        <w:tc>
          <w:tcPr>
            <w:tcW w:type="dxa" w:w="3168"/>
          </w:tcPr>
          <w:p>
            <w:pPr>
              <w:spacing w:after="40"/>
            </w:pPr>
            <w:r>
              <w:rPr>
                <w:sz w:val="19"/>
              </w:rPr>
              <w:t>Catalogue role reaches the live agent verbatim</w:t>
            </w:r>
          </w:p>
        </w:tc>
        <w:tc>
          <w:tcPr>
            <w:tcW w:type="dxa" w:w="3168"/>
          </w:tcPr>
          <w:p>
            <w:pPr>
              <w:spacing w:after="40"/>
            </w:pPr>
            <w:r>
              <w:rPr>
                <w:rFonts w:ascii="Consolas" w:hAnsi="Consolas"/>
                <w:color w:val="1F4E79"/>
                <w:sz w:val="19"/>
              </w:rPr>
              <w:t>buildInterviewVariableValues()</w:t>
            </w:r>
            <w:r>
              <w:rPr>
                <w:sz w:val="19"/>
              </w:rPr>
              <w:t xml:space="preserve"> injects the exact label into the Vapi call's </w:t>
            </w:r>
            <w:r>
              <w:rPr>
                <w:rFonts w:ascii="Consolas" w:hAnsi="Consolas"/>
                <w:color w:val="1F4E79"/>
                <w:sz w:val="19"/>
              </w:rPr>
              <w:t>variableValues</w:t>
            </w:r>
          </w:p>
        </w:tc>
      </w:tr>
      <w:tr>
        <w:tc>
          <w:tcPr>
            <w:tcW w:type="dxa" w:w="3168"/>
            <w:shd w:val="clear" w:fill="F7F9FB"/>
          </w:tcPr>
          <w:p>
            <w:pPr>
              <w:spacing w:after="40"/>
            </w:pPr>
            <w:r>
              <w:rPr>
                <w:b/>
                <w:sz w:val="19"/>
              </w:rPr>
              <w:t>A2</w:t>
            </w:r>
          </w:p>
        </w:tc>
        <w:tc>
          <w:tcPr>
            <w:tcW w:type="dxa" w:w="3168"/>
            <w:shd w:val="clear" w:fill="F7F9FB"/>
          </w:tcPr>
          <w:p>
            <w:pPr>
              <w:spacing w:after="40"/>
            </w:pPr>
            <w:r>
              <w:rPr>
                <w:sz w:val="19"/>
              </w:rPr>
              <w:t xml:space="preserve">Hybrid custom title is </w:t>
            </w:r>
            <w:r>
              <w:rPr>
                <w:b/>
                <w:sz w:val="19"/>
              </w:rPr>
              <w:t>not</w:t>
            </w:r>
            <w:r>
              <w:rPr>
                <w:sz w:val="19"/>
              </w:rPr>
              <w:t xml:space="preserve"> coerced to a preset</w:t>
            </w:r>
          </w:p>
        </w:tc>
        <w:tc>
          <w:tcPr>
            <w:tcW w:type="dxa" w:w="3168"/>
            <w:shd w:val="clear" w:fill="F7F9FB"/>
          </w:tcPr>
          <w:p>
            <w:pPr>
              <w:spacing w:after="40"/>
            </w:pPr>
            <w:r>
              <w:rPr>
                <w:rFonts w:ascii="Consolas" w:hAnsi="Consolas"/>
                <w:color w:val="1F4E79"/>
                <w:sz w:val="19"/>
              </w:rPr>
              <w:t>"Quantitative Researcher (Systematic Macro)"</w:t>
            </w:r>
            <w:r>
              <w:rPr>
                <w:sz w:val="19"/>
              </w:rPr>
              <w:t xml:space="preserve"> survives verbatim and matches </w:t>
            </w:r>
            <w:r>
              <w:rPr>
                <w:b/>
                <w:sz w:val="19"/>
              </w:rPr>
              <w:t>no</w:t>
            </w:r>
            <w:r>
              <w:rPr>
                <w:sz w:val="19"/>
              </w:rPr>
              <w:t xml:space="preserve"> catalogue entry</w:t>
            </w:r>
          </w:p>
        </w:tc>
      </w:tr>
      <w:tr>
        <w:tc>
          <w:tcPr>
            <w:tcW w:type="dxa" w:w="3168"/>
          </w:tcPr>
          <w:p>
            <w:pPr>
              <w:spacing w:after="40"/>
            </w:pPr>
            <w:r>
              <w:rPr>
                <w:b/>
                <w:sz w:val="19"/>
              </w:rPr>
              <w:t>A3</w:t>
            </w:r>
          </w:p>
        </w:tc>
        <w:tc>
          <w:tcPr>
            <w:tcW w:type="dxa" w:w="3168"/>
          </w:tcPr>
          <w:p>
            <w:pPr>
              <w:spacing w:after="40"/>
            </w:pPr>
            <w:r>
              <w:rPr>
                <w:sz w:val="19"/>
              </w:rPr>
              <w:t xml:space="preserve">Custom title also reaches the </w:t>
            </w:r>
            <w:r>
              <w:rPr>
                <w:i/>
                <w:sz w:val="19"/>
              </w:rPr>
              <w:t>evaluation</w:t>
            </w:r>
            <w:r>
              <w:rPr>
                <w:sz w:val="19"/>
              </w:rPr>
              <w:t xml:space="preserve"> prompt</w:t>
            </w:r>
          </w:p>
        </w:tc>
        <w:tc>
          <w:tcPr>
            <w:tcW w:type="dxa" w:w="3168"/>
          </w:tcPr>
          <w:p>
            <w:pPr>
              <w:spacing w:after="40"/>
            </w:pPr>
            <w:r>
              <w:rPr>
                <w:sz w:val="19"/>
              </w:rPr>
              <w:t>The scorer is calibrated to the same title as the interviewer — no interviewer/evaluator drift</w:t>
            </w:r>
          </w:p>
        </w:tc>
      </w:tr>
      <w:tr>
        <w:tc>
          <w:tcPr>
            <w:tcW w:type="dxa" w:w="3168"/>
            <w:shd w:val="clear" w:fill="F7F9FB"/>
          </w:tcPr>
          <w:p>
            <w:pPr>
              <w:spacing w:after="40"/>
            </w:pPr>
            <w:r>
              <w:rPr>
                <w:b/>
                <w:sz w:val="19"/>
              </w:rPr>
              <w:t>A4</w:t>
            </w:r>
          </w:p>
        </w:tc>
        <w:tc>
          <w:tcPr>
            <w:tcW w:type="dxa" w:w="3168"/>
            <w:shd w:val="clear" w:fill="F7F9FB"/>
          </w:tcPr>
          <w:p>
            <w:pPr>
              <w:spacing w:after="40"/>
            </w:pPr>
            <w:r>
              <w:rPr>
                <w:sz w:val="19"/>
              </w:rPr>
              <w:t>Taxonomy integrity</w:t>
            </w:r>
          </w:p>
        </w:tc>
        <w:tc>
          <w:tcPr>
            <w:tcW w:type="dxa" w:w="3168"/>
            <w:shd w:val="clear" w:fill="F7F9FB"/>
          </w:tcPr>
          <w:p>
            <w:pPr>
              <w:spacing w:after="40"/>
            </w:pPr>
            <w:r>
              <w:rPr>
                <w:sz w:val="19"/>
              </w:rPr>
              <w:t>All role ids unique, all labels non-empty, no empty categories</w:t>
            </w:r>
          </w:p>
        </w:tc>
      </w:tr>
    </w:tbl>
    <w:p/>
    <w:p>
      <w:r>
        <w:t xml:space="preserve">The title in </w:t>
      </w:r>
      <w:r>
        <w:rPr>
          <w:b/>
        </w:rPr>
        <w:t>A2</w:t>
      </w:r>
      <w:r>
        <w:t xml:space="preserve"> is chosen adversarially: it contains a parenthetical sub-specialisation, spans two recognised disciplines, and appears nowhere in the 43-role catalogue.</w:t>
      </w:r>
    </w:p>
    <w:p>
      <w:pPr>
        <w:pStyle w:val="Heading3"/>
      </w:pPr>
      <w:r>
        <w:t>3.2 Dimension B — Edge-case CV inputs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Input profile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B1</w:t>
            </w:r>
          </w:p>
        </w:tc>
        <w:tc>
          <w:tcPr>
            <w:tcW w:type="dxa" w:w="3168"/>
          </w:tcPr>
          <w:p>
            <w:pPr>
              <w:spacing w:after="40"/>
            </w:pPr>
            <w:r>
              <w:rPr>
                <w:b/>
                <w:sz w:val="19"/>
              </w:rPr>
              <w:t>Absent</w:t>
            </w:r>
            <w:r>
              <w:rPr>
                <w:sz w:val="19"/>
              </w:rPr>
              <w:t xml:space="preserve"> — no CV uploaded</w:t>
            </w:r>
          </w:p>
        </w:tc>
        <w:tc>
          <w:tcPr>
            <w:tcW w:type="dxa" w:w="3168"/>
          </w:tcPr>
          <w:p>
            <w:pPr>
              <w:spacing w:after="40"/>
            </w:pPr>
            <w:r>
              <w:rPr>
                <w:rFonts w:ascii="Consolas" w:hAnsi="Consolas"/>
                <w:color w:val="1F4E79"/>
                <w:sz w:val="19"/>
              </w:rPr>
              <w:t>cvContext</w:t>
            </w:r>
            <w:r>
              <w:rPr>
                <w:sz w:val="19"/>
              </w:rPr>
              <w:t xml:space="preserve"> resolves to empty string; the system prompt directs the agent to run a general interview rather than hallucinate a background</w:t>
            </w:r>
          </w:p>
        </w:tc>
      </w:tr>
      <w:tr>
        <w:tc>
          <w:tcPr>
            <w:tcW w:type="dxa" w:w="3168"/>
            <w:shd w:val="clear" w:fill="F7F9FB"/>
          </w:tcPr>
          <w:p>
            <w:pPr>
              <w:spacing w:after="40"/>
            </w:pPr>
            <w:r>
              <w:rPr>
                <w:b/>
                <w:sz w:val="19"/>
              </w:rPr>
              <w:t>B2</w:t>
            </w:r>
          </w:p>
        </w:tc>
        <w:tc>
          <w:tcPr>
            <w:tcW w:type="dxa" w:w="3168"/>
            <w:shd w:val="clear" w:fill="F7F9FB"/>
          </w:tcPr>
          <w:p>
            <w:pPr>
              <w:spacing w:after="40"/>
            </w:pPr>
            <w:r>
              <w:rPr>
                <w:b/>
                <w:sz w:val="19"/>
              </w:rPr>
              <w:t>Extremely sparse</w:t>
            </w:r>
            <w:r>
              <w:rPr>
                <w:sz w:val="19"/>
              </w:rPr>
              <w:t xml:space="preserve"> — 27 characters (</w:t>
            </w:r>
            <w:r>
              <w:rPr>
                <w:rFonts w:ascii="Consolas" w:hAnsi="Consolas"/>
                <w:color w:val="1F4E79"/>
                <w:sz w:val="19"/>
              </w:rPr>
              <w:t>"Jane Doe. Graduate. Python."</w:t>
            </w:r>
            <w:r>
              <w:rPr>
                <w:sz w:val="19"/>
              </w:rPr>
              <w:t>)</w:t>
            </w:r>
          </w:p>
        </w:tc>
        <w:tc>
          <w:tcPr>
            <w:tcW w:type="dxa" w:w="3168"/>
            <w:shd w:val="clear" w:fill="F7F9FB"/>
          </w:tcPr>
          <w:p>
            <w:pPr>
              <w:spacing w:after="40"/>
            </w:pPr>
            <w:r>
              <w:rPr>
                <w:sz w:val="19"/>
              </w:rPr>
              <w:t>Forwarded byte-identical. No padding, no inferred experience</w:t>
            </w:r>
          </w:p>
        </w:tc>
      </w:tr>
      <w:tr>
        <w:tc>
          <w:tcPr>
            <w:tcW w:type="dxa" w:w="3168"/>
          </w:tcPr>
          <w:p>
            <w:pPr>
              <w:spacing w:after="40"/>
            </w:pPr>
            <w:r>
              <w:rPr>
                <w:b/>
                <w:sz w:val="19"/>
              </w:rPr>
              <w:t>B3</w:t>
            </w:r>
          </w:p>
        </w:tc>
        <w:tc>
          <w:tcPr>
            <w:tcW w:type="dxa" w:w="3168"/>
          </w:tcPr>
          <w:p>
            <w:pPr>
              <w:spacing w:after="40"/>
            </w:pPr>
            <w:r>
              <w:rPr>
                <w:b/>
                <w:sz w:val="19"/>
              </w:rPr>
              <w:t>Adversarial / oversized</w:t>
            </w:r>
            <w:r>
              <w:rPr>
                <w:sz w:val="19"/>
              </w:rPr>
              <w:t xml:space="preserve"> — 5,000+ characters containing embedded double quotes, tabs, and CRLF sequences</w:t>
            </w:r>
          </w:p>
        </w:tc>
        <w:tc>
          <w:tcPr>
            <w:tcW w:type="dxa" w:w="3168"/>
          </w:tcPr>
          <w:p>
            <w:pPr>
              <w:spacing w:after="40"/>
            </w:pPr>
            <w:r>
              <w:rPr>
                <w:sz w:val="19"/>
              </w:rPr>
              <w:t xml:space="preserve">Capped to </w:t>
            </w:r>
            <w:r>
              <w:rPr>
                <w:b/>
                <w:sz w:val="19"/>
              </w:rPr>
              <w:t>1,000 characters</w:t>
            </w:r>
            <w:r>
              <w:rPr>
                <w:sz w:val="19"/>
              </w:rPr>
              <w:t>; quotes, newlines, tabs and repeated whitespace stripped before entering the call payload</w:t>
            </w:r>
          </w:p>
        </w:tc>
      </w:tr>
    </w:tbl>
    <w:p/>
    <w:p>
      <w:r>
        <w:rPr>
          <w:b/>
        </w:rPr>
        <w:t>B3</w:t>
      </w:r>
      <w:r>
        <w:t xml:space="preserve"> protects a real failure mode. The Vapi call-start request carries </w:t>
      </w:r>
      <w:r>
        <w:rPr>
          <w:rFonts w:ascii="Consolas" w:hAnsi="Consolas"/>
          <w:color w:val="1F4E79"/>
          <w:sz w:val="19"/>
        </w:rPr>
        <w:t>variableValues</w:t>
      </w:r>
      <w:r>
        <w:t xml:space="preserve"> in its payload; raw PDF extraction routinely produces multi-line text with quote characters and column artifacts that can malform that payload and reject the call at the moment the candidate presses </w:t>
      </w:r>
      <w:r>
        <w:rPr>
          <w:i/>
        </w:rPr>
        <w:t>Start</w:t>
      </w:r>
      <w:r>
        <w:t>.</w:t>
      </w:r>
    </w:p>
    <w:p>
      <w:pPr>
        <w:pStyle w:val="Heading3"/>
      </w:pPr>
      <w:r>
        <w:t>3.3 Dimension C — Schema conformance and JSON structure validation</w:t>
      </w:r>
    </w:p>
    <w:p>
      <w:r>
        <w:t xml:space="preserve">The evaluation route uses </w:t>
      </w:r>
      <w:r>
        <w:rPr>
          <w:b/>
        </w:rPr>
        <w:t>Anthropic Structured Outputs</w:t>
      </w:r>
      <w:r>
        <w:t xml:space="preserve"> — </w:t>
      </w:r>
      <w:r>
        <w:rPr>
          <w:rFonts w:ascii="Consolas" w:hAnsi="Consolas"/>
          <w:color w:val="1F4E79"/>
          <w:sz w:val="19"/>
        </w:rPr>
        <w:t>client.messages.parse()</w:t>
      </w:r>
      <w:r>
        <w:t xml:space="preserve"> with </w:t>
      </w:r>
      <w:r>
        <w:rPr>
          <w:rFonts w:ascii="Consolas" w:hAnsi="Consolas"/>
          <w:color w:val="1F4E79"/>
          <w:sz w:val="19"/>
        </w:rPr>
        <w:t>output_config.format</w:t>
      </w:r>
      <w:r>
        <w:t xml:space="preserve"> derived from a Zod schema — so the model is constrained at generation time rather than corrected afterwards. Dimension C certifies the second line of defence: the schema itself.</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Payload</w:t>
            </w:r>
          </w:p>
        </w:tc>
        <w:tc>
          <w:tcPr>
            <w:tcW w:type="dxa" w:w="3168"/>
            <w:shd w:val="clear" w:fill="0B2E4A"/>
          </w:tcPr>
          <w:p>
            <w:pPr>
              <w:spacing w:after="40"/>
            </w:pPr>
            <w:r>
              <w:rPr>
                <w:b/>
                <w:color w:val="FFFFFF"/>
                <w:sz w:val="19"/>
              </w:rPr>
              <w:t>Expected</w:t>
            </w:r>
          </w:p>
        </w:tc>
      </w:tr>
      <w:tr>
        <w:tc>
          <w:tcPr>
            <w:tcW w:type="dxa" w:w="3168"/>
          </w:tcPr>
          <w:p>
            <w:pPr>
              <w:spacing w:after="40"/>
            </w:pPr>
            <w:r>
              <w:rPr>
                <w:b/>
                <w:sz w:val="19"/>
              </w:rPr>
              <w:t>C1</w:t>
            </w:r>
          </w:p>
        </w:tc>
        <w:tc>
          <w:tcPr>
            <w:tcW w:type="dxa" w:w="3168"/>
          </w:tcPr>
          <w:p>
            <w:pPr>
              <w:spacing w:after="40"/>
            </w:pPr>
            <w:r>
              <w:rPr>
                <w:sz w:val="19"/>
              </w:rPr>
              <w:t>Well-formed scorecard</w:t>
            </w:r>
          </w:p>
        </w:tc>
        <w:tc>
          <w:tcPr>
            <w:tcW w:type="dxa" w:w="3168"/>
          </w:tcPr>
          <w:p>
            <w:pPr>
              <w:spacing w:after="40"/>
            </w:pPr>
            <w:r>
              <w:rPr>
                <w:b/>
                <w:sz w:val="19"/>
              </w:rPr>
              <w:t>Accepted</w:t>
            </w:r>
          </w:p>
        </w:tc>
      </w:tr>
      <w:tr>
        <w:tc>
          <w:tcPr>
            <w:tcW w:type="dxa" w:w="3168"/>
            <w:shd w:val="clear" w:fill="F7F9FB"/>
          </w:tcPr>
          <w:p>
            <w:pPr>
              <w:spacing w:after="40"/>
            </w:pPr>
            <w:r>
              <w:rPr>
                <w:b/>
                <w:sz w:val="19"/>
              </w:rPr>
              <w:t>C2</w:t>
            </w:r>
          </w:p>
        </w:tc>
        <w:tc>
          <w:tcPr>
            <w:tcW w:type="dxa" w:w="3168"/>
            <w:shd w:val="clear" w:fill="F7F9FB"/>
          </w:tcPr>
          <w:p>
            <w:pPr>
              <w:spacing w:after="40"/>
            </w:pPr>
            <w:r>
              <w:rPr>
                <w:rFonts w:ascii="Consolas" w:hAnsi="Consolas"/>
                <w:color w:val="1F4E79"/>
                <w:sz w:val="19"/>
              </w:rPr>
              <w:t>overallScore: 142</w:t>
            </w:r>
            <w:r>
              <w:rPr>
                <w:sz w:val="19"/>
              </w:rPr>
              <w:t xml:space="preserve"> (out of 0–100 range)</w:t>
            </w:r>
          </w:p>
        </w:tc>
        <w:tc>
          <w:tcPr>
            <w:tcW w:type="dxa" w:w="3168"/>
            <w:shd w:val="clear" w:fill="F7F9FB"/>
          </w:tcPr>
          <w:p>
            <w:pPr>
              <w:spacing w:after="40"/>
            </w:pPr>
            <w:r>
              <w:rPr>
                <w:b/>
                <w:sz w:val="19"/>
              </w:rPr>
              <w:t>Rejected</w:t>
            </w:r>
          </w:p>
        </w:tc>
      </w:tr>
      <w:tr>
        <w:tc>
          <w:tcPr>
            <w:tcW w:type="dxa" w:w="3168"/>
          </w:tcPr>
          <w:p>
            <w:pPr>
              <w:spacing w:after="40"/>
            </w:pPr>
            <w:r>
              <w:rPr>
                <w:b/>
                <w:sz w:val="19"/>
              </w:rPr>
              <w:t>C3</w:t>
            </w:r>
          </w:p>
        </w:tc>
        <w:tc>
          <w:tcPr>
            <w:tcW w:type="dxa" w:w="3168"/>
          </w:tcPr>
          <w:p>
            <w:pPr>
              <w:spacing w:after="40"/>
            </w:pPr>
            <w:r>
              <w:rPr>
                <w:rFonts w:ascii="Consolas" w:hAnsi="Consolas"/>
                <w:color w:val="1F4E79"/>
                <w:sz w:val="19"/>
              </w:rPr>
              <w:t>actionPlan</w:t>
            </w:r>
            <w:r>
              <w:rPr>
                <w:sz w:val="19"/>
              </w:rPr>
              <w:t xml:space="preserve"> key deleted</w:t>
            </w:r>
          </w:p>
        </w:tc>
        <w:tc>
          <w:tcPr>
            <w:tcW w:type="dxa" w:w="3168"/>
          </w:tcPr>
          <w:p>
            <w:pPr>
              <w:spacing w:after="40"/>
            </w:pPr>
            <w:r>
              <w:rPr>
                <w:b/>
                <w:sz w:val="19"/>
              </w:rPr>
              <w:t>Rejected</w:t>
            </w:r>
            <w:r>
              <w:rPr>
                <w:sz w:val="19"/>
              </w:rPr>
              <w:t xml:space="preserve"> — the UI contract requires it</w:t>
            </w:r>
          </w:p>
        </w:tc>
      </w:tr>
      <w:tr>
        <w:tc>
          <w:tcPr>
            <w:tcW w:type="dxa" w:w="3168"/>
            <w:shd w:val="clear" w:fill="F7F9FB"/>
          </w:tcPr>
          <w:p>
            <w:pPr>
              <w:spacing w:after="40"/>
            </w:pPr>
            <w:r>
              <w:rPr>
                <w:b/>
                <w:sz w:val="19"/>
              </w:rPr>
              <w:t>C4</w:t>
            </w:r>
          </w:p>
        </w:tc>
        <w:tc>
          <w:tcPr>
            <w:tcW w:type="dxa" w:w="3168"/>
            <w:shd w:val="clear" w:fill="F7F9FB"/>
          </w:tcPr>
          <w:p>
            <w:pPr>
              <w:spacing w:after="40"/>
            </w:pPr>
            <w:r>
              <w:rPr>
                <w:rFonts w:ascii="Consolas" w:hAnsi="Consolas"/>
                <w:color w:val="1F4E79"/>
                <w:sz w:val="19"/>
              </w:rPr>
              <w:t>recommendation: "Maybe Hire"</w:t>
            </w:r>
            <w:r>
              <w:rPr>
                <w:sz w:val="19"/>
              </w:rPr>
              <w:t xml:space="preserve"> (outside enum)</w:t>
            </w:r>
          </w:p>
        </w:tc>
        <w:tc>
          <w:tcPr>
            <w:tcW w:type="dxa" w:w="3168"/>
            <w:shd w:val="clear" w:fill="F7F9FB"/>
          </w:tcPr>
          <w:p>
            <w:pPr>
              <w:spacing w:after="40"/>
            </w:pPr>
            <w:r>
              <w:rPr>
                <w:b/>
                <w:sz w:val="19"/>
              </w:rPr>
              <w:t>Rejected</w:t>
            </w:r>
          </w:p>
        </w:tc>
      </w:tr>
    </w:tbl>
    <w:p/>
    <w:p>
      <w:r>
        <w:rPr>
          <w:i/>
        </w:rPr>
        <w:t>Implementation note:</w:t>
      </w:r>
      <w:r>
        <w:t xml:space="preserve"> the schema is authored against the </w:t>
      </w:r>
      <w:r>
        <w:rPr>
          <w:b/>
        </w:rPr>
        <w:t>Zod v4 API surface</w:t>
      </w:r>
      <w:r>
        <w:t xml:space="preserve"> via the </w:t>
      </w:r>
      <w:r>
        <w:rPr>
          <w:rFonts w:ascii="Consolas" w:hAnsi="Consolas"/>
          <w:color w:val="1F4E79"/>
          <w:sz w:val="19"/>
        </w:rPr>
        <w:t>zod/v4</w:t>
      </w:r>
      <w:r>
        <w:t xml:space="preserve"> entry point of the installed </w:t>
      </w:r>
      <w:r>
        <w:rPr>
          <w:rFonts w:ascii="Consolas" w:hAnsi="Consolas"/>
          <w:color w:val="1F4E79"/>
          <w:sz w:val="19"/>
        </w:rPr>
        <w:t>zod@3.25.76</w:t>
      </w:r>
      <w:r>
        <w:t xml:space="preserve">. This is load-bearing rather than cosmetic — </w:t>
      </w:r>
      <w:r>
        <w:rPr>
          <w:rFonts w:ascii="Consolas" w:hAnsi="Consolas"/>
          <w:color w:val="1F4E79"/>
          <w:sz w:val="19"/>
        </w:rPr>
        <w:t>zodOutputFormat()</w:t>
      </w:r>
      <w:r>
        <w:t xml:space="preserve"> calls </w:t>
      </w:r>
      <w:r>
        <w:rPr>
          <w:rFonts w:ascii="Consolas" w:hAnsi="Consolas"/>
          <w:color w:val="1F4E79"/>
          <w:sz w:val="19"/>
        </w:rPr>
        <w:t>z.toJSONSchema()</w:t>
      </w:r>
      <w:r>
        <w:t xml:space="preserve"> internally, which exists only on v4-style schema instances; a schema built from the classic v3 import fails at runtime when passed to it.</w:t>
      </w:r>
    </w:p>
    <w:p>
      <w:pPr>
        <w:pStyle w:val="Heading3"/>
      </w:pPr>
      <w:r>
        <w:t>3.4 Dimension D — Threshold-based upskilling recommendation logic</w:t>
      </w:r>
    </w:p>
    <w:p>
      <w:r>
        <w:t xml:space="preserve">The recommendation engine converts rubric scores into a learning roadmap. A category scoring </w:t>
      </w:r>
      <w:r>
        <w:rPr>
          <w:b/>
        </w:rPr>
        <w:t>below 75</w:t>
      </w:r>
      <w:r>
        <w:t xml:space="preserve"> is treated as a genuine deficit; recommendations are ordered weakest-first, limited to two courses per deficit and </w:t>
      </w:r>
      <w:r>
        <w:rPr>
          <w:b/>
        </w:rPr>
        <w:t>four in total</w:t>
      </w:r>
      <w:r>
        <w: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Scenario</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D1</w:t>
            </w:r>
          </w:p>
        </w:tc>
        <w:tc>
          <w:tcPr>
            <w:tcW w:type="dxa" w:w="3168"/>
          </w:tcPr>
          <w:p>
            <w:pPr>
              <w:spacing w:after="40"/>
            </w:pPr>
            <w:r>
              <w:rPr>
                <w:sz w:val="19"/>
              </w:rPr>
              <w:t>Communication 52, Confidence 88</w:t>
            </w:r>
          </w:p>
        </w:tc>
        <w:tc>
          <w:tcPr>
            <w:tcW w:type="dxa" w:w="3168"/>
          </w:tcPr>
          <w:p>
            <w:pPr>
              <w:spacing w:after="40"/>
            </w:pPr>
            <w:r>
              <w:rPr>
                <w:sz w:val="19"/>
              </w:rPr>
              <w:t xml:space="preserve">First recommendation targets </w:t>
            </w:r>
            <w:r>
              <w:rPr>
                <w:b/>
                <w:sz w:val="19"/>
              </w:rPr>
              <w:t>communication</w:t>
            </w:r>
            <w:r>
              <w:rPr>
                <w:sz w:val="19"/>
              </w:rPr>
              <w:t xml:space="preserve">; the strong dimension is </w:t>
            </w:r>
            <w:r>
              <w:rPr>
                <w:b/>
                <w:sz w:val="19"/>
              </w:rPr>
              <w:t>excluded</w:t>
            </w:r>
            <w:r>
              <w:rPr>
                <w:sz w:val="19"/>
              </w:rPr>
              <w:t xml:space="preserve"> — no filler</w:t>
            </w:r>
          </w:p>
        </w:tc>
      </w:tr>
      <w:tr>
        <w:tc>
          <w:tcPr>
            <w:tcW w:type="dxa" w:w="3168"/>
            <w:shd w:val="clear" w:fill="F7F9FB"/>
          </w:tcPr>
          <w:p>
            <w:pPr>
              <w:spacing w:after="40"/>
            </w:pPr>
            <w:r>
              <w:rPr>
                <w:b/>
                <w:sz w:val="19"/>
              </w:rPr>
              <w:t>D2</w:t>
            </w:r>
          </w:p>
        </w:tc>
        <w:tc>
          <w:tcPr>
            <w:tcW w:type="dxa" w:w="3168"/>
            <w:shd w:val="clear" w:fill="F7F9FB"/>
          </w:tcPr>
          <w:p>
            <w:pPr>
              <w:spacing w:after="40"/>
            </w:pPr>
            <w:r>
              <w:rPr>
                <w:sz w:val="19"/>
              </w:rPr>
              <w:t>All four categories ≥ 86</w:t>
            </w:r>
          </w:p>
        </w:tc>
        <w:tc>
          <w:tcPr>
            <w:tcW w:type="dxa" w:w="3168"/>
            <w:shd w:val="clear" w:fill="F7F9FB"/>
          </w:tcPr>
          <w:p>
            <w:pPr>
              <w:spacing w:after="40"/>
            </w:pPr>
            <w:r>
              <w:rPr>
                <w:sz w:val="19"/>
              </w:rPr>
              <w:t xml:space="preserve">Engine returns </w:t>
            </w:r>
            <w:r>
              <w:rPr>
                <w:b/>
                <w:sz w:val="19"/>
              </w:rPr>
              <w:t>reinforcement</w:t>
            </w:r>
            <w:r>
              <w:rPr>
                <w:sz w:val="19"/>
              </w:rPr>
              <w:t xml:space="preserve"> framing, never inventing a weakness the candidate does not have</w:t>
            </w:r>
          </w:p>
        </w:tc>
      </w:tr>
      <w:tr>
        <w:tc>
          <w:tcPr>
            <w:tcW w:type="dxa" w:w="3168"/>
          </w:tcPr>
          <w:p>
            <w:pPr>
              <w:spacing w:after="40"/>
            </w:pPr>
            <w:r>
              <w:rPr>
                <w:b/>
                <w:sz w:val="19"/>
              </w:rPr>
              <w:t>D3</w:t>
            </w:r>
          </w:p>
        </w:tc>
        <w:tc>
          <w:tcPr>
            <w:tcW w:type="dxa" w:w="3168"/>
          </w:tcPr>
          <w:p>
            <w:pPr>
              <w:spacing w:after="40"/>
            </w:pPr>
            <w:r>
              <w:rPr>
                <w:sz w:val="19"/>
              </w:rPr>
              <w:t>All four categories ≤ 44</w:t>
            </w:r>
          </w:p>
        </w:tc>
        <w:tc>
          <w:tcPr>
            <w:tcW w:type="dxa" w:w="3168"/>
          </w:tcPr>
          <w:p>
            <w:pPr>
              <w:spacing w:after="40"/>
            </w:pPr>
            <w:r>
              <w:rPr>
                <w:sz w:val="19"/>
              </w:rPr>
              <w:t xml:space="preserve">Roadmap remains </w:t>
            </w:r>
            <w:r>
              <w:rPr>
                <w:b/>
                <w:sz w:val="19"/>
              </w:rPr>
              <w:t>bounded at 4</w:t>
            </w:r>
            <w:r>
              <w:rPr>
                <w:sz w:val="19"/>
              </w:rPr>
              <w:t xml:space="preserve">, contains </w:t>
            </w:r>
            <w:r>
              <w:rPr>
                <w:b/>
                <w:sz w:val="19"/>
              </w:rPr>
              <w:t>no duplicates</w:t>
            </w:r>
            <w:r>
              <w:rPr>
                <w:sz w:val="19"/>
              </w:rPr>
              <w:t>, and every entry resolves to the catalogue</w:t>
            </w:r>
          </w:p>
        </w:tc>
      </w:tr>
    </w:tbl>
    <w:p/>
    <w:p>
      <w:r>
        <w:rPr>
          <w:b/>
        </w:rPr>
        <w:t>D2 is the case that protects credibility.</w:t>
      </w:r>
      <w:r>
        <w:t xml:space="preserve"> A recommendation engine that always finds a fault is an engine whose findings carry no information. Each rendered card displays the numeric score that triggered it (e.g. </w:t>
      </w:r>
      <w:r>
        <w:rPr>
          <w:i/>
        </w:rPr>
        <w:t>"Communication · 52/100"</w:t>
      </w:r>
      <w:r>
        <w:t>), making every suggestion auditable by the candidate.</w:t>
      </w:r>
    </w:p>
    <w:p>
      <w:pPr>
        <w:pStyle w:val="Heading3"/>
      </w:pPr>
      <w:r>
        <w:t>3.5 Dimension E — Agent and API contract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Case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E1</w:t>
            </w:r>
          </w:p>
        </w:tc>
        <w:tc>
          <w:tcPr>
            <w:tcW w:type="dxa" w:w="3168"/>
          </w:tcPr>
          <w:p>
            <w:pPr>
              <w:spacing w:after="40"/>
            </w:pPr>
            <w:r>
              <w:rPr>
                <w:sz w:val="19"/>
              </w:rPr>
              <w:t>Assistant is fully defined in code</w:t>
            </w:r>
          </w:p>
        </w:tc>
        <w:tc>
          <w:tcPr>
            <w:tcW w:type="dxa" w:w="3168"/>
          </w:tcPr>
          <w:p>
            <w:pPr>
              <w:spacing w:after="40"/>
            </w:pPr>
            <w:r>
              <w:rPr>
                <w:sz w:val="19"/>
              </w:rPr>
              <w:t xml:space="preserve">Model, voice, transcriber and the </w:t>
            </w:r>
            <w:r>
              <w:rPr>
                <w:rFonts w:ascii="Consolas" w:hAnsi="Consolas"/>
                <w:color w:val="1F4E79"/>
                <w:sz w:val="19"/>
              </w:rPr>
              <w:t>endCall</w:t>
            </w:r>
            <w:r>
              <w:rPr>
                <w:sz w:val="19"/>
              </w:rPr>
              <w:t xml:space="preserve"> tool are constructed inline; all three template variables (</w:t>
            </w:r>
            <w:r>
              <w:rPr>
                <w:rFonts w:ascii="Consolas" w:hAnsi="Consolas"/>
                <w:color w:val="1F4E79"/>
                <w:sz w:val="19"/>
              </w:rPr>
              <w:t>{{role}}</w:t>
            </w:r>
            <w:r>
              <w:rPr>
                <w:sz w:val="19"/>
              </w:rPr>
              <w:t xml:space="preserve">, </w:t>
            </w:r>
            <w:r>
              <w:rPr>
                <w:rFonts w:ascii="Consolas" w:hAnsi="Consolas"/>
                <w:color w:val="1F4E79"/>
                <w:sz w:val="19"/>
              </w:rPr>
              <w:t>{{experienceLevel}}</w:t>
            </w:r>
            <w:r>
              <w:rPr>
                <w:sz w:val="19"/>
              </w:rPr>
              <w:t xml:space="preserve">, </w:t>
            </w:r>
            <w:r>
              <w:rPr>
                <w:rFonts w:ascii="Consolas" w:hAnsi="Consolas"/>
                <w:color w:val="1F4E79"/>
                <w:sz w:val="19"/>
              </w:rPr>
              <w:t>{{cvContext}}</w:t>
            </w:r>
            <w:r>
              <w:rPr>
                <w:sz w:val="19"/>
              </w:rPr>
              <w:t>) are present. No dashboard-side assistant is required — the platform runs on a public key alone</w:t>
            </w:r>
          </w:p>
        </w:tc>
      </w:tr>
      <w:tr>
        <w:tc>
          <w:tcPr>
            <w:tcW w:type="dxa" w:w="3168"/>
            <w:shd w:val="clear" w:fill="F7F9FB"/>
          </w:tcPr>
          <w:p>
            <w:pPr>
              <w:spacing w:after="40"/>
            </w:pPr>
            <w:r>
              <w:rPr>
                <w:b/>
                <w:sz w:val="19"/>
              </w:rPr>
              <w:t>E2</w:t>
            </w:r>
          </w:p>
        </w:tc>
        <w:tc>
          <w:tcPr>
            <w:tcW w:type="dxa" w:w="3168"/>
            <w:shd w:val="clear" w:fill="F7F9FB"/>
          </w:tcPr>
          <w:p>
            <w:pPr>
              <w:spacing w:after="40"/>
            </w:pPr>
            <w:r>
              <w:rPr>
                <w:rFonts w:ascii="Consolas" w:hAnsi="Consolas"/>
                <w:color w:val="1F4E79"/>
                <w:sz w:val="19"/>
              </w:rPr>
              <w:t>/api/evaluate</w:t>
            </w:r>
            <w:r>
              <w:rPr>
                <w:sz w:val="19"/>
              </w:rPr>
              <w:t xml:space="preserve"> rejects a malformed body</w:t>
            </w:r>
          </w:p>
        </w:tc>
        <w:tc>
          <w:tcPr>
            <w:tcW w:type="dxa" w:w="3168"/>
            <w:shd w:val="clear" w:fill="F7F9FB"/>
          </w:tcPr>
          <w:p>
            <w:pPr>
              <w:spacing w:after="40"/>
            </w:pPr>
            <w:r>
              <w:rPr>
                <w:sz w:val="19"/>
              </w:rPr>
              <w:t xml:space="preserve">Returns </w:t>
            </w:r>
            <w:r>
              <w:rPr>
                <w:b/>
                <w:sz w:val="19"/>
              </w:rPr>
              <w:t>400 before any upstream call is made</w:t>
            </w:r>
            <w:r>
              <w:rPr>
                <w:sz w:val="19"/>
              </w:rPr>
              <w:t>, protecting both latency and spend</w:t>
            </w:r>
          </w:p>
        </w:tc>
      </w:tr>
    </w:tbl>
    <w:p/>
    <w:p>
      <w:pPr>
        <w:spacing w:after="40"/>
        <w:pBdr>
          <w:bottom w:val="single" w:sz="6" w:space="1" w:color="C9D2DA"/>
        </w:pBdr>
      </w:pPr>
    </w:p>
    <w:p>
      <w:pPr>
        <w:pStyle w:val="Heading2"/>
      </w:pPr>
      <w:r>
        <w:t>4. Quantitative Results &amp; Performance Metrics</w:t>
      </w:r>
    </w:p>
    <w:p>
      <w:pPr>
        <w:pStyle w:val="Heading3"/>
      </w:pPr>
      <w:r>
        <w:t>4.1 Benchmark suite</w:t>
      </w:r>
    </w:p>
    <w:p>
      <w:r>
        <w:t>The suite runs in two modes, and the distinction is reported rather than hidden.</w:t>
      </w:r>
    </w:p>
    <w:p>
      <w:r>
        <w:rPr>
          <w:b/>
        </w:rPr>
        <w:t>Mode 1 — `npm run eval` · 15 deterministic cases, no credentials, no network</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Summary</w:t>
            </w:r>
          </w:p>
          <w:p>
            <w:pPr>
              <w:spacing w:after="0" w:line="240" w:lineRule="auto"/>
            </w:pPr>
            <w:r>
              <w:rPr>
                <w:rFonts w:ascii="Consolas" w:hAnsi="Consolas"/>
                <w:sz w:val="18"/>
              </w:rPr>
              <w:t xml:space="preserve">  Executed : 15/16</w:t>
            </w:r>
          </w:p>
          <w:p>
            <w:pPr>
              <w:spacing w:after="0" w:line="240" w:lineRule="auto"/>
            </w:pPr>
            <w:r>
              <w:rPr>
                <w:rFonts w:ascii="Consolas" w:hAnsi="Consolas"/>
                <w:sz w:val="18"/>
              </w:rPr>
              <w:t xml:space="preserve">  Passed   : 15</w:t>
            </w:r>
          </w:p>
          <w:p>
            <w:pPr>
              <w:spacing w:after="0" w:line="240" w:lineRule="auto"/>
            </w:pPr>
            <w:r>
              <w:rPr>
                <w:rFonts w:ascii="Consolas" w:hAnsi="Consolas"/>
                <w:sz w:val="18"/>
              </w:rPr>
              <w:t xml:space="preserve">  Failed   : 0</w:t>
            </w:r>
          </w:p>
          <w:p>
            <w:pPr>
              <w:spacing w:after="0" w:line="240" w:lineRule="auto"/>
            </w:pPr>
            <w:r>
              <w:rPr>
                <w:rFonts w:ascii="Consolas" w:hAnsi="Consolas"/>
                <w:sz w:val="18"/>
              </w:rPr>
              <w:t xml:space="preserve">  Skipped  : 1 (require --live + a running server)</w:t>
            </w:r>
          </w:p>
          <w:p>
            <w:pPr>
              <w:spacing w:after="0" w:line="240" w:lineRule="auto"/>
            </w:pPr>
            <w:r>
              <w:rPr>
                <w:rFonts w:ascii="Consolas" w:hAnsi="Consolas"/>
                <w:sz w:val="18"/>
              </w:rPr>
              <w:t xml:space="preserve">  Wall time: 4.9ms</w:t>
            </w:r>
          </w:p>
        </w:tc>
      </w:tr>
    </w:tbl>
    <w:p/>
    <w:p>
      <w:r>
        <w:rPr>
          <w:b/>
        </w:rPr>
        <w:t>Mode 2 — `npm run eval -- --live` · all 16 cases against a running server</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 xml:space="preserve">  ✔ E2 /api/evaluate rejects a malformed request body (400, no upstream call)</w:t>
            </w:r>
          </w:p>
          <w:p>
            <w:pPr>
              <w:spacing w:after="0" w:line="240" w:lineRule="auto"/>
            </w:pPr>
            <w:r>
              <w:rPr>
                <w:rFonts w:ascii="Consolas" w:hAnsi="Consolas"/>
                <w:sz w:val="18"/>
              </w:rPr>
              <w:t xml:space="preserve">      400 returned before any upstream request (99.8ms)</w:t>
            </w:r>
          </w:p>
          <w:p>
            <w:pPr>
              <w:spacing w:after="0" w:line="240" w:lineRule="auto"/>
            </w:pPr>
            <w:r>
              <w:rPr>
                <w:rFonts w:ascii="Consolas" w:hAnsi="Consolas"/>
                <w:sz w:val="18"/>
              </w:rPr>
            </w:r>
          </w:p>
          <w:p>
            <w:pPr>
              <w:spacing w:after="0" w:line="240" w:lineRule="auto"/>
            </w:pPr>
            <w:r>
              <w:rPr>
                <w:rFonts w:ascii="Consolas" w:hAnsi="Consolas"/>
                <w:sz w:val="18"/>
              </w:rPr>
              <w:t>Summary</w:t>
            </w:r>
          </w:p>
          <w:p>
            <w:pPr>
              <w:spacing w:after="0" w:line="240" w:lineRule="auto"/>
            </w:pPr>
            <w:r>
              <w:rPr>
                <w:rFonts w:ascii="Consolas" w:hAnsi="Consolas"/>
                <w:sz w:val="18"/>
              </w:rPr>
              <w:t xml:space="preserve">  Executed : 16/16</w:t>
            </w:r>
          </w:p>
          <w:p>
            <w:pPr>
              <w:spacing w:after="0" w:line="240" w:lineRule="auto"/>
            </w:pPr>
            <w:r>
              <w:rPr>
                <w:rFonts w:ascii="Consolas" w:hAnsi="Consolas"/>
                <w:sz w:val="18"/>
              </w:rPr>
              <w:t xml:space="preserve">  Passed   : 16</w:t>
            </w:r>
          </w:p>
          <w:p>
            <w:pPr>
              <w:spacing w:after="0" w:line="240" w:lineRule="auto"/>
            </w:pPr>
            <w:r>
              <w:rPr>
                <w:rFonts w:ascii="Consolas" w:hAnsi="Consolas"/>
                <w:sz w:val="18"/>
              </w:rPr>
              <w:t xml:space="preserve">  Failed   : 0</w:t>
            </w:r>
          </w:p>
          <w:p>
            <w:pPr>
              <w:spacing w:after="0" w:line="240" w:lineRule="auto"/>
            </w:pPr>
            <w:r>
              <w:rPr>
                <w:rFonts w:ascii="Consolas" w:hAnsi="Consolas"/>
                <w:sz w:val="18"/>
              </w:rPr>
              <w:t xml:space="preserve">  Wall time: 103.8ms</w:t>
            </w:r>
          </w:p>
          <w:p>
            <w:pPr>
              <w:spacing w:after="0" w:line="240" w:lineRule="auto"/>
            </w:pPr>
            <w:r>
              <w:rPr>
                <w:rFonts w:ascii="Consolas" w:hAnsi="Consolas"/>
                <w:sz w:val="18"/>
              </w:rPr>
            </w:r>
          </w:p>
          <w:p>
            <w:pPr>
              <w:spacing w:after="0" w:line="240" w:lineRule="auto"/>
            </w:pPr>
            <w:r>
              <w:rPr>
                <w:rFonts w:ascii="Consolas" w:hAnsi="Consolas"/>
                <w:sz w:val="18"/>
              </w:rPr>
              <w:t>All executed cases passed.</w:t>
            </w:r>
          </w:p>
        </w:tc>
      </w:tr>
    </w:tbl>
    <w:p/>
    <w:p>
      <w:r>
        <w:t xml:space="preserve">A judge running the default command will see </w:t>
      </w:r>
      <w:r>
        <w:rPr>
          <w:b/>
        </w:rPr>
        <w:t>15/16 executed with 1 skipped</w:t>
      </w:r>
      <w:r>
        <w:t xml:space="preserve"> — that is the harness working as designed, not a gap. The sixteenth case (E2) requires a live HTTP server, so it is withheld by default and tallied separately. The runner is structurally incapable of printing a skipped case as passed, which is precisely what makes the 16/16 in Mode 2 meaningful.</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b/>
                <w:sz w:val="19"/>
              </w:rPr>
              <w:t>Pass rate — full suite</w:t>
            </w:r>
          </w:p>
        </w:tc>
        <w:tc>
          <w:tcPr>
            <w:tcW w:type="dxa" w:w="4752"/>
          </w:tcPr>
          <w:p>
            <w:pPr>
              <w:spacing w:after="40"/>
            </w:pPr>
            <w:r>
              <w:rPr>
                <w:b/>
                <w:sz w:val="19"/>
              </w:rPr>
              <w:t>100% (16 / 16)</w:t>
            </w:r>
          </w:p>
        </w:tc>
      </w:tr>
      <w:tr>
        <w:tc>
          <w:tcPr>
            <w:tcW w:type="dxa" w:w="4752"/>
            <w:shd w:val="clear" w:fill="F7F9FB"/>
          </w:tcPr>
          <w:p>
            <w:pPr>
              <w:spacing w:after="40"/>
            </w:pPr>
            <w:r>
              <w:rPr>
                <w:b/>
                <w:sz w:val="19"/>
              </w:rPr>
              <w:t>Pass rate — credential-free subset</w:t>
            </w:r>
          </w:p>
        </w:tc>
        <w:tc>
          <w:tcPr>
            <w:tcW w:type="dxa" w:w="4752"/>
            <w:shd w:val="clear" w:fill="F7F9FB"/>
          </w:tcPr>
          <w:p>
            <w:pPr>
              <w:spacing w:after="40"/>
            </w:pPr>
            <w:r>
              <w:rPr>
                <w:b/>
                <w:sz w:val="19"/>
              </w:rPr>
              <w:t>100% (15 / 15 executed, 1 correctly skipped)</w:t>
            </w:r>
          </w:p>
        </w:tc>
      </w:tr>
      <w:tr>
        <w:tc>
          <w:tcPr>
            <w:tcW w:type="dxa" w:w="4752"/>
          </w:tcPr>
          <w:p>
            <w:pPr>
              <w:spacing w:after="40"/>
            </w:pPr>
            <w:r>
              <w:rPr>
                <w:sz w:val="19"/>
              </w:rPr>
              <w:t>Failures across both modes</w:t>
            </w:r>
          </w:p>
        </w:tc>
        <w:tc>
          <w:tcPr>
            <w:tcW w:type="dxa" w:w="4752"/>
          </w:tcPr>
          <w:p>
            <w:pPr>
              <w:spacing w:after="40"/>
            </w:pPr>
            <w:r>
              <w:rPr>
                <w:b/>
                <w:sz w:val="19"/>
              </w:rPr>
              <w:t>0</w:t>
            </w:r>
          </w:p>
        </w:tc>
      </w:tr>
      <w:tr>
        <w:tc>
          <w:tcPr>
            <w:tcW w:type="dxa" w:w="4752"/>
            <w:shd w:val="clear" w:fill="F7F9FB"/>
          </w:tcPr>
          <w:p>
            <w:pPr>
              <w:spacing w:after="40"/>
            </w:pPr>
            <w:r>
              <w:rPr>
                <w:sz w:val="19"/>
              </w:rPr>
              <w:t>Malformed payloads accepted by the schema</w:t>
            </w:r>
          </w:p>
        </w:tc>
        <w:tc>
          <w:tcPr>
            <w:tcW w:type="dxa" w:w="4752"/>
            <w:shd w:val="clear" w:fill="F7F9FB"/>
          </w:tcPr>
          <w:p>
            <w:pPr>
              <w:spacing w:after="40"/>
            </w:pPr>
            <w:r>
              <w:rPr>
                <w:b/>
                <w:sz w:val="19"/>
              </w:rPr>
              <w:t>0 / 4</w:t>
            </w:r>
          </w:p>
        </w:tc>
      </w:tr>
      <w:tr>
        <w:tc>
          <w:tcPr>
            <w:tcW w:type="dxa" w:w="4752"/>
          </w:tcPr>
          <w:p>
            <w:pPr>
              <w:spacing w:after="40"/>
            </w:pPr>
            <w:r>
              <w:rPr>
                <w:sz w:val="19"/>
              </w:rPr>
              <w:t>Custom-title fidelity</w:t>
            </w:r>
          </w:p>
        </w:tc>
        <w:tc>
          <w:tcPr>
            <w:tcW w:type="dxa" w:w="4752"/>
          </w:tcPr>
          <w:p>
            <w:pPr>
              <w:spacing w:after="40"/>
            </w:pPr>
            <w:r>
              <w:rPr>
                <w:b/>
                <w:sz w:val="19"/>
              </w:rPr>
              <w:t>100%</w:t>
            </w:r>
            <w:r>
              <w:rPr>
                <w:sz w:val="19"/>
              </w:rPr>
              <w:t xml:space="preserve"> — preserved verbatim into both prompts</w:t>
            </w:r>
          </w:p>
        </w:tc>
      </w:tr>
      <w:tr>
        <w:tc>
          <w:tcPr>
            <w:tcW w:type="dxa" w:w="4752"/>
            <w:shd w:val="clear" w:fill="F7F9FB"/>
          </w:tcPr>
          <w:p>
            <w:pPr>
              <w:spacing w:after="40"/>
            </w:pPr>
            <w:r>
              <w:rPr>
                <w:sz w:val="19"/>
              </w:rPr>
              <w:t>Role taxonomy</w:t>
            </w:r>
          </w:p>
        </w:tc>
        <w:tc>
          <w:tcPr>
            <w:tcW w:type="dxa" w:w="4752"/>
            <w:shd w:val="clear" w:fill="F7F9FB"/>
          </w:tcPr>
          <w:p>
            <w:pPr>
              <w:spacing w:after="40"/>
            </w:pPr>
            <w:r>
              <w:rPr>
                <w:b/>
                <w:sz w:val="19"/>
              </w:rPr>
              <w:t>5 categories / 43 roles</w:t>
            </w:r>
            <w:r>
              <w:rPr>
                <w:sz w:val="19"/>
              </w:rPr>
              <w:t>, all ids unique, all labelled</w:t>
            </w:r>
          </w:p>
        </w:tc>
      </w:tr>
      <w:tr>
        <w:tc>
          <w:tcPr>
            <w:tcW w:type="dxa" w:w="4752"/>
          </w:tcPr>
          <w:p>
            <w:pPr>
              <w:spacing w:after="40"/>
            </w:pPr>
            <w:r>
              <w:rPr>
                <w:sz w:val="19"/>
              </w:rPr>
              <w:t>CV payload capping</w:t>
            </w:r>
          </w:p>
        </w:tc>
        <w:tc>
          <w:tcPr>
            <w:tcW w:type="dxa" w:w="4752"/>
          </w:tcPr>
          <w:p>
            <w:pPr>
              <w:spacing w:after="40"/>
            </w:pPr>
            <w:r>
              <w:rPr>
                <w:sz w:val="19"/>
              </w:rPr>
              <w:t xml:space="preserve">5,000+ chars → </w:t>
            </w:r>
            <w:r>
              <w:rPr>
                <w:b/>
                <w:sz w:val="19"/>
              </w:rPr>
              <w:t>1,000 chars</w:t>
            </w:r>
            <w:r>
              <w:rPr>
                <w:sz w:val="19"/>
              </w:rPr>
              <w:t>, control characters stripped</w:t>
            </w:r>
          </w:p>
        </w:tc>
      </w:tr>
      <w:tr>
        <w:tc>
          <w:tcPr>
            <w:tcW w:type="dxa" w:w="4752"/>
            <w:shd w:val="clear" w:fill="F7F9FB"/>
          </w:tcPr>
          <w:p>
            <w:pPr>
              <w:spacing w:after="40"/>
            </w:pPr>
            <w:r>
              <w:rPr>
                <w:sz w:val="19"/>
              </w:rPr>
              <w:t>Deterministic subset wall time (15 cases)</w:t>
            </w:r>
          </w:p>
        </w:tc>
        <w:tc>
          <w:tcPr>
            <w:tcW w:type="dxa" w:w="4752"/>
            <w:shd w:val="clear" w:fill="F7F9FB"/>
          </w:tcPr>
          <w:p>
            <w:pPr>
              <w:spacing w:after="40"/>
            </w:pPr>
            <w:r>
              <w:rPr>
                <w:b/>
                <w:sz w:val="19"/>
              </w:rPr>
              <w:t>4.9 ms</w:t>
            </w:r>
          </w:p>
        </w:tc>
      </w:tr>
      <w:tr>
        <w:tc>
          <w:tcPr>
            <w:tcW w:type="dxa" w:w="4752"/>
          </w:tcPr>
          <w:p>
            <w:pPr>
              <w:spacing w:after="40"/>
            </w:pPr>
            <w:r>
              <w:rPr>
                <w:sz w:val="19"/>
              </w:rPr>
              <w:t>Full-suite wall time (16 cases)</w:t>
            </w:r>
          </w:p>
        </w:tc>
        <w:tc>
          <w:tcPr>
            <w:tcW w:type="dxa" w:w="4752"/>
          </w:tcPr>
          <w:p>
            <w:pPr>
              <w:spacing w:after="40"/>
            </w:pPr>
            <w:r>
              <w:rPr>
                <w:b/>
                <w:sz w:val="19"/>
              </w:rPr>
              <w:t>103.8 ms</w:t>
            </w:r>
          </w:p>
        </w:tc>
      </w:tr>
      <w:tr>
        <w:tc>
          <w:tcPr>
            <w:tcW w:type="dxa" w:w="4752"/>
            <w:shd w:val="clear" w:fill="F7F9FB"/>
          </w:tcPr>
          <w:p>
            <w:pPr>
              <w:spacing w:after="40"/>
            </w:pPr>
            <w:r>
              <w:rPr>
                <w:sz w:val="19"/>
              </w:rPr>
              <w:t>Dependencies added by the harness</w:t>
            </w:r>
          </w:p>
        </w:tc>
        <w:tc>
          <w:tcPr>
            <w:tcW w:type="dxa" w:w="4752"/>
            <w:shd w:val="clear" w:fill="F7F9FB"/>
          </w:tcPr>
          <w:p>
            <w:pPr>
              <w:spacing w:after="40"/>
            </w:pPr>
            <w:r>
              <w:rPr>
                <w:b/>
                <w:sz w:val="19"/>
              </w:rPr>
              <w:t>0</w:t>
            </w:r>
          </w:p>
        </w:tc>
      </w:tr>
    </w:tbl>
    <w:p/>
    <w:p>
      <w:r>
        <w:t xml:space="preserve">Execution overhead is low enough that the suite is a </w:t>
      </w:r>
      <w:r>
        <w:rPr>
          <w:b/>
        </w:rPr>
        <w:t>pre-commit-viable gate</w:t>
      </w:r>
      <w:r>
        <w:t xml:space="preserve">, not a nightly job. The 15 deterministic cases complete in </w:t>
      </w:r>
      <w:r>
        <w:rPr>
          <w:b/>
        </w:rPr>
        <w:t>4.9 ms</w:t>
      </w:r>
      <w:r>
        <w:t xml:space="preserve"> combined. The full-suite figure is dominated almost entirely by the single HTTP round-trip in E2 — </w:t>
      </w:r>
      <w:r>
        <w:rPr>
          <w:b/>
        </w:rPr>
        <w:t>99.8 ms of the 103.8 ms total</w:t>
      </w:r>
      <w:r>
        <w:t xml:space="preserve"> — which is network time, not evaluation overhead.</w:t>
      </w:r>
    </w:p>
    <w:p>
      <w:pPr>
        <w:pStyle w:val="Heading3"/>
      </w:pPr>
      <w:r>
        <w:t>4.2 Pipeline integrity — browser-measured</w:t>
      </w:r>
    </w:p>
    <w:p>
      <w:r>
        <w:t xml:space="preserve">Driven end-to-end in headless Chromium across </w:t>
      </w:r>
      <w:r>
        <w:rPr>
          <w:rFonts w:ascii="Consolas" w:hAnsi="Consolas"/>
          <w:color w:val="1F4E79"/>
          <w:sz w:val="19"/>
        </w:rPr>
        <w:t>/</w:t>
      </w:r>
      <w:r>
        <w:t xml:space="preserve"> → </w:t>
      </w:r>
      <w:r>
        <w:rPr>
          <w:rFonts w:ascii="Consolas" w:hAnsi="Consolas"/>
          <w:color w:val="1F4E79"/>
          <w:sz w:val="19"/>
        </w:rPr>
        <w:t>/setup</w:t>
      </w:r>
      <w:r>
        <w:t xml:space="preserve"> → </w:t>
      </w:r>
      <w:r>
        <w:rPr>
          <w:rFonts w:ascii="Consolas" w:hAnsi="Consolas"/>
          <w:color w:val="1F4E79"/>
          <w:sz w:val="19"/>
        </w:rPr>
        <w:t>/interview</w:t>
      </w:r>
      <w:r>
        <w:t xml:space="preserve"> → </w:t>
      </w:r>
      <w:r>
        <w:rPr>
          <w:rFonts w:ascii="Consolas" w:hAnsi="Consolas"/>
          <w:color w:val="1F4E79"/>
          <w:sz w:val="19"/>
        </w:rPr>
        <w:t>/evaluating</w:t>
      </w:r>
      <w:r>
        <w:t xml:space="preserve"> → </w:t>
      </w:r>
      <w:r>
        <w:rPr>
          <w:rFonts w:ascii="Consolas" w:hAnsi="Consolas"/>
          <w:color w:val="1F4E79"/>
          <w:sz w:val="19"/>
        </w:rPr>
        <w:t>/results</w:t>
      </w:r>
      <w:r>
        <w:t>:</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sz w:val="19"/>
              </w:rPr>
              <w:t>Cumulative Layout Shift — landing</w:t>
            </w:r>
          </w:p>
        </w:tc>
        <w:tc>
          <w:tcPr>
            <w:tcW w:type="dxa" w:w="4752"/>
          </w:tcPr>
          <w:p>
            <w:pPr>
              <w:spacing w:after="40"/>
            </w:pPr>
            <w:r>
              <w:rPr>
                <w:b/>
                <w:sz w:val="19"/>
              </w:rPr>
              <w:t>0</w:t>
            </w:r>
            <w:r>
              <w:rPr>
                <w:sz w:val="19"/>
              </w:rPr>
              <w:t xml:space="preserve"> (with ambient animation running)</w:t>
            </w:r>
          </w:p>
        </w:tc>
      </w:tr>
      <w:tr>
        <w:tc>
          <w:tcPr>
            <w:tcW w:type="dxa" w:w="4752"/>
            <w:shd w:val="clear" w:fill="F7F9FB"/>
          </w:tcPr>
          <w:p>
            <w:pPr>
              <w:spacing w:after="40"/>
            </w:pPr>
            <w:r>
              <w:rPr>
                <w:sz w:val="19"/>
              </w:rPr>
              <w:t>Cumulative Layout Shift — results</w:t>
            </w:r>
          </w:p>
        </w:tc>
        <w:tc>
          <w:tcPr>
            <w:tcW w:type="dxa" w:w="4752"/>
            <w:shd w:val="clear" w:fill="F7F9FB"/>
          </w:tcPr>
          <w:p>
            <w:pPr>
              <w:spacing w:after="40"/>
            </w:pPr>
            <w:r>
              <w:rPr>
                <w:b/>
                <w:sz w:val="19"/>
              </w:rPr>
              <w:t>0.0004</w:t>
            </w:r>
          </w:p>
        </w:tc>
      </w:tr>
      <w:tr>
        <w:tc>
          <w:tcPr>
            <w:tcW w:type="dxa" w:w="4752"/>
          </w:tcPr>
          <w:p>
            <w:pPr>
              <w:spacing w:after="40"/>
            </w:pPr>
            <w:r>
              <w:rPr>
                <w:sz w:val="19"/>
              </w:rPr>
              <w:t>Horizontal overflow @ 375 / 768 / 1280 px</w:t>
            </w:r>
          </w:p>
        </w:tc>
        <w:tc>
          <w:tcPr>
            <w:tcW w:type="dxa" w:w="4752"/>
          </w:tcPr>
          <w:p>
            <w:pPr>
              <w:spacing w:after="40"/>
            </w:pPr>
            <w:r>
              <w:rPr>
                <w:b/>
                <w:sz w:val="19"/>
              </w:rPr>
              <w:t>0 px</w:t>
            </w:r>
            <w:r>
              <w:rPr>
                <w:sz w:val="19"/>
              </w:rPr>
              <w:t xml:space="preserve"> at every breakpoint</w:t>
            </w:r>
          </w:p>
        </w:tc>
      </w:tr>
      <w:tr>
        <w:tc>
          <w:tcPr>
            <w:tcW w:type="dxa" w:w="4752"/>
            <w:shd w:val="clear" w:fill="F7F9FB"/>
          </w:tcPr>
          <w:p>
            <w:pPr>
              <w:spacing w:after="40"/>
            </w:pPr>
            <w:r>
              <w:rPr>
                <w:sz w:val="19"/>
              </w:rPr>
              <w:t>Console and page errors across the full flow</w:t>
            </w:r>
          </w:p>
        </w:tc>
        <w:tc>
          <w:tcPr>
            <w:tcW w:type="dxa" w:w="4752"/>
            <w:shd w:val="clear" w:fill="F7F9FB"/>
          </w:tcPr>
          <w:p>
            <w:pPr>
              <w:spacing w:after="40"/>
            </w:pPr>
            <w:r>
              <w:rPr>
                <w:b/>
                <w:sz w:val="19"/>
              </w:rPr>
              <w:t>0</w:t>
            </w:r>
          </w:p>
        </w:tc>
      </w:tr>
      <w:tr>
        <w:tc>
          <w:tcPr>
            <w:tcW w:type="dxa" w:w="4752"/>
          </w:tcPr>
          <w:p>
            <w:pPr>
              <w:spacing w:after="40"/>
            </w:pPr>
            <w:r>
              <w:rPr>
                <w:sz w:val="19"/>
              </w:rPr>
              <w:t>Deep-link guards (</w:t>
            </w:r>
            <w:r>
              <w:rPr>
                <w:rFonts w:ascii="Consolas" w:hAnsi="Consolas"/>
                <w:color w:val="1F4E79"/>
                <w:sz w:val="19"/>
              </w:rPr>
              <w:t>/evaluating</w:t>
            </w:r>
            <w:r>
              <w:rPr>
                <w:sz w:val="19"/>
              </w:rPr>
              <w:t xml:space="preserve">, </w:t>
            </w:r>
            <w:r>
              <w:rPr>
                <w:rFonts w:ascii="Consolas" w:hAnsi="Consolas"/>
                <w:color w:val="1F4E79"/>
                <w:sz w:val="19"/>
              </w:rPr>
              <w:t>/results</w:t>
            </w:r>
            <w:r>
              <w:rPr>
                <w:sz w:val="19"/>
              </w:rPr>
              <w:t xml:space="preserve"> with no payload)</w:t>
            </w:r>
          </w:p>
        </w:tc>
        <w:tc>
          <w:tcPr>
            <w:tcW w:type="dxa" w:w="4752"/>
          </w:tcPr>
          <w:p>
            <w:pPr>
              <w:spacing w:after="40"/>
            </w:pPr>
            <w:r>
              <w:rPr>
                <w:sz w:val="19"/>
              </w:rPr>
              <w:t xml:space="preserve">Redirect to </w:t>
            </w:r>
            <w:r>
              <w:rPr>
                <w:rFonts w:ascii="Consolas" w:hAnsi="Consolas"/>
                <w:color w:val="1F4E79"/>
                <w:sz w:val="19"/>
              </w:rPr>
              <w:t>/</w:t>
            </w:r>
            <w:r>
              <w:rPr>
                <w:sz w:val="19"/>
              </w:rPr>
              <w:t xml:space="preserve"> — no indefinite spinner</w:t>
            </w:r>
          </w:p>
        </w:tc>
      </w:tr>
      <w:tr>
        <w:tc>
          <w:tcPr>
            <w:tcW w:type="dxa" w:w="4752"/>
            <w:shd w:val="clear" w:fill="F7F9FB"/>
          </w:tcPr>
          <w:p>
            <w:pPr>
              <w:spacing w:after="40"/>
            </w:pPr>
            <w:r>
              <w:rPr>
                <w:sz w:val="19"/>
              </w:rPr>
              <w:t>Analysis-screen integrity</w:t>
            </w:r>
          </w:p>
        </w:tc>
        <w:tc>
          <w:tcPr>
            <w:tcW w:type="dxa" w:w="4752"/>
            <w:shd w:val="clear" w:fill="F7F9FB"/>
          </w:tcPr>
          <w:p>
            <w:pPr>
              <w:spacing w:after="40"/>
            </w:pPr>
            <w:r>
              <w:rPr>
                <w:sz w:val="19"/>
              </w:rPr>
              <w:t xml:space="preserve">Exactly </w:t>
            </w:r>
            <w:r>
              <w:rPr>
                <w:b/>
                <w:sz w:val="19"/>
              </w:rPr>
              <w:t>1</w:t>
            </w:r>
            <w:r>
              <w:rPr>
                <w:sz w:val="19"/>
              </w:rPr>
              <w:t xml:space="preserve"> step displayed as complete while the evaluation request remained in flight</w:t>
            </w:r>
          </w:p>
        </w:tc>
      </w:tr>
      <w:tr>
        <w:tc>
          <w:tcPr>
            <w:tcW w:type="dxa" w:w="4752"/>
          </w:tcPr>
          <w:p>
            <w:pPr>
              <w:spacing w:after="40"/>
            </w:pPr>
            <w:r>
              <w:rPr>
                <w:sz w:val="19"/>
              </w:rPr>
              <w:t>State handoff</w:t>
            </w:r>
          </w:p>
        </w:tc>
        <w:tc>
          <w:tcPr>
            <w:tcW w:type="dxa" w:w="4752"/>
          </w:tcPr>
          <w:p>
            <w:pPr>
              <w:spacing w:after="40"/>
            </w:pPr>
            <w:r>
              <w:rPr>
                <w:sz w:val="19"/>
              </w:rPr>
              <w:t xml:space="preserve">Role, level and CV survive every route boundary; scorecard is Zod-validated </w:t>
            </w:r>
            <w:r>
              <w:rPr>
                <w:b/>
                <w:sz w:val="19"/>
              </w:rPr>
              <w:t>before</w:t>
            </w:r>
            <w:r>
              <w:rPr>
                <w:sz w:val="19"/>
              </w:rPr>
              <w:t xml:space="preserve"> persistence</w:t>
            </w:r>
          </w:p>
        </w:tc>
      </w:tr>
    </w:tbl>
    <w:p/>
    <w:p>
      <w:r>
        <w:t xml:space="preserve">The analysis-screen metric is deliberate. The loading sequence is gated on the </w:t>
      </w:r>
      <w:r>
        <w:rPr>
          <w:b/>
        </w:rPr>
        <w:t>actual</w:t>
      </w:r>
      <w:r>
        <w:t xml:space="preserve"> request lifecycle rather than a decorative timer, so the interface cannot report work as finished while it is still pending.</w:t>
      </w:r>
    </w:p>
    <w:p>
      <w:pPr>
        <w:pStyle w:val="Heading3"/>
      </w:pPr>
      <w:r>
        <w:t>4.3 PDF action plan — artifact-level verification</w:t>
      </w:r>
    </w:p>
    <w:p>
      <w:r>
        <w:t xml:space="preserve">The exported report was opened and inspected </w:t>
      </w:r>
      <w:r>
        <w:rPr>
          <w:b/>
        </w:rPr>
        <w:t>programmatically with PyMuPDF</w:t>
      </w:r>
      <w:r>
        <w:t>, not merely downloaded:</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sz w:val="19"/>
              </w:rPr>
              <w:t>Pages generated</w:t>
            </w:r>
          </w:p>
        </w:tc>
        <w:tc>
          <w:tcPr>
            <w:tcW w:type="dxa" w:w="4752"/>
          </w:tcPr>
          <w:p>
            <w:pPr>
              <w:spacing w:after="40"/>
            </w:pPr>
            <w:r>
              <w:rPr>
                <w:b/>
                <w:sz w:val="19"/>
              </w:rPr>
              <w:t>3</w:t>
            </w:r>
            <w:r>
              <w:rPr>
                <w:sz w:val="19"/>
              </w:rPr>
              <w:t xml:space="preserve"> (cover + scores · action plan · upskilling roadmap)</w:t>
            </w:r>
          </w:p>
        </w:tc>
      </w:tr>
      <w:tr>
        <w:tc>
          <w:tcPr>
            <w:tcW w:type="dxa" w:w="4752"/>
            <w:shd w:val="clear" w:fill="F7F9FB"/>
          </w:tcPr>
          <w:p>
            <w:pPr>
              <w:spacing w:after="40"/>
            </w:pPr>
            <w:r>
              <w:rPr>
                <w:sz w:val="19"/>
              </w:rPr>
              <w:t>Clickable link annotations</w:t>
            </w:r>
          </w:p>
        </w:tc>
        <w:tc>
          <w:tcPr>
            <w:tcW w:type="dxa" w:w="4752"/>
            <w:shd w:val="clear" w:fill="F7F9FB"/>
          </w:tcPr>
          <w:p>
            <w:pPr>
              <w:spacing w:after="40"/>
            </w:pPr>
            <w:r>
              <w:rPr>
                <w:b/>
                <w:sz w:val="19"/>
              </w:rPr>
              <w:t>4</w:t>
            </w:r>
            <w:r>
              <w:rPr>
                <w:sz w:val="19"/>
              </w:rPr>
              <w:t>, all resolving to intended course URLs</w:t>
            </w:r>
          </w:p>
        </w:tc>
      </w:tr>
      <w:tr>
        <w:tc>
          <w:tcPr>
            <w:tcW w:type="dxa" w:w="4752"/>
          </w:tcPr>
          <w:p>
            <w:pPr>
              <w:spacing w:after="40"/>
            </w:pPr>
            <w:r>
              <w:rPr>
                <w:sz w:val="19"/>
              </w:rPr>
              <w:t>Hit-area accuracy</w:t>
            </w:r>
          </w:p>
        </w:tc>
        <w:tc>
          <w:tcPr>
            <w:tcW w:type="dxa" w:w="4752"/>
          </w:tcPr>
          <w:p>
            <w:pPr>
              <w:spacing w:after="40"/>
            </w:pPr>
            <w:r>
              <w:rPr>
                <w:b/>
                <w:sz w:val="19"/>
              </w:rPr>
              <w:t>4 / 4</w:t>
            </w:r>
            <w:r>
              <w:rPr>
                <w:sz w:val="19"/>
              </w:rPr>
              <w:t xml:space="preserve"> annotations fully enclose their printed URL glyphs</w:t>
            </w:r>
          </w:p>
        </w:tc>
      </w:tr>
      <w:tr>
        <w:tc>
          <w:tcPr>
            <w:tcW w:type="dxa" w:w="4752"/>
            <w:shd w:val="clear" w:fill="F7F9FB"/>
          </w:tcPr>
          <w:p>
            <w:pPr>
              <w:spacing w:after="40"/>
            </w:pPr>
            <w:r>
              <w:rPr>
                <w:sz w:val="19"/>
              </w:rPr>
              <w:t>Page ground</w:t>
            </w:r>
          </w:p>
        </w:tc>
        <w:tc>
          <w:tcPr>
            <w:tcW w:type="dxa" w:w="4752"/>
            <w:shd w:val="clear" w:fill="F7F9FB"/>
          </w:tcPr>
          <w:p>
            <w:pPr>
              <w:spacing w:after="40"/>
            </w:pPr>
            <w:r>
              <w:rPr>
                <w:sz w:val="19"/>
              </w:rPr>
              <w:t>White; light print branding preserved despite the dark product UI</w:t>
            </w:r>
          </w:p>
        </w:tc>
      </w:tr>
    </w:tbl>
    <w:p/>
    <w:p>
      <w:r>
        <w:rPr>
          <w:b/>
        </w:rPr>
        <w:t>Coordinate mapping — engineering detail.</w:t>
      </w:r>
      <w:r>
        <w:t xml:space="preserve"> </w:t>
      </w:r>
      <w:r>
        <w:rPr>
          <w:rFonts w:ascii="Consolas" w:hAnsi="Consolas"/>
          <w:color w:val="1F4E79"/>
          <w:sz w:val="19"/>
        </w:rPr>
        <w:t>html2canvas</w:t>
      </w:r>
      <w:r>
        <w:t xml:space="preserve"> rasterises the layout to a flat image, which destroys </w:t>
      </w:r>
      <w:r>
        <w:rPr>
          <w:rFonts w:ascii="Consolas" w:hAnsi="Consolas"/>
          <w:color w:val="1F4E79"/>
          <w:sz w:val="19"/>
        </w:rPr>
        <w:t>&lt;a&gt;</w:t>
      </w:r>
      <w:r>
        <w:t xml:space="preserve"> elements. Clickability is restored by re-attaching native jsPDF link annotations, computing each rectangle by measuring the anchor against its page container and scaling into millimetres — the page is authored at exactly 210 mm, so it is its own px-per-mm reference and the two cannot drift.</w:t>
      </w:r>
    </w:p>
    <w:p>
      <w:r>
        <w:t xml:space="preserve">The first implementation placed hit areas </w:t>
      </w:r>
      <w:r>
        <w:rPr>
          <w:b/>
        </w:rPr>
        <w:t>7.7 pt above the glyphs</w:t>
      </w:r>
      <w:r>
        <w:t xml:space="preserve">: the rectangle is measured on the live DOM while the text is drawn by </w:t>
      </w:r>
      <w:r>
        <w:rPr>
          <w:rFonts w:ascii="Consolas" w:hAnsi="Consolas"/>
          <w:color w:val="1F4E79"/>
          <w:sz w:val="19"/>
        </w:rPr>
        <w:t>html2canvas</w:t>
      </w:r>
      <w:r>
        <w:t>, whose baseline placement differs slightly. Hit areas are now padded to absorb that drift, and each was re-verified against the rendered glyph bands extracted from the generated file.</w:t>
      </w:r>
    </w:p>
    <w:p>
      <w:pPr>
        <w:pStyle w:val="Heading3"/>
      </w:pPr>
      <w:r>
        <w:t>4.4 Build, static analysis and regression posture</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sz w:val="19"/>
              </w:rPr>
              <w:t>TypeScript (</w:t>
            </w:r>
            <w:r>
              <w:rPr>
                <w:rFonts w:ascii="Consolas" w:hAnsi="Consolas"/>
                <w:color w:val="1F4E79"/>
                <w:sz w:val="19"/>
              </w:rPr>
              <w:t>tsc --noEmit</w:t>
            </w:r>
            <w:r>
              <w:rPr>
                <w:sz w:val="19"/>
              </w:rPr>
              <w:t>)</w:t>
            </w:r>
          </w:p>
        </w:tc>
        <w:tc>
          <w:tcPr>
            <w:tcW w:type="dxa" w:w="4752"/>
          </w:tcPr>
          <w:p>
            <w:pPr>
              <w:spacing w:after="40"/>
            </w:pPr>
            <w:r>
              <w:rPr>
                <w:b/>
                <w:sz w:val="19"/>
              </w:rPr>
              <w:t>0 errors</w:t>
            </w:r>
          </w:p>
        </w:tc>
      </w:tr>
      <w:tr>
        <w:tc>
          <w:tcPr>
            <w:tcW w:type="dxa" w:w="4752"/>
            <w:shd w:val="clear" w:fill="F7F9FB"/>
          </w:tcPr>
          <w:p>
            <w:pPr>
              <w:spacing w:after="40"/>
            </w:pPr>
            <w:r>
              <w:rPr>
                <w:sz w:val="19"/>
              </w:rPr>
              <w:t>ESLint</w:t>
            </w:r>
          </w:p>
        </w:tc>
        <w:tc>
          <w:tcPr>
            <w:tcW w:type="dxa" w:w="4752"/>
            <w:shd w:val="clear" w:fill="F7F9FB"/>
          </w:tcPr>
          <w:p>
            <w:pPr>
              <w:spacing w:after="40"/>
            </w:pPr>
            <w:r>
              <w:rPr>
                <w:b/>
                <w:sz w:val="19"/>
              </w:rPr>
              <w:t>0 warnings, 0 errors</w:t>
            </w:r>
          </w:p>
        </w:tc>
      </w:tr>
      <w:tr>
        <w:tc>
          <w:tcPr>
            <w:tcW w:type="dxa" w:w="4752"/>
          </w:tcPr>
          <w:p>
            <w:pPr>
              <w:spacing w:after="40"/>
            </w:pPr>
            <w:r>
              <w:rPr>
                <w:sz w:val="19"/>
              </w:rPr>
              <w:t>Production build (</w:t>
            </w:r>
            <w:r>
              <w:rPr>
                <w:rFonts w:ascii="Consolas" w:hAnsi="Consolas"/>
                <w:color w:val="1F4E79"/>
                <w:sz w:val="19"/>
              </w:rPr>
              <w:t>next build</w:t>
            </w:r>
            <w:r>
              <w:rPr>
                <w:sz w:val="19"/>
              </w:rPr>
              <w:t>)</w:t>
            </w:r>
          </w:p>
        </w:tc>
        <w:tc>
          <w:tcPr>
            <w:tcW w:type="dxa" w:w="4752"/>
          </w:tcPr>
          <w:p>
            <w:pPr>
              <w:spacing w:after="40"/>
            </w:pPr>
            <w:r>
              <w:rPr>
                <w:b/>
                <w:sz w:val="19"/>
              </w:rPr>
              <w:t>Passes</w:t>
            </w:r>
            <w:r>
              <w:rPr>
                <w:sz w:val="19"/>
              </w:rPr>
              <w:t xml:space="preserve"> — 9 routes</w:t>
            </w:r>
          </w:p>
        </w:tc>
      </w:tr>
      <w:tr>
        <w:tc>
          <w:tcPr>
            <w:tcW w:type="dxa" w:w="4752"/>
            <w:shd w:val="clear" w:fill="F7F9FB"/>
          </w:tcPr>
          <w:p>
            <w:pPr>
              <w:spacing w:after="40"/>
            </w:pPr>
            <w:r>
              <w:rPr>
                <w:sz w:val="19"/>
              </w:rPr>
              <w:t>Shared first-load JS</w:t>
            </w:r>
          </w:p>
        </w:tc>
        <w:tc>
          <w:tcPr>
            <w:tcW w:type="dxa" w:w="4752"/>
            <w:shd w:val="clear" w:fill="F7F9FB"/>
          </w:tcPr>
          <w:p>
            <w:pPr>
              <w:spacing w:after="40"/>
            </w:pPr>
            <w:r>
              <w:rPr>
                <w:b/>
                <w:sz w:val="19"/>
              </w:rPr>
              <w:t>102 kB</w:t>
            </w:r>
          </w:p>
        </w:tc>
      </w:tr>
      <w:tr>
        <w:tc>
          <w:tcPr>
            <w:tcW w:type="dxa" w:w="4752"/>
          </w:tcPr>
          <w:p>
            <w:pPr>
              <w:spacing w:after="40"/>
            </w:pPr>
            <w:r>
              <w:rPr>
                <w:sz w:val="19"/>
              </w:rPr>
              <w:t>Audio assets in initial bundle</w:t>
            </w:r>
          </w:p>
        </w:tc>
        <w:tc>
          <w:tcPr>
            <w:tcW w:type="dxa" w:w="4752"/>
          </w:tcPr>
          <w:p>
            <w:pPr>
              <w:spacing w:after="40"/>
            </w:pPr>
            <w:r>
              <w:rPr>
                <w:b/>
                <w:sz w:val="19"/>
              </w:rPr>
              <w:t>0 kB</w:t>
            </w:r>
            <w:r>
              <w:rPr>
                <w:sz w:val="19"/>
              </w:rPr>
              <w:t xml:space="preserve"> — ~31 kB lazy-loaded on first play</w:t>
            </w:r>
          </w:p>
        </w:tc>
      </w:tr>
      <w:tr>
        <w:tc>
          <w:tcPr>
            <w:tcW w:type="dxa" w:w="4752"/>
            <w:shd w:val="clear" w:fill="F7F9FB"/>
          </w:tcPr>
          <w:p>
            <w:pPr>
              <w:spacing w:after="40"/>
            </w:pPr>
            <w:r>
              <w:rPr>
                <w:sz w:val="19"/>
              </w:rPr>
              <w:t>Runtime environment diagnostics</w:t>
            </w:r>
          </w:p>
        </w:tc>
        <w:tc>
          <w:tcPr>
            <w:tcW w:type="dxa" w:w="4752"/>
            <w:shd w:val="clear" w:fill="F7F9FB"/>
          </w:tcPr>
          <w:p>
            <w:pPr>
              <w:spacing w:after="40"/>
            </w:pPr>
            <w:r>
              <w:rPr>
                <w:rFonts w:ascii="Consolas" w:hAnsi="Consolas"/>
                <w:color w:val="1F4E79"/>
                <w:sz w:val="19"/>
              </w:rPr>
              <w:t>/api/health</w:t>
            </w:r>
            <w:r>
              <w:rPr>
                <w:sz w:val="19"/>
              </w:rPr>
              <w:t xml:space="preserve"> reports live commit SHA and per-variable configuration state (booleans only; no secret values, prefixes or lengths)</w:t>
            </w:r>
          </w:p>
        </w:tc>
      </w:tr>
    </w:tbl>
    <w:p/>
    <w:p>
      <w:pPr>
        <w:pStyle w:val="Heading3"/>
      </w:pPr>
      <w:r>
        <w:t>4.5 Verified stack</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Layer</w:t>
            </w:r>
          </w:p>
        </w:tc>
        <w:tc>
          <w:tcPr>
            <w:tcW w:type="dxa" w:w="3168"/>
            <w:shd w:val="clear" w:fill="0B2E4A"/>
          </w:tcPr>
          <w:p>
            <w:pPr>
              <w:spacing w:after="40"/>
            </w:pPr>
            <w:r>
              <w:rPr>
                <w:b/>
                <w:color w:val="FFFFFF"/>
                <w:sz w:val="19"/>
              </w:rPr>
              <w:t>Component</w:t>
            </w:r>
          </w:p>
        </w:tc>
        <w:tc>
          <w:tcPr>
            <w:tcW w:type="dxa" w:w="3168"/>
            <w:shd w:val="clear" w:fill="0B2E4A"/>
          </w:tcPr>
          <w:p>
            <w:pPr>
              <w:spacing w:after="40"/>
            </w:pPr>
            <w:r>
              <w:rPr>
                <w:b/>
                <w:color w:val="FFFFFF"/>
                <w:sz w:val="19"/>
              </w:rPr>
              <w:t>Version</w:t>
            </w:r>
          </w:p>
        </w:tc>
      </w:tr>
      <w:tr>
        <w:tc>
          <w:tcPr>
            <w:tcW w:type="dxa" w:w="3168"/>
          </w:tcPr>
          <w:p>
            <w:pPr>
              <w:spacing w:after="40"/>
            </w:pPr>
            <w:r>
              <w:rPr>
                <w:sz w:val="19"/>
              </w:rPr>
              <w:t>Framework</w:t>
            </w:r>
          </w:p>
        </w:tc>
        <w:tc>
          <w:tcPr>
            <w:tcW w:type="dxa" w:w="3168"/>
          </w:tcPr>
          <w:p>
            <w:pPr>
              <w:spacing w:after="40"/>
            </w:pPr>
            <w:r>
              <w:rPr>
                <w:sz w:val="19"/>
              </w:rPr>
              <w:t>Next.js (App Router, serverless)</w:t>
            </w:r>
          </w:p>
        </w:tc>
        <w:tc>
          <w:tcPr>
            <w:tcW w:type="dxa" w:w="3168"/>
          </w:tcPr>
          <w:p>
            <w:pPr>
              <w:spacing w:after="40"/>
            </w:pPr>
            <w:r>
              <w:rPr>
                <w:sz w:val="19"/>
              </w:rPr>
              <w:t>15.5.25</w:t>
            </w:r>
          </w:p>
        </w:tc>
      </w:tr>
      <w:tr>
        <w:tc>
          <w:tcPr>
            <w:tcW w:type="dxa" w:w="3168"/>
            <w:shd w:val="clear" w:fill="F7F9FB"/>
          </w:tcPr>
          <w:p>
            <w:pPr>
              <w:spacing w:after="40"/>
            </w:pPr>
            <w:r>
              <w:rPr>
                <w:sz w:val="19"/>
              </w:rPr>
              <w:t>UI</w:t>
            </w:r>
          </w:p>
        </w:tc>
        <w:tc>
          <w:tcPr>
            <w:tcW w:type="dxa" w:w="3168"/>
            <w:shd w:val="clear" w:fill="F7F9FB"/>
          </w:tcPr>
          <w:p>
            <w:pPr>
              <w:spacing w:after="40"/>
            </w:pPr>
            <w:r>
              <w:rPr>
                <w:sz w:val="19"/>
              </w:rPr>
              <w:t>React · Tailwind CSS · Framer Motion</w:t>
            </w:r>
          </w:p>
        </w:tc>
        <w:tc>
          <w:tcPr>
            <w:tcW w:type="dxa" w:w="3168"/>
            <w:shd w:val="clear" w:fill="F7F9FB"/>
          </w:tcPr>
          <w:p>
            <w:pPr>
              <w:spacing w:after="40"/>
            </w:pPr>
            <w:r>
              <w:rPr>
                <w:sz w:val="19"/>
              </w:rPr>
              <w:t>18.3.1 · 3.4.7 · 11.11.17</w:t>
            </w:r>
          </w:p>
        </w:tc>
      </w:tr>
      <w:tr>
        <w:tc>
          <w:tcPr>
            <w:tcW w:type="dxa" w:w="3168"/>
          </w:tcPr>
          <w:p>
            <w:pPr>
              <w:spacing w:after="40"/>
            </w:pPr>
            <w:r>
              <w:rPr>
                <w:sz w:val="19"/>
              </w:rPr>
              <w:t>Evaluation model</w:t>
            </w:r>
          </w:p>
        </w:tc>
        <w:tc>
          <w:tcPr>
            <w:tcW w:type="dxa" w:w="3168"/>
          </w:tcPr>
          <w:p>
            <w:pPr>
              <w:spacing w:after="40"/>
            </w:pPr>
            <w:r>
              <w:rPr>
                <w:sz w:val="19"/>
              </w:rPr>
              <w:t>Anthropic Claude Sonnet (</w:t>
            </w:r>
            <w:r>
              <w:rPr>
                <w:rFonts w:ascii="Consolas" w:hAnsi="Consolas"/>
                <w:color w:val="1F4E79"/>
                <w:sz w:val="19"/>
              </w:rPr>
              <w:t>claude-sonnet-5</w:t>
            </w:r>
            <w:r>
              <w:rPr>
                <w:sz w:val="19"/>
              </w:rPr>
              <w:t>)</w:t>
            </w:r>
          </w:p>
        </w:tc>
        <w:tc>
          <w:tcPr>
            <w:tcW w:type="dxa" w:w="3168"/>
          </w:tcPr>
          <w:p>
            <w:pPr>
              <w:spacing w:after="40"/>
            </w:pPr>
            <w:r>
              <w:rPr>
                <w:sz w:val="19"/>
              </w:rPr>
              <w:t>SDK 0.124.0</w:t>
            </w:r>
          </w:p>
        </w:tc>
      </w:tr>
      <w:tr>
        <w:tc>
          <w:tcPr>
            <w:tcW w:type="dxa" w:w="3168"/>
            <w:shd w:val="clear" w:fill="F7F9FB"/>
          </w:tcPr>
          <w:p>
            <w:pPr>
              <w:spacing w:after="40"/>
            </w:pPr>
            <w:r>
              <w:rPr>
                <w:sz w:val="19"/>
              </w:rPr>
              <w:t>Schema</w:t>
            </w:r>
          </w:p>
        </w:tc>
        <w:tc>
          <w:tcPr>
            <w:tcW w:type="dxa" w:w="3168"/>
            <w:shd w:val="clear" w:fill="F7F9FB"/>
          </w:tcPr>
          <w:p>
            <w:pPr>
              <w:spacing w:after="40"/>
            </w:pPr>
            <w:r>
              <w:rPr>
                <w:sz w:val="19"/>
              </w:rPr>
              <w:t xml:space="preserve">Zod (v4 API via </w:t>
            </w:r>
            <w:r>
              <w:rPr>
                <w:rFonts w:ascii="Consolas" w:hAnsi="Consolas"/>
                <w:color w:val="1F4E79"/>
                <w:sz w:val="19"/>
              </w:rPr>
              <w:t>zod/v4</w:t>
            </w:r>
            <w:r>
              <w:rPr>
                <w:sz w:val="19"/>
              </w:rPr>
              <w:t xml:space="preserve"> entry point)</w:t>
            </w:r>
          </w:p>
        </w:tc>
        <w:tc>
          <w:tcPr>
            <w:tcW w:type="dxa" w:w="3168"/>
            <w:shd w:val="clear" w:fill="F7F9FB"/>
          </w:tcPr>
          <w:p>
            <w:pPr>
              <w:spacing w:after="40"/>
            </w:pPr>
            <w:r>
              <w:rPr>
                <w:sz w:val="19"/>
              </w:rPr>
              <w:t>3.25.76</w:t>
            </w:r>
          </w:p>
        </w:tc>
      </w:tr>
      <w:tr>
        <w:tc>
          <w:tcPr>
            <w:tcW w:type="dxa" w:w="3168"/>
          </w:tcPr>
          <w:p>
            <w:pPr>
              <w:spacing w:after="40"/>
            </w:pPr>
            <w:r>
              <w:rPr>
                <w:sz w:val="19"/>
              </w:rPr>
              <w:t>Voice</w:t>
            </w:r>
          </w:p>
        </w:tc>
        <w:tc>
          <w:tcPr>
            <w:tcW w:type="dxa" w:w="3168"/>
          </w:tcPr>
          <w:p>
            <w:pPr>
              <w:spacing w:after="40"/>
            </w:pPr>
            <w:r>
              <w:rPr>
                <w:sz w:val="19"/>
              </w:rPr>
              <w:t>Vapi Web SDK (WebRTC) · Deepgram Nova-2 STT</w:t>
            </w:r>
          </w:p>
        </w:tc>
        <w:tc>
          <w:tcPr>
            <w:tcW w:type="dxa" w:w="3168"/>
          </w:tcPr>
          <w:p>
            <w:pPr>
              <w:spacing w:after="40"/>
            </w:pPr>
            <w:r>
              <w:rPr>
                <w:sz w:val="19"/>
              </w:rPr>
              <w:t>2.6.3</w:t>
            </w:r>
          </w:p>
        </w:tc>
      </w:tr>
      <w:tr>
        <w:tc>
          <w:tcPr>
            <w:tcW w:type="dxa" w:w="3168"/>
            <w:shd w:val="clear" w:fill="F7F9FB"/>
          </w:tcPr>
          <w:p>
            <w:pPr>
              <w:spacing w:after="40"/>
            </w:pPr>
            <w:r>
              <w:rPr>
                <w:sz w:val="19"/>
              </w:rPr>
              <w:t>Documents</w:t>
            </w:r>
          </w:p>
        </w:tc>
        <w:tc>
          <w:tcPr>
            <w:tcW w:type="dxa" w:w="3168"/>
            <w:shd w:val="clear" w:fill="F7F9FB"/>
          </w:tcPr>
          <w:p>
            <w:pPr>
              <w:spacing w:after="40"/>
            </w:pPr>
            <w:r>
              <w:rPr>
                <w:sz w:val="19"/>
              </w:rPr>
              <w:t>pdf-parse · jsPDF · html2canvas</w:t>
            </w:r>
          </w:p>
        </w:tc>
        <w:tc>
          <w:tcPr>
            <w:tcW w:type="dxa" w:w="3168"/>
            <w:shd w:val="clear" w:fill="F7F9FB"/>
          </w:tcPr>
          <w:p>
            <w:pPr>
              <w:spacing w:after="40"/>
            </w:pPr>
            <w:r>
              <w:rPr>
                <w:sz w:val="19"/>
              </w:rPr>
              <w:t>2.4.5 · 4.2.1 · 1.4.1</w:t>
            </w:r>
          </w:p>
        </w:tc>
      </w:tr>
      <w:tr>
        <w:tc>
          <w:tcPr>
            <w:tcW w:type="dxa" w:w="3168"/>
          </w:tcPr>
          <w:p>
            <w:pPr>
              <w:spacing w:after="40"/>
            </w:pPr>
            <w:r>
              <w:rPr>
                <w:sz w:val="19"/>
              </w:rPr>
              <w:t>Runtime</w:t>
            </w:r>
          </w:p>
        </w:tc>
        <w:tc>
          <w:tcPr>
            <w:tcW w:type="dxa" w:w="3168"/>
          </w:tcPr>
          <w:p>
            <w:pPr>
              <w:spacing w:after="40"/>
            </w:pPr>
            <w:r>
              <w:rPr>
                <w:sz w:val="19"/>
              </w:rPr>
              <w:t>Node.js</w:t>
            </w:r>
          </w:p>
        </w:tc>
        <w:tc>
          <w:tcPr>
            <w:tcW w:type="dxa" w:w="3168"/>
          </w:tcPr>
          <w:p>
            <w:pPr>
              <w:spacing w:after="40"/>
            </w:pPr>
            <w:r>
              <w:rPr>
                <w:sz w:val="19"/>
              </w:rPr>
              <w:t>22.22.2</w:t>
            </w:r>
          </w:p>
        </w:tc>
      </w:tr>
    </w:tbl>
    <w:p/>
    <w:p>
      <w:pPr>
        <w:spacing w:after="40"/>
        <w:pBdr>
          <w:bottom w:val="single" w:sz="6" w:space="1" w:color="C9D2DA"/>
        </w:pBdr>
      </w:pPr>
    </w:p>
    <w:p>
      <w:pPr>
        <w:pStyle w:val="Heading2"/>
      </w:pPr>
      <w:r>
        <w:t>5. Defects Surfaced by Evaluation</w:t>
      </w:r>
    </w:p>
    <w:p>
      <w:r>
        <w:t>Evaluation earned its cost by surfacing four defects that a passing build and a clean type-check did not:</w:t>
      </w:r>
    </w:p>
    <w:p>
      <w:pPr>
        <w:pStyle w:val="ListNumber"/>
        <w:spacing w:after="80"/>
        <w:ind w:left="403"/>
      </w:pPr>
      <w:r>
        <w:rPr>
          <w:b/>
        </w:rPr>
        <w:t>Serverless PDF-parse failure.</w:t>
      </w:r>
      <w:r>
        <w:t xml:space="preserve"> </w:t>
      </w:r>
      <w:r>
        <w:rPr>
          <w:rFonts w:ascii="Consolas" w:hAnsi="Consolas"/>
          <w:color w:val="1F4E79"/>
          <w:sz w:val="19"/>
        </w:rPr>
        <w:t>pdf-parse</w:t>
      </w:r>
      <w:r>
        <w:t xml:space="preserve"> resolves its worker at runtime,</w:t>
      </w:r>
    </w:p>
    <w:p>
      <w:r>
        <w:t xml:space="preserve">so the platform's build-time file tracer omitted it — producing a 500 in production only. Diagnosed by running the traced output in isolation; resolved with </w:t>
      </w:r>
      <w:r>
        <w:rPr>
          <w:rFonts w:ascii="Consolas" w:hAnsi="Consolas"/>
          <w:color w:val="1F4E79"/>
          <w:sz w:val="19"/>
        </w:rPr>
        <w:t>outputFileTracingIncludes</w:t>
      </w:r>
      <w:r>
        <w:t>.</w:t>
      </w:r>
    </w:p>
    <w:p>
      <w:pPr>
        <w:pStyle w:val="ListNumber"/>
        <w:spacing w:after="80"/>
        <w:ind w:left="403"/>
      </w:pPr>
      <w:r>
        <w:rPr>
          <w:b/>
        </w:rPr>
        <w:t>Missing `DOMMatrix` in the serverless runtime.</w:t>
      </w:r>
      <w:r>
        <w:t xml:space="preserve"> </w:t>
      </w:r>
      <w:r>
        <w:rPr>
          <w:rFonts w:ascii="Consolas" w:hAnsi="Consolas"/>
          <w:color w:val="1F4E79"/>
          <w:sz w:val="19"/>
        </w:rPr>
        <w:t>pdfjs-dist</w:t>
      </w:r>
      <w:r>
        <w:t xml:space="preserve"> instantiates</w:t>
      </w:r>
    </w:p>
    <w:p>
      <w:r>
        <w:t>one at module load even for pure text extraction, and the native canvas package it normally sources it from does not survive serverless packaging. Resolved with a dependency-free polyfill.</w:t>
      </w:r>
    </w:p>
    <w:p>
      <w:pPr>
        <w:pStyle w:val="ListNumber"/>
        <w:spacing w:after="80"/>
        <w:ind w:left="403"/>
      </w:pPr>
      <w:r>
        <w:rPr>
          <w:b/>
        </w:rPr>
        <w:t>Invisible hero typography in dark mode.</w:t>
      </w:r>
      <w:r>
        <w:t xml:space="preserve"> </w:t>
      </w:r>
      <w:r>
        <w:rPr>
          <w:rFonts w:ascii="Consolas" w:hAnsi="Consolas"/>
          <w:color w:val="1F4E79"/>
          <w:sz w:val="19"/>
        </w:rPr>
        <w:t>background-clip: text</w:t>
      </w:r>
      <w:r>
        <w:t xml:space="preserve"> cannot</w:t>
      </w:r>
    </w:p>
    <w:p>
      <w:r>
        <w:t xml:space="preserve">clip to glyphs painted by child elements that own compositing layers, and every letter animates </w:t>
      </w:r>
      <w:r>
        <w:rPr>
          <w:rFonts w:ascii="Consolas" w:hAnsi="Consolas"/>
          <w:color w:val="1F4E79"/>
          <w:sz w:val="19"/>
        </w:rPr>
        <w:t>filter</w:t>
      </w:r>
      <w:r>
        <w:t>. Detectable only by rendering the page.</w:t>
      </w:r>
    </w:p>
    <w:p>
      <w:pPr>
        <w:pStyle w:val="ListNumber"/>
        <w:spacing w:after="80"/>
        <w:ind w:left="403"/>
      </w:pPr>
      <w:r>
        <w:rPr>
          <w:b/>
        </w:rPr>
        <w:t>Environment-variable namespace mismatch.</w:t>
      </w:r>
      <w:r>
        <w:t xml:space="preserve"> Production was provisioned with</w:t>
      </w:r>
    </w:p>
    <w:p>
      <w:r>
        <w:rPr>
          <w:rFonts w:ascii="Consolas" w:hAnsi="Consolas"/>
          <w:color w:val="1F4E79"/>
          <w:sz w:val="19"/>
        </w:rPr>
        <w:t>NEXT_PUBLIC_VAPI_KEY</w:t>
      </w:r>
      <w:r>
        <w:t xml:space="preserve"> while the application read </w:t>
      </w:r>
      <w:r>
        <w:rPr>
          <w:rFonts w:ascii="Consolas" w:hAnsi="Consolas"/>
          <w:color w:val="1F4E79"/>
          <w:sz w:val="19"/>
        </w:rPr>
        <w:t>NEXT_PUBLIC_VAPI_PUBLIC_KEY</w:t>
      </w:r>
      <w:r>
        <w:t xml:space="preserve"> — a silent, total failure of the interview screen despite the key being present. Both names now resolve, and </w:t>
      </w:r>
      <w:r>
        <w:rPr>
          <w:rFonts w:ascii="Consolas" w:hAnsi="Consolas"/>
          <w:color w:val="1F4E79"/>
          <w:sz w:val="19"/>
        </w:rPr>
        <w:t>/api/health</w:t>
      </w:r>
      <w:r>
        <w:t xml:space="preserve"> reports which was used.</w:t>
      </w:r>
    </w:p>
    <w:p>
      <w:pPr>
        <w:spacing w:after="40"/>
        <w:pBdr>
          <w:bottom w:val="single" w:sz="6" w:space="1" w:color="C9D2DA"/>
        </w:pBdr>
      </w:pPr>
    </w:p>
    <w:p>
      <w:pPr>
        <w:pStyle w:val="Heading2"/>
      </w:pPr>
      <w:r>
        <w:t>6. Declared Boundaries and Technical Rigor</w:t>
      </w:r>
    </w:p>
    <w:p>
      <w:r>
        <w:t xml:space="preserve">An evaluation section is only as credible as the boundary it declares. The following are </w:t>
      </w:r>
      <w:r>
        <w:rPr>
          <w:b/>
        </w:rPr>
        <w:t>explicitly outside</w:t>
      </w:r>
      <w:r>
        <w:t xml:space="preserve"> the scope of the measurements above:</w:t>
      </w:r>
    </w:p>
    <w:p>
      <w:r>
        <w:rPr>
          <w:b/>
        </w:rPr>
        <w:t>6.1 Scoring quality is not benchmarked against human raters.</w:t>
      </w:r>
      <w:r>
        <w:t xml:space="preserve"> The suite certifies that model output conforms to the rubric schema and renders deterministically. It does </w:t>
      </w:r>
      <w:r>
        <w:rPr>
          <w:b/>
        </w:rPr>
        <w:t>not</w:t>
      </w:r>
      <w:r>
        <w:t xml:space="preserve"> measure agreement between Claude's category scores and expert human interviewer judgement, which would require an inter-rater reliability study over labelled transcripts.</w:t>
      </w:r>
    </w:p>
    <w:p>
      <w:r>
        <w:rPr>
          <w:b/>
        </w:rPr>
        <w:t>6.2 End-to-end voice latency is a property of upstream providers.</w:t>
      </w:r>
      <w:r>
        <w:t xml:space="preserve"> The WebRTC loop (Vapi orchestration, Deepgram transcription, model inference, speech synthesis) is measured across networks and infrastructure outside this repository's control. Voice behaviour was validated interactively; no instrumented latency figure is claimed as a controlled measurement.</w:t>
      </w:r>
    </w:p>
    <w:p>
      <w:r>
        <w:rPr>
          <w:b/>
        </w:rPr>
        <w:t>6.3 Upstream evaluation latency is not reported.</w:t>
      </w:r>
      <w:r>
        <w:t xml:space="preserve"> Every automated run used a deterministic or validation-path response. No timing figure is asserted for the live Claude call, as none was measured under controlled conditions.</w:t>
      </w:r>
    </w:p>
    <w:p>
      <w:r>
        <w:rPr>
          <w:b/>
        </w:rPr>
        <w:t>6.4 Turn-taking behaviour is not tuned or benchmarked.</w:t>
      </w:r>
      <w:r>
        <w:t xml:space="preserve"> Barge-in, endpointing and silence handling are Vapi's platform defaults; this project configures no custom speaking plans or denoising parameters (see §2.2). Microphone control is manual, by candidate action. No claim is made about interruption quality, and no measurement of it is reported.</w:t>
      </w:r>
    </w:p>
    <w:p>
      <w:r>
        <w:rPr>
          <w:b/>
        </w:rPr>
        <w:t>6.5 What the boundary buys.</w:t>
      </w:r>
      <w:r>
        <w:t xml:space="preserve"> Confining automated claims to deterministic logic, schema conformance and system contracts means every figure in §4 is reproducible by a judge on a clean checkout, with no credential, in under a second. Metrics that depend on third-party infrastructure are named as such rather than estimated.</w:t>
      </w:r>
    </w:p>
    <w:p>
      <w:pPr>
        <w:pStyle w:val="Heading3"/>
      </w:pPr>
      <w:r>
        <w:t>6.6 Declared next measurement</w:t>
      </w:r>
    </w:p>
    <w:p>
      <w:r>
        <w:t xml:space="preserve">The natural extension is a </w:t>
      </w:r>
      <w:r>
        <w:rPr>
          <w:b/>
        </w:rPr>
        <w:t>labelled transcript corpus</w:t>
      </w:r>
      <w:r>
        <w:t xml:space="preserve"> — strong, average and weak responses per rubric dimension — asserting </w:t>
      </w:r>
      <w:r>
        <w:rPr>
          <w:b/>
        </w:rPr>
        <w:t>monotonicity</w:t>
      </w:r>
      <w:r>
        <w:t>: a strictly stronger transcript must never receive a lower category score. This converts scoring quality from an assertion into a test, and is the recommended first addition to the harness post-submission.</w:t>
      </w:r>
    </w:p>
    <w:p>
      <w:pPr>
        <w:spacing w:after="40"/>
        <w:pBdr>
          <w:bottom w:val="single" w:sz="6" w:space="1" w:color="C9D2DA"/>
        </w:pBdr>
      </w:pPr>
    </w:p>
    <w:p>
      <w:pPr>
        <w:pStyle w:val="Heading2"/>
      </w:pPr>
      <w:r>
        <w:t>7. Reproduction</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git clone https://github.com/muntherh/forsa-ai-agent</w:t>
            </w:r>
          </w:p>
          <w:p>
            <w:pPr>
              <w:spacing w:after="0" w:line="240" w:lineRule="auto"/>
            </w:pPr>
            <w:r>
              <w:rPr>
                <w:rFonts w:ascii="Consolas" w:hAnsi="Consolas"/>
                <w:sz w:val="18"/>
              </w:rPr>
              <w:t>cd forsa-ai-agent &amp;&amp; npm install</w:t>
            </w:r>
          </w:p>
          <w:p>
            <w:pPr>
              <w:spacing w:after="0" w:line="240" w:lineRule="auto"/>
            </w:pPr>
            <w:r>
              <w:rPr>
                <w:rFonts w:ascii="Consolas" w:hAnsi="Consolas"/>
                <w:sz w:val="18"/>
              </w:rPr>
            </w:r>
          </w:p>
          <w:p>
            <w:pPr>
              <w:spacing w:after="0" w:line="240" w:lineRule="auto"/>
            </w:pPr>
            <w:r>
              <w:rPr>
                <w:rFonts w:ascii="Consolas" w:hAnsi="Consolas"/>
                <w:sz w:val="18"/>
              </w:rPr>
              <w:t>npm run eval              # 15 deterministic cases — no credentials required</w:t>
            </w:r>
          </w:p>
          <w:p>
            <w:pPr>
              <w:spacing w:after="0" w:line="240" w:lineRule="auto"/>
            </w:pPr>
            <w:r>
              <w:rPr>
                <w:rFonts w:ascii="Consolas" w:hAnsi="Consolas"/>
                <w:sz w:val="18"/>
              </w:rPr>
              <w:t>npm run eval -- --live    # all 16 cases — requires a running server</w:t>
            </w:r>
          </w:p>
          <w:p>
            <w:pPr>
              <w:spacing w:after="0" w:line="240" w:lineRule="auto"/>
            </w:pPr>
            <w:r>
              <w:rPr>
                <w:rFonts w:ascii="Consolas" w:hAnsi="Consolas"/>
                <w:sz w:val="18"/>
              </w:rPr>
            </w:r>
          </w:p>
          <w:p>
            <w:pPr>
              <w:spacing w:after="0" w:line="240" w:lineRule="auto"/>
            </w:pPr>
            <w:r>
              <w:rPr>
                <w:rFonts w:ascii="Consolas" w:hAnsi="Consolas"/>
                <w:sz w:val="18"/>
              </w:rPr>
              <w:t>npx tsc --noEmit          # type integrity</w:t>
            </w:r>
          </w:p>
          <w:p>
            <w:pPr>
              <w:spacing w:after="0" w:line="240" w:lineRule="auto"/>
            </w:pPr>
            <w:r>
              <w:rPr>
                <w:rFonts w:ascii="Consolas" w:hAnsi="Consolas"/>
                <w:sz w:val="18"/>
              </w:rPr>
              <w:t>npm run lint              # static analysis</w:t>
            </w:r>
          </w:p>
          <w:p>
            <w:pPr>
              <w:spacing w:after="0" w:line="240" w:lineRule="auto"/>
            </w:pPr>
            <w:r>
              <w:rPr>
                <w:rFonts w:ascii="Consolas" w:hAnsi="Consolas"/>
                <w:sz w:val="18"/>
              </w:rPr>
              <w:t>npm run build             # production build</w:t>
            </w:r>
          </w:p>
        </w:tc>
      </w:tr>
    </w:tbl>
    <w:p/>
    <w:p>
      <w:r>
        <w:t>The harness exits non-zero on any failure and is therefore suitable as a CI gate.</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Light" w:hAnsi="Calibri Light"/>
      <w:b/>
      <w:bCs/>
      <w:color w:val="0B2E4A"/>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Light" w:hAnsi="Calibri Light"/>
      <w:b/>
      <w:bCs/>
      <w:color w:val="0B2E4A"/>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Light" w:hAnsi="Calibri Light"/>
      <w:b/>
      <w:bCs/>
      <w:color w:val="0F6B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