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jc w:val="center"/>
      </w:pPr>
      <w:r>
        <w:rPr>
          <w:rFonts w:ascii="Times New Roman" w:cs="Times New Roman" w:eastAsia="Times New Roman" w:hAnsi="Times New Roman"/>
          <w:b/>
          <w:bCs/>
          <w:caps/>
          <w:sz w:val="28"/>
          <w:szCs w:val="28"/>
        </w:rPr>
        <w:t xml:space="preserve">РОЗДІЛ 1
АНАЛІЗ ПРЕДМЕТНОЇ ОБЛАСТІ</w:t>
      </w:r>
    </w:p>
    <w:p>
      <w:pPr>
        <w:pStyle w:val="Heading2"/>
        <w:spacing w:after="160" w:before="360"/>
        <w:jc w:val="left"/>
      </w:pPr>
      <w:r>
        <w:rPr>
          <w:rFonts w:ascii="Times New Roman" w:cs="Times New Roman" w:eastAsia="Times New Roman" w:hAnsi="Times New Roman"/>
          <w:b/>
          <w:bCs/>
          <w:sz w:val="26"/>
          <w:szCs w:val="26"/>
        </w:rPr>
        <w:t xml:space="preserve">1.1 Поняття ETL та його роль у сучасних інформаційних системах</w:t>
      </w:r>
    </w:p>
    <w:p>
      <w:pPr>
        <w:pStyle w:val="Heading3"/>
        <w:spacing w:after="120" w:before="240"/>
        <w:ind w:firstLine="720"/>
        <w:jc w:val="left"/>
      </w:pPr>
      <w:r>
        <w:rPr>
          <w:rFonts w:ascii="Times New Roman" w:cs="Times New Roman" w:eastAsia="Times New Roman" w:hAnsi="Times New Roman"/>
          <w:b/>
          <w:bCs/>
          <w:i/>
          <w:iCs/>
          <w:sz w:val="24"/>
          <w:szCs w:val="24"/>
        </w:rPr>
        <w:t xml:space="preserve">1.1.1 Визначення ETL: історичний та концептуальний контекст</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Стрімке зростання обсягів корпоративних даних та потреба у їх консолідованому аналізі зумовили появу окремого класу технологічних рішень, що забезпечують переміщення та перетворення інформації між гетерогенними системами. Концепція ETL (Extract, Transform, Load — витягнення, трансформація, завантаження) виникла наприкінці 1970-х — на початку 1980-х років у контексті розвитку корпоративних сховищ даних. Білл Інмон, якого прийнято вважати «батьком сховищ даних», ще у 1992 році визначив ETL як фундаментальний процес, без якого побудова будь-якого аналітичного середовища є неможливою [1]. Подальший розвиток дисципліни пов'язаний із роботами Ральфа Кімбола, який запровадив поняття ETL Toolkit та систематизував патерни проектування конвейєрів інтеграції даних [2].</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 академічній літературі ETL визначається як тристадійний процес, кожна стадія якого виконує чітко окреслену функцію. Стадія Extract (витягнення) передбачає отримання даних із різнорідних зовнішніх джерел: реляційних баз даних, файлів довільних форматів, вебсервісів, систем черг повідомлень та потокових платформ. Принциповою вимогою до цієї стадії є мінімальний вплив на продуктивність систем-джерел, оскільки вони зазвичай є критичними операційними системами [4]. Стадія Transform (трансформація) реалізує якісне перетворення витягнутих даних: їх очищення від артефактів, нормалізацію за цільовою схемою, агрегацію, обчислення похідних атрибутів та збагачення з довідкових систем. Нарешті, стадія Load (завантаження) відповідає за запис перетворених даних у цільове сховище, яким може виступати реляційна база даних, сховище даних (Data Warehouse), озеро даних (Data Lake) або гібридна система [12].</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Принципово важливим є те, що ETL не є просто технологічним процесом, а управлінською дисципліною, що передбачає контроль якості даних, забезпечення їх цілісності та аудитованості трансформацій. Саме цей аспект відрізняє повноцінні ETL-рішення від примітивних скриптів копіювання даних, які, незважаючи на зовнішню схожість, не забезпечують жодних гарантій коректності результату [12].</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Протягом останнього десятиліття поряд із класичним ETL активно поширилась альтернативна парадигма — ELT (Extract, Load, Transform), в якій трансформація відбувається в самій цільовій системі після завантаження необроблених даних. Поява ELT стала можливою завдяки масштабованим хмарним сховищам даних (Amazon Redshift, Google BigQuery, Snowflake, Databricks), здатним виконувати трансформації безпосередньо над сирими даними у колонковому форматі без необхідності у проміжному вузлі обробки [3]. Порівняльну характеристику обох підходів за ключовими критеріями наведено у таблиці 1.1.</w:t>
      </w:r>
    </w:p>
    <w:p>
      <w:pPr>
        <w:spacing w:after="60" w:before="240"/>
        <w:jc w:val="left"/>
      </w:pPr>
      <w:r>
        <w:rPr>
          <w:rFonts w:ascii="Times New Roman" w:cs="Times New Roman" w:eastAsia="Times New Roman" w:hAnsi="Times New Roman"/>
          <w:b/>
          <w:bCs/>
          <w:sz w:val="24"/>
          <w:szCs w:val="24"/>
        </w:rPr>
        <w:t xml:space="preserve">Таблиця 1.1 – Порівняльний аналіз підходів ETL та 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Критерій</w:t>
            </w:r>
          </w:p>
        </w:tc>
        <w:tc>
          <w:tcPr>
            <w:tcW w:type="dxa" w:w="31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ETL (традиційний)</w:t>
            </w:r>
          </w:p>
        </w:tc>
        <w:tc>
          <w:tcPr>
            <w:tcW w:type="dxa" w:w="34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ELT (сучасний)</w:t>
            </w:r>
          </w:p>
        </w:tc>
      </w:tr>
      <w:tr>
        <w:tc>
          <w:tcPr>
            <w:tcW w:type="dxa" w:w="2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Місце трансформації</w:t>
            </w:r>
          </w:p>
        </w:tc>
        <w:tc>
          <w:tcPr>
            <w:tcW w:type="dxa" w:w="3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Окремий сервер до завантаження</w:t>
            </w:r>
          </w:p>
        </w:tc>
        <w:tc>
          <w:tcPr>
            <w:tcW w:type="dxa" w:w="3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 цільовому сховищі після завантаження</w:t>
            </w:r>
          </w:p>
        </w:tc>
      </w:tr>
      <w:tr>
        <w:tc>
          <w:tcPr>
            <w:tcW w:type="dxa" w:w="2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Стратегія схеми</w:t>
            </w:r>
          </w:p>
        </w:tc>
        <w:tc>
          <w:tcPr>
            <w:tcW w:type="dxa" w:w="3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Schema-on-write (жорстка)</w:t>
            </w:r>
          </w:p>
        </w:tc>
        <w:tc>
          <w:tcPr>
            <w:tcW w:type="dxa" w:w="3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Schema-on-read (гнучка)</w:t>
            </w:r>
          </w:p>
        </w:tc>
      </w:tr>
      <w:tr>
        <w:tc>
          <w:tcPr>
            <w:tcW w:type="dxa" w:w="2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Масштабованість</w:t>
            </w:r>
          </w:p>
        </w:tc>
        <w:tc>
          <w:tcPr>
            <w:tcW w:type="dxa" w:w="3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Обмежена потужністю ETL-вузла</w:t>
            </w:r>
          </w:p>
        </w:tc>
        <w:tc>
          <w:tcPr>
            <w:tcW w:type="dxa" w:w="3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Горизонтальна, хмарна</w:t>
            </w:r>
          </w:p>
        </w:tc>
      </w:tr>
      <w:tr>
        <w:tc>
          <w:tcPr>
            <w:tcW w:type="dxa" w:w="2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Час до першого результату</w:t>
            </w:r>
          </w:p>
        </w:tc>
        <w:tc>
          <w:tcPr>
            <w:tcW w:type="dxa" w:w="3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Довший — трансформація блокує</w:t>
            </w:r>
          </w:p>
        </w:tc>
        <w:tc>
          <w:tcPr>
            <w:tcW w:type="dxa" w:w="3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Коротший — raw-дані доступні одразу</w:t>
            </w:r>
          </w:p>
        </w:tc>
      </w:tr>
      <w:tr>
        <w:tc>
          <w:tcPr>
            <w:tcW w:type="dxa" w:w="2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Зберігання проміжних даних</w:t>
            </w:r>
          </w:p>
        </w:tc>
        <w:tc>
          <w:tcPr>
            <w:tcW w:type="dxa" w:w="3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Тимчасово, зазвичай не зберігається</w:t>
            </w:r>
          </w:p>
        </w:tc>
        <w:tc>
          <w:tcPr>
            <w:tcW w:type="dxa" w:w="3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Постійно, у Bronze-шарі</w:t>
            </w:r>
          </w:p>
        </w:tc>
      </w:tr>
      <w:tr>
        <w:tc>
          <w:tcPr>
            <w:tcW w:type="dxa" w:w="2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Вартість обчислень</w:t>
            </w:r>
          </w:p>
        </w:tc>
        <w:tc>
          <w:tcPr>
            <w:tcW w:type="dxa" w:w="3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Фіксована, власна інфраструктура</w:t>
            </w:r>
          </w:p>
        </w:tc>
        <w:tc>
          <w:tcPr>
            <w:tcW w:type="dxa" w:w="3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Еластична, pay-per-use</w:t>
            </w:r>
          </w:p>
        </w:tc>
      </w:tr>
      <w:tr>
        <w:tc>
          <w:tcPr>
            <w:tcW w:type="dxa" w:w="2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Підтримка Big Data</w:t>
            </w:r>
          </w:p>
        </w:tc>
        <w:tc>
          <w:tcPr>
            <w:tcW w:type="dxa" w:w="3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Обмежена</w:t>
            </w:r>
          </w:p>
        </w:tc>
        <w:tc>
          <w:tcPr>
            <w:tcW w:type="dxa" w:w="3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Нативна (Spark, BigQuery)</w:t>
            </w:r>
          </w:p>
        </w:tc>
      </w:tr>
      <w:tr>
        <w:tc>
          <w:tcPr>
            <w:tcW w:type="dxa" w:w="2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Типові інструменти</w:t>
            </w:r>
          </w:p>
        </w:tc>
        <w:tc>
          <w:tcPr>
            <w:tcW w:type="dxa" w:w="3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SSIS, Informatica, Pentaho</w:t>
            </w:r>
          </w:p>
        </w:tc>
        <w:tc>
          <w:tcPr>
            <w:tcW w:type="dxa" w:w="3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dbt, Spark, Databricks, Snowflake</w:t>
            </w:r>
          </w:p>
        </w:tc>
      </w:tr>
      <w:tr>
        <w:tc>
          <w:tcPr>
            <w:tcW w:type="dxa" w:w="28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Аудитованість raw-даних</w:t>
            </w:r>
          </w:p>
        </w:tc>
        <w:tc>
          <w:tcPr>
            <w:tcW w:type="dxa" w:w="3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Ускладнена (дані трансформовані)</w:t>
            </w:r>
          </w:p>
        </w:tc>
        <w:tc>
          <w:tcPr>
            <w:tcW w:type="dxa" w:w="3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Повна (Bronze незмінний)</w:t>
            </w:r>
          </w:p>
        </w:tc>
      </w:tr>
    </w:tbl>
    <w:p>
      <w:pPr>
        <w:spacing w:after="0" w:before="0" w:line="240" w:lineRule="auto"/>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Аналіз даних таблиці 1.1 свідчить про те, що ELT-підхід надає суттєві переваги в контексті хмарних і великомасштабних систем, тоді як класичний ETL залишається більш прийнятним у середовищах з жорсткими вимогами до конфіденційності та регуляторного контролю даних до їх завантаження у сховище. Вибір між підходами не є бінарним: сучасні архітектури часто поєднують обидві парадигми, реалізуючи окремі елементи трансформації як до, так і після завантаження.</w:t>
      </w:r>
    </w:p>
    <w:p>
      <w:pPr>
        <w:pStyle w:val="Heading3"/>
        <w:spacing w:after="120" w:before="240"/>
        <w:ind w:firstLine="720"/>
        <w:jc w:val="left"/>
      </w:pPr>
      <w:r>
        <w:rPr>
          <w:rFonts w:ascii="Times New Roman" w:cs="Times New Roman" w:eastAsia="Times New Roman" w:hAnsi="Times New Roman"/>
          <w:b/>
          <w:bCs/>
          <w:i/>
          <w:iCs/>
          <w:sz w:val="24"/>
          <w:szCs w:val="24"/>
        </w:rPr>
        <w:t xml:space="preserve">1.1.2 Місце ETL у корпоративній архітектурі даних</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Розгляд ETL у відриві від архітектурного контексту, в якому він функціонує, є методологічно некоректним, оскільки конкретна реалізація конвейєра інтеграції даних визначається загальною стратегією управління даними (Data Governance) організації. У класичній двохшаровій моделі, описаній Кімболом [5], ETL-шар є єдиним медіатором між операційними системами (OLTP) та аналітичним сховищем (OLAP): жодний запит до аналітичних даних не обходить ETL, що забезпечує централізований контроль якості.</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Сучасна корпоративна платформа даних є суттєво складнішою. Концепція Data Mesh, запропонована Замак Дегані [6], децентралізує відповідальність за дані та ETL-процеси між доменними командами, розглядаючи дані як продукт (data-as-a-product). Lambda Architecture [7] вводить паралельне існування пакетного (batch) та потокового (speed) шарів обробки, кожен із яких потребує власних механізмів інтеграції. За даними аналітичної компанії Gartner [8], станом на 2023 рік понад 85% підприємств, що впровадили хмарні аналітичні платформи, використовують якусь форму конвейєра інтеграції даних, при цьому частка гібридних ETL/ELT підходів невпинно зростає.</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ETL-конвейєр у загальній архітектурі корпоративної платформи даних виконує такі системні функції. По-перше, він є єдиною точкою входу для зовнішніх даних, що дозволяє застосовувати єдину політику безпеки та контролю якості. По-друге, він забезпечує декупліювання операційних систем від аналітичних: зміна схеми в джерелі впливає лише на відповідний конвейєр, але не на всі споживачі аналітичних даних. По-третє, він формує аудиторський слід (audit trail), що є обов'язковою вимогою у регуляторних контекстах (GDPR, HIPAA, SOX) [4]. Схему архітектурного розташування ETL у корпоративній платформі даних представлено на рисунку 1.1.</w:t>
      </w:r>
    </w:p>
    <w:p>
      <w:pPr>
        <w:spacing w:after="60" w:before="200"/>
        <w:jc w:val="center"/>
      </w:pPr>
      <w:r>
        <w:rPr>
          <w:rFonts w:ascii="Times New Roman" w:cs="Times New Roman" w:eastAsia="Times New Roman" w:hAnsi="Times New Roman"/>
          <w:color w:val="777777"/>
          <w:sz w:val="20"/>
          <w:szCs w:val="20"/>
        </w:rPr>
        <w:t xml:space="preserve">[МІСЦЕ ДЛЯ РИСУНКУ 1.1. Архітектурне місце ETL-конвейєра у корпоративній платформі даних: від операційних джерел через ETL-шар до аналітичного сховища та BI-інструментів]</w:t>
      </w:r>
    </w:p>
    <w:p>
      <w:pPr>
        <w:spacing w:after="240" w:before="40"/>
        <w:jc w:val="center"/>
      </w:pPr>
      <w:r>
        <w:rPr>
          <w:rFonts w:ascii="Times New Roman" w:cs="Times New Roman" w:eastAsia="Times New Roman" w:hAnsi="Times New Roman"/>
          <w:i/>
          <w:iCs/>
          <w:sz w:val="24"/>
          <w:szCs w:val="24"/>
        </w:rPr>
        <w:t xml:space="preserve">Рисунок 1.1 – Архітектурне розташування ETL-конвейєра у корпоративній платформі даних</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Необхідно відзначити, що у дослідницькій літературі остання декада ознаменувалась активною дискусією щодо концепції Lakehouse [17] — архітектурного підходу, що прагне поєднати масштабованість та гнучкість озера даних із транзакційними гарантіями та продуктивністю сховища даних. У Lakehouse-архітектурі ETL-конвейєр набуває нової ролі, перетворюючись на менеджер переходів між рівнями якості даних, що організовані відповідно до медальйонного принципу. Ця ідея є центральною для теоретичного обґрунтування розроблюваної системи.</w:t>
      </w:r>
    </w:p>
    <w:p>
      <w:pPr>
        <w:pStyle w:val="Heading3"/>
        <w:spacing w:after="120" w:before="240"/>
        <w:ind w:firstLine="720"/>
        <w:jc w:val="left"/>
      </w:pPr>
      <w:r>
        <w:rPr>
          <w:rFonts w:ascii="Times New Roman" w:cs="Times New Roman" w:eastAsia="Times New Roman" w:hAnsi="Times New Roman"/>
          <w:b/>
          <w:bCs/>
          <w:i/>
          <w:iCs/>
          <w:sz w:val="24"/>
          <w:szCs w:val="24"/>
        </w:rPr>
        <w:t xml:space="preserve">1.1.3 Проблематика якості та цілісності даних у ETL-контексті</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Якість даних є, мабуть, найбільш критичним і водночас найменш формалізованим аспектом ETL-систем. Дослідження IBM [11] встановлює, що неякісні дані щорічно спричиняють збитки американській економіці в розмірі приблизно 3,1 трлн доларів. На рівні окремої організації наслідки неякісних даних включають хибні управлінські рішення, збої у звітності та регуляторні порушення.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Фундаментальну класифікацію вимірів якості даних запропонували Батіні та Сканнап'єко [10], виокремивши шість ключових вимірів: повноту, унікальність, своєчасність, відповідність, точність та узгодженість. Кожен із цих вимірів має специфічні прояви у контексті ETL-конвейєрів, що систематизовано у таблиці 1.2.</w:t>
      </w:r>
    </w:p>
    <w:p>
      <w:pPr>
        <w:spacing w:after="60" w:before="240"/>
        <w:jc w:val="left"/>
      </w:pPr>
      <w:r>
        <w:rPr>
          <w:rFonts w:ascii="Times New Roman" w:cs="Times New Roman" w:eastAsia="Times New Roman" w:hAnsi="Times New Roman"/>
          <w:b/>
          <w:bCs/>
          <w:sz w:val="24"/>
          <w:szCs w:val="24"/>
        </w:rPr>
        <w:t xml:space="preserve">Таблиця 1.2 – Виміри якості даних та їх прояви у ETL-системах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660"/>
      </w:tblGrid>
      <w:tr>
        <w:trPr>
          <w:tblHeader/>
        </w:trPr>
        <w:tc>
          <w:tcPr>
            <w:tcW w:type="dxa" w:w="17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Вимір якості</w:t>
            </w:r>
          </w:p>
        </w:tc>
        <w:tc>
          <w:tcPr>
            <w:tcW w:type="dxa" w:w="20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Визначення</w:t>
            </w:r>
          </w:p>
        </w:tc>
        <w:tc>
          <w:tcPr>
            <w:tcW w:type="dxa" w:w="56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Типові порушення у ETL-контексті</w:t>
            </w:r>
          </w:p>
        </w:tc>
      </w:tr>
      <w:tr>
        <w:tc>
          <w:tcPr>
            <w:tcW w:type="dxa" w:w="17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Повнота (Completeness)</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Наявність усіх необхідних значень</w:t>
            </w:r>
          </w:p>
        </w:tc>
        <w:tc>
          <w:tcPr>
            <w:tcW w:type="dxa" w:w="56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NULL у обов'язкових полях; відсутні записи після фільтрації; неповне витягнення з джерела</w:t>
            </w:r>
          </w:p>
        </w:tc>
      </w:tr>
      <w:tr>
        <w:tc>
          <w:tcPr>
            <w:tcW w:type="dxa" w:w="17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Унікальність (Uniqueness)</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Відсутність дублюючих записів</w:t>
            </w:r>
          </w:p>
        </w:tc>
        <w:tc>
          <w:tcPr>
            <w:tcW w:type="dxa" w:w="56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Повторний запуск конвейєра без ідемпотентності; дублювання при об'єднанні джерел</w:t>
            </w:r>
          </w:p>
        </w:tc>
      </w:tr>
      <w:tr>
        <w:tc>
          <w:tcPr>
            <w:tcW w:type="dxa" w:w="17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Своєчасність (Timeliness)</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Актуальність даних щодо часового контексту</w:t>
            </w:r>
          </w:p>
        </w:tc>
        <w:tc>
          <w:tcPr>
            <w:tcW w:type="dxa" w:w="56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Затримки між джерелом і сховищем; використання застарілих snapshot-даних</w:t>
            </w:r>
          </w:p>
        </w:tc>
      </w:tr>
      <w:tr>
        <w:tc>
          <w:tcPr>
            <w:tcW w:type="dxa" w:w="17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Відповідність (Validity)</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Відповідність значень визначеному формату/діапазону</w:t>
            </w:r>
          </w:p>
        </w:tc>
        <w:tc>
          <w:tcPr>
            <w:tcW w:type="dxa" w:w="56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Некоректні дати; від'ємні суми; значення поза допустимим доменом</w:t>
            </w:r>
          </w:p>
        </w:tc>
      </w:tr>
      <w:tr>
        <w:tc>
          <w:tcPr>
            <w:tcW w:type="dxa" w:w="17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Точність (Accuracy)</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Відповідність даних реальному стану об'єкта</w:t>
            </w:r>
          </w:p>
        </w:tc>
        <w:tc>
          <w:tcPr>
            <w:tcW w:type="dxa" w:w="56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Помилки при трансформації; некоректне агрегування; збої кодування</w:t>
            </w:r>
          </w:p>
        </w:tc>
      </w:tr>
      <w:tr>
        <w:tc>
          <w:tcPr>
            <w:tcW w:type="dxa" w:w="17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Узгодженість (Consistency)</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Відсутність суперечностей між пов'язаними наборами</w:t>
            </w:r>
          </w:p>
        </w:tc>
        <w:tc>
          <w:tcPr>
            <w:tcW w:type="dxa" w:w="56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Розбіжність між рівнями Bronze/Silver/Gold; неузгоджені довідники</w:t>
            </w:r>
          </w:p>
        </w:tc>
      </w:tr>
    </w:tbl>
    <w:p>
      <w:pPr>
        <w:spacing w:after="0" w:before="0" w:line="240" w:lineRule="auto"/>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Аналіз типів порушень, представлених у таблиці 1.2, виявляє важливу закономірність: більшість проблем якості є системними за природою, тобто вони не виникають випадково, а є наслідком структурних вад у архітектурі конвейєра або процесах управління даними. Зокрема, проблема дублювання записів при повторному запуску конвейєра є прямим наслідком відсутності ідемпотентності — властивості, що має бути закладена на рівні архітектурного рішення, а не виправлятися постфактум [12].</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Ефективна стратегія контролю якості в ETL-системах базується на принципі «fail fast»: дефектні записи мають виявлятися та ізолюватися якомога раніше в ланцюжку обробки. Це мінімізує витрати на виправлення та запобігає «поширенню» помилок у нижні шари. Реалізація цього принципу вимагає вбудованих засобів валідації на кожному рівні конвейєра — концепція, що є основоположною для медальйонної архітектури [13].</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Окремої уваги заслуговує проблема цілісності даних при збоях: якщо конвейєр завершується аварійно на стадії завантаження, цільове сховище може опинитися у неузгодженому стані — частково оновленому. Традиційним вирішенням є атомарні транзакції, проте у розподілених системах та озерах даних, що не підтримують ACID-семантику, ця проблема потребує архітектурних рішень більш складного рівня, зокрема підходу Copy-on-Write, реалізованого у Delta Lake [3].</w:t>
      </w:r>
    </w:p>
    <w:p>
      <w:pPr>
        <w:pStyle w:val="Heading2"/>
        <w:spacing w:after="160" w:before="360"/>
        <w:jc w:val="left"/>
      </w:pPr>
      <w:r>
        <w:rPr>
          <w:rFonts w:ascii="Times New Roman" w:cs="Times New Roman" w:eastAsia="Times New Roman" w:hAnsi="Times New Roman"/>
          <w:b/>
          <w:bCs/>
          <w:sz w:val="26"/>
          <w:szCs w:val="26"/>
        </w:rPr>
        <w:t xml:space="preserve">1.2 Медальйонна архітектура (Medallion Architecture)</w:t>
      </w:r>
    </w:p>
    <w:p>
      <w:pPr>
        <w:pStyle w:val="Heading3"/>
        <w:spacing w:after="120" w:before="240"/>
        <w:ind w:firstLine="720"/>
        <w:jc w:val="left"/>
      </w:pPr>
      <w:r>
        <w:rPr>
          <w:rFonts w:ascii="Times New Roman" w:cs="Times New Roman" w:eastAsia="Times New Roman" w:hAnsi="Times New Roman"/>
          <w:b/>
          <w:bCs/>
          <w:i/>
          <w:iCs/>
          <w:sz w:val="24"/>
          <w:szCs w:val="24"/>
        </w:rPr>
        <w:t xml:space="preserve">1.2.1 Концепція рівнів Bronze / Silver / Gold: теоретичне підґрунтя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Медальйонна архітектура (Medallion Architecture, Multi-Hop Architecture) являє собою структурний патерн організації даних у сховищі, за яким дані проходять крізь послідовність логічних рівнів (шарів), кожен з яких характеризується вищим ступенем якості, узгодженості та бізнес-готовності порівняно з попереднім. Концепцію систематизувала та активно просуває компанія Databricks у рамках розвитку своєї платформи Delta Lake та загальної Lakehouse-парадигми [13, 17]. Метафора медалей (бронза → срібло → золото) відображає ідею прогресивного підвищення цінності даних у міру їхньої обробки.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Теоретичне підґрунтя медальйонної архітектури спирається на кілька фундаментальних принципів. Принцип незмінності (Immutability): дані Bronze-рівня зберігаються у тому вигляді, в якому вони надійшли з джерела, без жодних модифікацій — навіть за наявності очевидних помилок. Цей принцип безпосередньо пов'язаний із концепцією «єдиного джерела правди» і забезпечує можливість повного відтворення будь-якого наступного кроку обробки без повернення до оригінальних систем-джерел [4]. Принцип ізоляції шарів (Layer Isolation): кожен рівень є незалежно адресованим і доступним; зміна логіки трансформації на переході Bronze→Silver не потребує перезавантаження Bronze-даних. Принцип поступового очищення (Progressive Refinement): кожен перехід між рівнями додає конкретну і вимірювану цінність — від сирого зберігання через очищення до бізнес-агрегації.</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Детальну характеристику кожного рівня медальйонної архітектури, включаючи типові трансформації та споживачів даних, наведено у таблиці 1.3.</w:t>
      </w:r>
    </w:p>
    <w:p>
      <w:pPr>
        <w:spacing w:after="60" w:before="240"/>
        <w:jc w:val="left"/>
      </w:pPr>
      <w:r>
        <w:rPr>
          <w:rFonts w:ascii="Times New Roman" w:cs="Times New Roman" w:eastAsia="Times New Roman" w:hAnsi="Times New Roman"/>
          <w:b/>
          <w:bCs/>
          <w:sz w:val="24"/>
          <w:szCs w:val="24"/>
        </w:rPr>
        <w:t xml:space="preserve">Таблиця 1.3 – Характеристика рівнів медальйонної архітектури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100"/>
        <w:gridCol w:w="2000"/>
        <w:gridCol w:w="2260"/>
      </w:tblGrid>
      <w:tr>
        <w:trPr>
          <w:tblHeader/>
        </w:trPr>
        <w:tc>
          <w:tcPr>
            <w:tcW w:type="dxa" w:w="13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Рівень</w:t>
            </w:r>
          </w:p>
        </w:tc>
        <w:tc>
          <w:tcPr>
            <w:tcW w:type="dxa" w:w="17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Назва</w:t>
            </w:r>
          </w:p>
        </w:tc>
        <w:tc>
          <w:tcPr>
            <w:tcW w:type="dxa" w:w="21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Характеристика даних</w:t>
            </w:r>
          </w:p>
        </w:tc>
        <w:tc>
          <w:tcPr>
            <w:tcW w:type="dxa" w:w="20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Трансформації</w:t>
            </w:r>
          </w:p>
        </w:tc>
        <w:tc>
          <w:tcPr>
            <w:tcW w:type="dxa" w:w="22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Споживачі</w:t>
            </w:r>
          </w:p>
        </w:tc>
      </w:tr>
      <w:tr>
        <w:tc>
          <w:tcPr>
            <w:tcW w:type="dxa" w:w="13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Bronze</w:t>
            </w:r>
          </w:p>
        </w:tc>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Raw / Сирий шар</w:t>
            </w:r>
          </w:p>
        </w:tc>
        <w:tc>
          <w:tcPr>
            <w:tcW w:type="dxa" w:w="2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Незмінні вихідні дані у форматі джерела</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Мінімальні: партиціонування, метадані завантаження</w:t>
            </w:r>
          </w:p>
        </w:tc>
        <w:tc>
          <w:tcPr>
            <w:tcW w:type="dxa" w:w="22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Data Engineering команди, аудит, відтворення</w:t>
            </w:r>
          </w:p>
        </w:tc>
      </w:tr>
      <w:tr>
        <w:tc>
          <w:tcPr>
            <w:tcW w:type="dxa" w:w="13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Silver</w:t>
            </w:r>
          </w:p>
        </w:tc>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Cleansed / Очищений шар</w:t>
            </w:r>
          </w:p>
        </w:tc>
        <w:tc>
          <w:tcPr>
            <w:tcW w:type="dxa" w:w="2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Валідовані, нормалізовані, дедупліковані дані</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Очищення, уніфікація схеми, збагачення метаданими</w:t>
            </w:r>
          </w:p>
        </w:tc>
        <w:tc>
          <w:tcPr>
            <w:tcW w:type="dxa" w:w="22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Аналітики, ML-інженери, API-сервіси</w:t>
            </w:r>
          </w:p>
        </w:tc>
      </w:tr>
      <w:tr>
        <w:tc>
          <w:tcPr>
            <w:tcW w:type="dxa" w:w="13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0"/>
                <w:szCs w:val="20"/>
              </w:rPr>
              <w:t xml:space="preserve">Gold</w:t>
            </w:r>
          </w:p>
        </w:tc>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Curated / Бізнес-шар</w:t>
            </w:r>
          </w:p>
        </w:tc>
        <w:tc>
          <w:tcPr>
            <w:tcW w:type="dxa" w:w="2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Агреговані, предметно-орієнтовані дані</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Бізнес-агрегація, розрахунок KPI, денормалізація</w:t>
            </w:r>
          </w:p>
        </w:tc>
        <w:tc>
          <w:tcPr>
            <w:tcW w:type="dxa" w:w="22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BI-аналітики, менеджери, клієнти дашбордів</w:t>
            </w:r>
          </w:p>
        </w:tc>
      </w:tr>
    </w:tbl>
    <w:p>
      <w:pPr>
        <w:spacing w:after="0" w:before="0" w:line="240" w:lineRule="auto"/>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Bronze-рівень є «точкою правди» щодо того, які саме дані надійшли з джерела і в який момент часу. Для забезпечення повної відтворюваності рекомендується зберігати разом із даними метадані завантаження: ідентифікатор джерела, часову мітку витягнення, версію конфігурації конвейєра та контрольну суму файлу (якщо дані надходять у файловому форматі) [14]. Відсутність будь-яких трансформацій на Bronze-рівні є принципово важливою: навіть таке, здавалось б, нешкідливе перетворення, як нормалізація кодування рядків, змінює вихідні дані і може, за певних обставин, приховати дефекти джерела.</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Silver-рівень реалізує основну трансформаційну логіку конвейєра. Тут виконуються найбільш ресурсомісткі операції: дедуплікація записів (яка може потребувати зіставлення з усіма раніше завантаженими даними), нормалізація форматів (дат, телефонів, адрес), розв'язання конфліктів між джерелами. Дані Silver-рівня є придатними для аналітичного використання, але мають «технічний» характер — вони не відповідають безпосередньо жодній бізнес-концепції та потребують подальшої агрегації [15].</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Gold-рівень містить дані у формі, безпосередньо зрозумілій бізнес-користувачам. Тут реалізується денормалізована схема «зірки» або «сніжинки» у розумінні Кімбола [5], а також розраховуються ключові показники ефективності (KPI). Принциповим є те, що Gold-рівень не є єдиним: в одній системі може існувати кілька Gold-сховищ, орієнтованих на різні бізнес-домени або типи звітності. Схему потоку даних між рівнями медальйонної архітектури проілюстровано на рисунку 1.2.</w:t>
      </w:r>
    </w:p>
    <w:p>
      <w:pPr>
        <w:spacing w:after="60" w:before="200"/>
        <w:jc w:val="center"/>
      </w:pPr>
      <w:r>
        <w:rPr>
          <w:rFonts w:ascii="Times New Roman" w:cs="Times New Roman" w:eastAsia="Times New Roman" w:hAnsi="Times New Roman"/>
          <w:color w:val="777777"/>
          <w:sz w:val="20"/>
          <w:szCs w:val="20"/>
        </w:rPr>
        <w:t xml:space="preserve">[МІСЦЕ ДЛЯ РИСУНКУ 1.2. Потік даних у медальйонній архітектурі: Bronze (сирі дані) → Silver (очищені) → Gold (бізнес-готові), з вказівкою типів трансформацій та споживачів на кожному рівні]</w:t>
      </w:r>
    </w:p>
    <w:p>
      <w:pPr>
        <w:spacing w:after="240" w:before="40"/>
        <w:jc w:val="center"/>
      </w:pPr>
      <w:r>
        <w:rPr>
          <w:rFonts w:ascii="Times New Roman" w:cs="Times New Roman" w:eastAsia="Times New Roman" w:hAnsi="Times New Roman"/>
          <w:i/>
          <w:iCs/>
          <w:sz w:val="24"/>
          <w:szCs w:val="24"/>
        </w:rPr>
        <w:t xml:space="preserve">Рисунок 1.2 – Схема потоку даних у медальйонній архітектурі (Bronze → Silver → Gold)</w:t>
      </w:r>
    </w:p>
    <w:p>
      <w:pPr>
        <w:pStyle w:val="Heading3"/>
        <w:spacing w:after="120" w:before="240"/>
        <w:ind w:firstLine="720"/>
        <w:jc w:val="left"/>
      </w:pPr>
      <w:r>
        <w:rPr>
          <w:rFonts w:ascii="Times New Roman" w:cs="Times New Roman" w:eastAsia="Times New Roman" w:hAnsi="Times New Roman"/>
          <w:b/>
          <w:bCs/>
          <w:i/>
          <w:iCs/>
          <w:sz w:val="24"/>
          <w:szCs w:val="24"/>
        </w:rPr>
        <w:t xml:space="preserve">1.2.2 Переваги медальйонної архітектури над традиційними підходами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Порівняльний аналіз медальйонної архітектури з монолітними ETL-підходами виявляє суттєві якісні відмінності, що обґрунтовують її поступове домінування у сучасних аналітичних системах. Першою і найбільш значущою перевагою є повна відтворюваність результатів обробки. У традиційних ETL-системах, де трансформація та завантаження відбуваються в єдиному неподільному процесі без збереження проміжних станів, виявлення помилки в логіці трансформації вимагає повного перезапуску конвейєра від джерела. У медальйонній архітектурі наявність незмінного Bronze-шару дозволяє відтворити будь-яку Silver або Gold трансформацію без повторного звернення до джерела — навіть якщо джерело вже недоступне або його дані змінились [13].</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Другою перевагою є організаційна гнучкість, зумовлена ізоляцією шарів. Різні команди можуть незалежно та паралельно споживати дані різних рівнів: Data Engineering оновлює Silver-логіку, тоді як Business Intelligence команда продовжує будувати звіти на поточній версії Gold. Ця властивість суттєво скорочує час виходу нових аналітичних продуктів на ринок та зменшує кількість залежностей між командами [6]. У традиційних монолітних підходах будь-яка зміна в конвейєрі потенційно впливає на всіх споживачів.</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Третьою перевагою є покращена спостережуваність та діагностованість. Оскільки кожен рівень є незалежним, порівняння якісних метрик між Bronze і Silver дозволяє точно встановити, які записи були відхилені і чому. Це перетворює якість даних із суб'єктивного поняття на кількісну характеристику, що вимірюється та відстежується в динаміці [16]. У Beyer та ін. [16] цю властивість описують як ключовий атрибут надійних виробничих систем.</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Четвертою перевагою є природна підтримка інкрементного завантаження. Медальйонна архітектура органічно поєднується з концепцією Change Data Capture (CDC), де нові записи лише додаються до Bronze-шару (append-only), а Silver і Gold оновлюються лише щодо змінених даних. Це суттєво скорочує час виконання конвейєра та зменшує навантаження на джерела [4].</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Водночас необхідно чесно визнати обмеження та виклики медальйонної архітектури. По-перше, вона потребує значно більшого обсягу дискового простору, оскільки одні й ті самі дані зберігаються у кількох версіях на різних рівнях. По-друге, зростає загальна складність системи та кількість кроків, що потребують моніторингу. По-третє, управління змінами схеми (schema evolution) ускладнюється: зміна схеми у джерелі може вимагати міграції даних одразу на кількох рівнях. Ці виклики відомі у дослідницькій спільноті [19] і потребують свідомого архітектурного вирішення.</w:t>
      </w:r>
    </w:p>
    <w:p>
      <w:pPr>
        <w:pStyle w:val="Heading3"/>
        <w:spacing w:after="120" w:before="240"/>
        <w:ind w:firstLine="720"/>
        <w:jc w:val="left"/>
      </w:pPr>
      <w:r>
        <w:rPr>
          <w:rFonts w:ascii="Times New Roman" w:cs="Times New Roman" w:eastAsia="Times New Roman" w:hAnsi="Times New Roman"/>
          <w:b/>
          <w:bCs/>
          <w:i/>
          <w:iCs/>
          <w:sz w:val="24"/>
          <w:szCs w:val="24"/>
        </w:rPr>
        <w:t xml:space="preserve">1.2.3 Застосування медальйонної архітектури у реальних системах</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Медальйонна архітектура пройшла шлях від теоретичної концепції до фактичного галузевого стандарту для побудови аналітичних платформ enterprise-класу. Компанія Databricks, яка є найбільшим популяризатором концепції, побудувала навколо неї свою Lakehouse Platform, де медальйонний підхід поєднується із Delta Lake — форматом зберігання, що надає ACID-транзакції, версіонування та підтримку Time Travel для файлового сховища [3]. Технічна реалізація у Delta Lake забезпечує можливість виконання запитів щодо будь-якої попередньої версії даних на будь-якому рівні, що є критично важливим для аудиту та відтворення результатів.</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Microsoft Azure реалізує медальйонну архітектуру у межах Azure Synapse Analytics та Azure Data Lake Storage Gen2, де тришарова організація зон (Raw Zone, Enriched Zone, Curated Zone) є офіційно рекомендованим патерном для корпоративних аналітичних рішень [18]. Azure Data Factory забезпечує оркестрацію конвейєрів між рівнями, тоді як Azure Databricks використовується для виконання складних трансформацій на Spark.</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Amazon Web Services просуває аналогічну концепцію у рамках AWS Lake Formation, де рівні організації даних мають назви Raw, Cleaned та Presentation. Google Cloud реалізує подібний підхід у своєму сервісі Dataplex, що забезпечує управління рівнями якості даних у Google Cloud Storage та BigQuery.</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Варто зазначити, що медальйонна архітектура не є жорстким стандартом, а адаптивним патерном. Дослідження [19] зафіксували, що реальні промислові реалізації суттєво варіюються за кількістю рівнів (від двох до п'яти), найменуванням та семантикою кожного шару, а також стратегією керування метаданими. Ця гнучкість є перевагою, оскільки дозволяє адаптувати патерн до специфіки конкретного домену, але водночас вимагає чіткого документування прийнятих рішень.</w:t>
      </w:r>
    </w:p>
    <w:p>
      <w:pPr>
        <w:pStyle w:val="Heading2"/>
        <w:spacing w:after="160" w:before="360"/>
        <w:jc w:val="left"/>
      </w:pPr>
      <w:r>
        <w:rPr>
          <w:rFonts w:ascii="Times New Roman" w:cs="Times New Roman" w:eastAsia="Times New Roman" w:hAnsi="Times New Roman"/>
          <w:b/>
          <w:bCs/>
          <w:sz w:val="26"/>
          <w:szCs w:val="26"/>
        </w:rPr>
        <w:t xml:space="preserve">1.3 Аналіз існуючих рішень для побудови ETL-конвейєрів</w:t>
      </w:r>
    </w:p>
    <w:p>
      <w:pPr>
        <w:pStyle w:val="Heading3"/>
        <w:spacing w:after="120" w:before="240"/>
        <w:ind w:firstLine="720"/>
        <w:jc w:val="left"/>
      </w:pPr>
      <w:r>
        <w:rPr>
          <w:rFonts w:ascii="Times New Roman" w:cs="Times New Roman" w:eastAsia="Times New Roman" w:hAnsi="Times New Roman"/>
          <w:b/>
          <w:bCs/>
          <w:i/>
          <w:iCs/>
          <w:sz w:val="24"/>
          <w:szCs w:val="24"/>
        </w:rPr>
        <w:t xml:space="preserve">1.3.1 Класифікація інструментів ETL та методологія огляду</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Перш ніж переходити до огляду конкретних інструментів, необхідно окреслити методологію порівняльного аналізу. Ринок інструментів для побудови ETL-конвейєрів є надзвичайно різноманітним: аналітична компанія Forrester Research у своєму звіті [20] виокремлює понад 30 значущих гравців лише у категорії хмарних конвейєрів даних. Для забезпечення зіставності огляду обрано критерії, що є найбільш релевантними з точки зору вимог розроблюваної системи: відкритість вихідного коду, нативна підтримка медальйонної архітектури, можливість локального розгортання, наявність вбудованих механізмів валідації якості даних, засоби моніторингу та хмарна незалежність.</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З метою системності огляду інструменти класифіковано за трьома категоріями. До першої категорії належать оркестратори робочих процесів (workflow orchestrators), що забезпечують координацію виконання задач, але не виконують трансформацій самостійно — Apache Airflow, Prefect, Dagster. До другої категорії відносяться комплексні ETL-платформи, що об'єднують оркестрацію та трансформацію — Azure Data Factory, AWS Glue, Google Dataflow, Informatica. До третьої категорії відносяться спеціалізовані трансформатори, що вирішують лише частину задачі інтеграції — dbt, Apache Spark. Для детального огляду обрано найбільш поширених представників першої і другої категорій, а також dbt як показовий приклад третьої.</w:t>
      </w:r>
    </w:p>
    <w:p>
      <w:pPr>
        <w:pStyle w:val="Heading3"/>
        <w:spacing w:after="120" w:before="240"/>
        <w:ind w:firstLine="720"/>
        <w:jc w:val="left"/>
      </w:pPr>
      <w:r>
        <w:rPr>
          <w:rFonts w:ascii="Times New Roman" w:cs="Times New Roman" w:eastAsia="Times New Roman" w:hAnsi="Times New Roman"/>
          <w:b/>
          <w:bCs/>
          <w:i/>
          <w:iCs/>
          <w:sz w:val="24"/>
          <w:szCs w:val="24"/>
        </w:rPr>
        <w:t xml:space="preserve">1.3.2 Apache Airflow: оркестрація як центральна концепція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Apache Airflow є найбільш широко використовуваним відкритим оркестратором робочих процесів у сфері обробки даних. Розроблений у Airbnb у 2014 році та переданий Apache Software Foundation у 2016 р., Airflow побудований навколо концепції DAG (Directed Acyclic Graph — направлений ациклічний граф), де вершини графа є операторами (Operators), а ребра — залежностями між ними [21]. Такий підхід дозволяє будувати складні конвейєри з умовним виконанням, паралелізацією та динамічним генеруванням завдань.</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Серед технічних переваг Airflow слід виділити потужну екосистему: понад 80 офіційних провайдерів (Provider Packages) для інтеграції з хмарними сервісами, базами даних, чергами повідомлень та ML-платформами. Планувальник (Scheduler) Airflow підтримує розклад у форматі cron та складні часові залежності між DAG. Вебінтерфейс забезпечує детальний моніторинг виконання, включаючи Gantt-діаграми та перегляд журналів кожного оператора [21].</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Проте принципово важливо розуміти, що Airflow є саме оркестратором, а не повноцінною ETL-платформою. Він координує виконання задач, але не виконує трансформацій самостійно. Побудова повноцінного ETL-конвейєра з Airflow потребує інтеграції щонайменше ще двох компонентів: інструменту для трансформацій (dbt або Spark) та інструменту для контролю якості (Great Expectations або Soda). Ця «три-компонентна» складність суттєво підвищує поріг входу та операційні витрати на підтримку системи [12]. Крім того, конфігурація Airflow-конвейєрів вимагає написання Python-коду (код DAG), що не є зручним для аналітиків без досвіду програмування.</w:t>
      </w:r>
    </w:p>
    <w:p>
      <w:pPr>
        <w:pStyle w:val="Heading3"/>
        <w:spacing w:after="120" w:before="240"/>
        <w:ind w:firstLine="720"/>
        <w:jc w:val="left"/>
      </w:pPr>
      <w:r>
        <w:rPr>
          <w:rFonts w:ascii="Times New Roman" w:cs="Times New Roman" w:eastAsia="Times New Roman" w:hAnsi="Times New Roman"/>
          <w:b/>
          <w:bCs/>
          <w:i/>
          <w:iCs/>
          <w:sz w:val="24"/>
          <w:szCs w:val="24"/>
        </w:rPr>
        <w:t xml:space="preserve">1.3.3 Azure Data Factory: хмарна ETL-платформа</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Azure Data Factory (ADF) є повноцінним хмарним ETL-сервісом Microsoft, що надає візуальний конструктор конвейєрів (Pipeline Designer) з підтримкою понад 90 типів джерел і приймачів даних [18]. На відміну від Airflow, ADF є інтегрованим рішенням: він поєднує оркестрацію (Pipelines), трансформацію без коду (Mapping Data Flows) та керування метаданими (Integration Runtime). Тісна інтеграція з екосистемою Azure — Azure Synapse Analytics, Azure Databricks, Azure Data Lake Storage, Power BI — робить ADF природним вибором для організацій, що вже використовують хмарні сервіси Microsoft.</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ADF нативно підтримує медальйонну архітектуру: офіційна документація Microsoft [18] рекомендує організацію даних у три зони (Raw, Enriched, Curated) та надає шаблони конвейєрів для реалізації кожного переходу. Mapping Data Flows забезпечують перетворення даних без написання коду з автоматичним масштабуванням на Spark.</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Проте принциповим обмеженням ADF є його хмарна прив'язаність. Виконання трансформацій за межами хмарного середовища Azure (наприклад, локально або в іншого провайдера) підтримується лише через Self-hosted Integration Runtime, що є технічно складним у налаштуванні та обмеженим за функціональністю. Для академічного або дослідницького використання, де хмарна підписка може бути недоступною або фінансово недоцільною, це є суттєвим бар'єром. Комерційна модель ціноутворення на основі споживаних ресурсів (Data Integration Units) може також бути нераціональною для невеликих проєктів із передбачуваними та невисокими обсягами даних.</w:t>
      </w:r>
    </w:p>
    <w:p>
      <w:pPr>
        <w:pStyle w:val="Heading3"/>
        <w:spacing w:after="120" w:before="240"/>
        <w:ind w:firstLine="720"/>
        <w:jc w:val="left"/>
      </w:pPr>
      <w:r>
        <w:rPr>
          <w:rFonts w:ascii="Times New Roman" w:cs="Times New Roman" w:eastAsia="Times New Roman" w:hAnsi="Times New Roman"/>
          <w:b/>
          <w:bCs/>
          <w:i/>
          <w:iCs/>
          <w:sz w:val="24"/>
          <w:szCs w:val="24"/>
        </w:rPr>
        <w:t xml:space="preserve">1.3.4 SQL Server Integration Services: зрілість та обмеження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SQL Server Integration Services (SSIS) є компонентом Microsoft SQL Server, що забезпечує ETL-функціональність у середовищах з on-premises SQL Server-інфраструктурою. З моменту появи першої версії у складі SQL Server 2005 SSIS посів чільне місце серед корпоративних ETL-інструментів і донині залишається широко використовуваним у консервативних середовищах [9]. Ключовими перевагами SSIS є зрілість (20+ років розвитку), потужний візуальний дизайнер у Visual Studio та бібліотека з сотень вбудованих компонентів (Tasks та Transformations).</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Проте SSIS демонструє суттєві обмеження в контексті сучасних вимог. По-перше, інструмент практично не підтримує горизонтальне масштабування: продуктивність ETL-процесу обмежена ресурсами одного серверного вузла. По-друге, інтеграція з хмарними джерелами даних (REST API, S3, BigQuery) є обмеженою і вимагає додаткових комерційних компонентів. По-третє, SSIS не має нативної підтримки медальйонної архітектури — реалізація тришарового підходу потребує нетривіальних архітектурних рішень і ручного управління метаданими. Нарешті, DevOps-практики (версіонування конфігурацій, CI/CD для SSIS-пакетів) реалізуються складно і не є органічною частиною інструменту.</w:t>
      </w:r>
    </w:p>
    <w:p>
      <w:pPr>
        <w:pStyle w:val="Heading3"/>
        <w:spacing w:after="120" w:before="240"/>
        <w:ind w:firstLine="720"/>
        <w:jc w:val="left"/>
      </w:pPr>
      <w:r>
        <w:rPr>
          <w:rFonts w:ascii="Times New Roman" w:cs="Times New Roman" w:eastAsia="Times New Roman" w:hAnsi="Times New Roman"/>
          <w:b/>
          <w:bCs/>
          <w:i/>
          <w:iCs/>
          <w:sz w:val="24"/>
          <w:szCs w:val="24"/>
        </w:rPr>
        <w:t xml:space="preserve">1.3.5 dbt: трансформаційний підхід у парадигмі ELT</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dbt (data build tool) репрезентує принципово інший підхід до трансформації даних, орієнтований виключно на ELT-парадигму. Концепція dbt полягає в тому, що трансформації визначаються як SQL-шаблони (Jinja SQL), які виконуються безпосередньо у цільовому сховищі даних [15]. Інструмент надає потужні можливості для тестування (перевірка унікальності, NOT NULL, посилальна цілісність), документування та відстеження лінії даних (data lineage).</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dbt нативно підтримує медальйонну архітектуру через механізм шарів моделей: staging-моделі (аналог Bronze→Silver переходу) та mart-моделі (аналог Silver→Gold). Відкритий вихідний код, активна спільнота та низький поріг входу (для тих, хто знає SQL) зробили dbt де-факто стандартом аналітичної інженерії [15].</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Разом із тим dbt є принципово неповним рішенням для повноцінного ETL-конвейєра: він не вирішує задачу Extract (витягнення з джерел) та Load (завантаження у сховище), обмежуючись лише трансформаційним кроком. Для побудови повного конвейєра dbt необхідно поєднувати з окремими інструментами завантаження (Airbyte, Fivetran, Singer) та оркестрації (Airflow або Prefect). Ця фрагментованість є суттєвим недоліком порівняно з інтегрованими рішеннями.</w:t>
      </w:r>
    </w:p>
    <w:p>
      <w:pPr>
        <w:pStyle w:val="Heading3"/>
        <w:spacing w:after="120" w:before="240"/>
        <w:ind w:firstLine="720"/>
        <w:jc w:val="left"/>
      </w:pPr>
      <w:r>
        <w:rPr>
          <w:rFonts w:ascii="Times New Roman" w:cs="Times New Roman" w:eastAsia="Times New Roman" w:hAnsi="Times New Roman"/>
          <w:b/>
          <w:bCs/>
          <w:i/>
          <w:iCs/>
          <w:sz w:val="24"/>
          <w:szCs w:val="24"/>
        </w:rPr>
        <w:t xml:space="preserve">1.3.6 Порівняльний аналіз та обґрунтування власного рішення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Узагальнений порівняльний аналіз розглянутих інструментів за критеріями, що є найбільш релевантними для розроблюваної системи, наведено у таблиці 1.4. У таблиці також включено позицію власного рішення з метою демонстрації його місця у загальному ландшафті інструментів.</w:t>
      </w:r>
    </w:p>
    <w:p>
      <w:pPr>
        <w:spacing w:after="60" w:before="240"/>
        <w:jc w:val="left"/>
      </w:pPr>
      <w:r>
        <w:rPr>
          <w:rFonts w:ascii="Times New Roman" w:cs="Times New Roman" w:eastAsia="Times New Roman" w:hAnsi="Times New Roman"/>
          <w:b/>
          <w:bCs/>
          <w:sz w:val="24"/>
          <w:szCs w:val="24"/>
        </w:rPr>
        <w:t xml:space="preserve">Таблиця 1.4 – Порівняльний аналіз інструментів побудови ETL-конвейєрів</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560"/>
      </w:tblGrid>
      <w:tr>
        <w:trPr>
          <w:tblHeader/>
        </w:trPr>
        <w:tc>
          <w:tcPr>
            <w:tcW w:type="dxa" w:w="20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Критерій оцінювання</w:t>
            </w:r>
          </w:p>
        </w:tc>
        <w:tc>
          <w:tcPr>
            <w:tcW w:type="dxa" w:w="12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Airflow</w:t>
            </w:r>
          </w:p>
        </w:tc>
        <w:tc>
          <w:tcPr>
            <w:tcW w:type="dxa" w:w="12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ADF</w:t>
            </w:r>
          </w:p>
        </w:tc>
        <w:tc>
          <w:tcPr>
            <w:tcW w:type="dxa" w:w="12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SSIS</w:t>
            </w:r>
          </w:p>
        </w:tc>
        <w:tc>
          <w:tcPr>
            <w:tcW w:type="dxa" w:w="12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dbt</w:t>
            </w:r>
          </w:p>
        </w:tc>
        <w:tc>
          <w:tcPr>
            <w:tcW w:type="dxa" w:w="15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Власне рішення</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Відкритий вихідний код</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7B000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7B000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Нативна підтримка Medallion</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7B000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Локальне розгортання</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Вбудована валідація якості</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Хмарна незалежність</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7B000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Вбудований моніторинг</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7B0000"/>
                <w:sz w:val="20"/>
                <w:szCs w:val="20"/>
              </w:rPr>
              <w:t xml:space="preserve">✗</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Ідемпотентні запуски</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Налаштування через конфіг</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7B000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Обробка помилок/карантин</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5D4037"/>
                <w:sz w:val="20"/>
                <w:szCs w:val="20"/>
              </w:rPr>
              <w:t xml:space="preserve">±</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7B0000"/>
                <w:sz w:val="20"/>
                <w:szCs w:val="20"/>
              </w:rPr>
              <w:t xml:space="preserve">✗</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1A5E20"/>
                <w:sz w:val="20"/>
                <w:szCs w:val="20"/>
              </w:rPr>
              <w:t xml:space="preserve">✓</w:t>
            </w:r>
          </w:p>
        </w:tc>
      </w:tr>
      <w:tr>
        <w:tc>
          <w:tcPr>
            <w:tcW w:type="dxa" w:w="20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Поріг входу</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20"/>
                <w:szCs w:val="20"/>
              </w:rPr>
              <w:t xml:space="preserve">Середній</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20"/>
                <w:szCs w:val="20"/>
              </w:rPr>
              <w:t xml:space="preserve">Низький</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20"/>
                <w:szCs w:val="20"/>
              </w:rPr>
              <w:t xml:space="preserve">Середній</w:t>
            </w:r>
          </w:p>
        </w:tc>
        <w:tc>
          <w:tcPr>
            <w:tcW w:type="dxa" w:w="120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20"/>
                <w:szCs w:val="20"/>
              </w:rPr>
              <w:t xml:space="preserve">Низький</w:t>
            </w:r>
          </w:p>
        </w:tc>
        <w:tc>
          <w:tcPr>
            <w:tcW w:type="dxa" w:w="1560"/>
            <w:tcBorders>
              <w:top w:val="single" w:color="333333" w:sz="6"/>
              <w:left w:val="single" w:color="333333" w:sz="6"/>
              <w:bottom w:val="single" w:color="333333" w:sz="6"/>
              <w:right w:val="single" w:color="333333" w:sz="6"/>
            </w:tcBorders>
            <w:shd w:fill="FFFFFF" w:val="clear"/>
            <w:tcMar>
              <w:top w:type="dxa" w:w="80"/>
              <w:left w:type="dxa" w:w="60"/>
              <w:bottom w:type="dxa" w:w="80"/>
              <w:right w:type="dxa" w:w="60"/>
            </w:tcMar>
            <w:vAlign w:val="center"/>
          </w:tcPr>
          <w:p>
            <w:pPr>
              <w:jc w:val="center"/>
            </w:pPr>
            <w:r>
              <w:rPr>
                <w:rFonts w:ascii="Times New Roman" w:cs="Times New Roman" w:eastAsia="Times New Roman" w:hAnsi="Times New Roman"/>
                <w:b/>
                <w:bCs/>
                <w:color w:val="000000"/>
                <w:sz w:val="20"/>
                <w:szCs w:val="20"/>
              </w:rPr>
              <w:t xml:space="preserve">Низький</w:t>
            </w:r>
          </w:p>
        </w:tc>
      </w:tr>
    </w:tbl>
    <w:p>
      <w:pPr>
        <w:spacing w:after="0" w:before="0" w:line="240" w:lineRule="auto"/>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Аналіз таблиці 1.4 дозволяє ідентифікувати системний розрив між доступними інструментами та вимогами цільової задачі. Жодний із розглянутих інструментів не задовольняє повністю всій сукупності визначених критеріїв. Зокрема, Airflow потребує значних зусиль з інтеграції додаткових компонентів для досягнення повної ETL-функціональності; ADF є хмарно залежним і комерційним; SSIS обмежений за масштабованістю та не підтримує нативно медальйонну архітектуру; dbt є лише частиною повного рішення. Це обґрунтовує доцільність розробки спеціалізованого ETL-рішення, що нативно реалізує медальйонну архітектуру як першокласну концепцію системи.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Власне рішення проектується з урахуванням виявлених недоліків аналогів. На відміну від Airflow, воно є самодостатнім: оркестрація, трансформація і контроль якості є вбудованими компонентами, а не зовнішніми залежностями. На відміну від ADF, воно є незалежним від хмарного провайдера та розгортається локально без додаткових вимог. На відміну від SSIS, воно проектується навколо медальйонної архітектури як першокласного принципу та підтримує сучасні DevOps-практики (конфігурація у YAML, версіонування, CI/CD). На відміну від dbt, воно реалізує повний ETL-цикл — від витягнення до завантаження [22].</w:t>
      </w:r>
    </w:p>
    <w:p>
      <w:pPr>
        <w:pStyle w:val="Heading2"/>
        <w:spacing w:after="160" w:before="360"/>
        <w:jc w:val="left"/>
      </w:pPr>
      <w:r>
        <w:rPr>
          <w:rFonts w:ascii="Times New Roman" w:cs="Times New Roman" w:eastAsia="Times New Roman" w:hAnsi="Times New Roman"/>
          <w:b/>
          <w:bCs/>
          <w:sz w:val="26"/>
          <w:szCs w:val="26"/>
        </w:rPr>
        <w:t xml:space="preserve">1.4 Постановка задачі дослідження</w:t>
      </w:r>
    </w:p>
    <w:p>
      <w:pPr>
        <w:pStyle w:val="Heading3"/>
        <w:spacing w:after="120" w:before="240"/>
        <w:ind w:firstLine="720"/>
        <w:jc w:val="left"/>
      </w:pPr>
      <w:r>
        <w:rPr>
          <w:rFonts w:ascii="Times New Roman" w:cs="Times New Roman" w:eastAsia="Times New Roman" w:hAnsi="Times New Roman"/>
          <w:b/>
          <w:bCs/>
          <w:i/>
          <w:iCs/>
          <w:sz w:val="24"/>
          <w:szCs w:val="24"/>
        </w:rPr>
        <w:t xml:space="preserve">1.4.1 Актуальність та наукова значущість задачі</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Проведений аналіз предметної області дозволяє чітко сформулювати актуальність задачі, що вирішується у даній дипломній роботі. В умовах цифрової трансформації підприємств зростає потреба у надійних, якісних та відтворюваних конвейєрах інтеграції даних, здатних функціонувати незалежно від хмарної інфраструктури та адаптуватися до мінливих вимог бізнесу. Незважаючи на широкий вибір існуючих інструментів, жоден із них не задовольняє одночасно вимогам відкритості, хмарної незалежності, нативної підтримки медальйонної архітектури та вбудованого контролю якості. Цей розрив визначає практичну актуальність розробки.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Наукова значущість роботи полягає в систематизації принципів проектування ETL-конвейєрів з медальйонною архітектурою, розробці архітектурного рішення, що реалізує ці принципи в повному обсязі, та практичній верифікації запропонованого підходу на реальних наборах даних. Результати роботи можуть бути використані як методологічна основа для побудови аналітичних платформ у середніх та малих підприємствах, що не мають ресурсів для впровадження комерційних рішень enterprise-класу.</w:t>
      </w:r>
    </w:p>
    <w:p>
      <w:pPr>
        <w:pStyle w:val="Heading3"/>
        <w:spacing w:after="120" w:before="240"/>
        <w:ind w:firstLine="720"/>
        <w:jc w:val="left"/>
      </w:pPr>
      <w:r>
        <w:rPr>
          <w:rFonts w:ascii="Times New Roman" w:cs="Times New Roman" w:eastAsia="Times New Roman" w:hAnsi="Times New Roman"/>
          <w:b/>
          <w:bCs/>
          <w:i/>
          <w:iCs/>
          <w:sz w:val="24"/>
          <w:szCs w:val="24"/>
        </w:rPr>
        <w:t xml:space="preserve">1.4.2 Функціональні вимоги до системи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На основі проведеного аналізу сформульовано перелік функціональних вимог до розроблюваної системи. Функціональні вимоги описують конкретну поведінку системи — що вона повинна вміти робити — і є основою для проектування архітектури та розробки тестових сценаріїв. При формулюванні вимог застосовано підхід MoSCoW (Must have / Should have / Could have / Won't have), проте у таблиці 1.5 представлено лише вимоги категорій Must have та Should have як мінімально необхідний функціональний базис (MVP).</w:t>
      </w:r>
    </w:p>
    <w:p>
      <w:pPr>
        <w:spacing w:after="60" w:before="240"/>
        <w:jc w:val="left"/>
      </w:pPr>
      <w:r>
        <w:rPr>
          <w:rFonts w:ascii="Times New Roman" w:cs="Times New Roman" w:eastAsia="Times New Roman" w:hAnsi="Times New Roman"/>
          <w:b/>
          <w:bCs/>
          <w:sz w:val="24"/>
          <w:szCs w:val="24"/>
        </w:rPr>
        <w:t xml:space="preserve">Таблиця 1.5 – Функціональні вимоги до ETL-системи з медальйонною архітектурою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rPr>
          <w:tblHeader/>
        </w:trPr>
        <w:tc>
          <w:tcPr>
            <w:tcW w:type="dxa" w:w="48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w:t>
            </w:r>
          </w:p>
        </w:tc>
        <w:tc>
          <w:tcPr>
            <w:tcW w:type="dxa" w:w="32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Функціональна вимога</w:t>
            </w:r>
          </w:p>
        </w:tc>
        <w:tc>
          <w:tcPr>
            <w:tcW w:type="dxa" w:w="568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Деталізація та критерій приймання</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Підтримка Medallion-архітектури</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Система повинна реалізовувати три рівні зберігання: Bronze (сирі, незмінні дані), Silver (очищені, нормалізовані) та Gold (агреговані, бізнес-готові). Кожен рівень є незалежно адресованим.</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2</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Витягування з різнорідних джерел</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Підтримка читання з: CSV, JSON, Parquet (файли); PostgreSQL, MySQL (RDBMS); REST API з пагінацією та автентифікацією. Механізм підключення нових джерел без зміни ядра.</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3</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Конфігурований конвейєр</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Повна специфікація конвейєра через YAML-файл: джерело, схема, правила трансформації, цільовий рівень, розклад. Зміна конфігурації не потребує перекомпіляції.</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4</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Трансформація даних</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Підтримка: нормалізації типів, дедуплікації за ключем, фільтрації за умовою, збагачення з довідника, розрахунку похідних полів, агрегації (sum, avg, count, min, max).</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5</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Валідація якості на кожному шарі</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Перевірки: NOT NULL, унікальність, діапазон значень, регулярний вираз, посилальна цілісність. Результати валідації зберігаються у метаданих виконання.</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6</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Ізоляція дефектних записів</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Записи, що не пройшли валідацію, направляються у карантинну зону з фіксацією причини відмови. Основний потік продовжує виконання.</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7</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Ідемпотентність запусків</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Повторний запуск конвейєра за той самий часовий інтервал не призводить до дублювання даних у Silver і Gold рівнях. Перевіряється автоматичним тестом.</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8</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Журналювання та аудит</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Кожне виконання фіксує: час початку/завершення, кількість записів (прочитано/записано/відхилено), статус (success/warning/error), ідентифікатор джерела та версію конфігурації.</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9</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Обробка помилок і відновлення</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Механізм retry з конфігурованою затримкою; checkpoint для відновлення з точки збою; сповіщення про критичні помилки.</w:t>
            </w:r>
          </w:p>
        </w:tc>
      </w:tr>
      <w:tr>
        <w:tc>
          <w:tcPr>
            <w:tcW w:type="dxa" w:w="4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0"/>
                <w:szCs w:val="20"/>
              </w:rPr>
              <w:t xml:space="preserve">10</w:t>
            </w:r>
          </w:p>
        </w:tc>
        <w:tc>
          <w:tcPr>
            <w:tcW w:type="dxa" w:w="32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Інкрементне завантаження</w:t>
            </w:r>
          </w:p>
        </w:tc>
        <w:tc>
          <w:tcPr>
            <w:tcW w:type="dxa" w:w="568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Підтримка режиму повного (full) та інкрементного (incremental) завантаження на основі watermark-поля (дата оновлення, порядковий номер).</w:t>
            </w:r>
          </w:p>
        </w:tc>
      </w:tr>
    </w:tbl>
    <w:p>
      <w:pPr>
        <w:spacing w:after="0" w:before="0" w:line="240" w:lineRule="auto"/>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Серед перелічених вимог особливу увагу заслуговує вимога ідемпотентності (вимога №7). Ідемпотентність — властивість системи, за якою повторне виконання операції з тими самими вхідними даними дає той самий результат без накопичення побічних ефектів — є фундаментальною вимогою до будь-якого надійного ETL-конвейєра [12]. Її відсутність призводить до накопичення дублікатів при плановому або аварійному перезапуску конвейєра, що може мати серйозні наслідки для якості аналітичних звітів. Реалізація ідемпотентності вимагає архітектурного рішення на рівні стратегії завантаження (наприклад, Upsert або Delete-Insert замість простого Insert), що закладається ще на стадії проектування.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Вимога конфігурованості конвейєрів (вимога №3) реалізує принцип розділення конфігурації та коду (Separation of Concerns), що є одним із ключових принципів підтримуваного програмного забезпечення [22]. YAML-формат конфігурації обрано як найбільш читабельний та поширений у DevOps-спільноті стандарт описання декларативних конфігурацій.</w:t>
      </w:r>
    </w:p>
    <w:p>
      <w:pPr>
        <w:pStyle w:val="Heading3"/>
        <w:spacing w:after="120" w:before="240"/>
        <w:ind w:firstLine="720"/>
        <w:jc w:val="left"/>
      </w:pPr>
      <w:r>
        <w:rPr>
          <w:rFonts w:ascii="Times New Roman" w:cs="Times New Roman" w:eastAsia="Times New Roman" w:hAnsi="Times New Roman"/>
          <w:b/>
          <w:bCs/>
          <w:i/>
          <w:iCs/>
          <w:sz w:val="24"/>
          <w:szCs w:val="24"/>
        </w:rPr>
        <w:t xml:space="preserve">1.4.3 Нефункціональні вимоги до системи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Нефункціональні вимоги визначають якісні характеристики системи та умови її функціонування. Вони є не менш важливими, ніж функціональні, оскільки система, що функціонує коректно, але є надмірно повільною, ненадійною або нерозширюваною, не може вважатися успішною з інженерної точки зору. Для класифікації нефункціональних вимог використано модель якості програмного забезпечення, визначену стандартом ISO/IEC 25010:2023 [23]. Деталізовані нефункціональні вимоги представлено у таблиці 1.6.</w:t>
      </w:r>
    </w:p>
    <w:p>
      <w:pPr>
        <w:spacing w:after="60" w:before="240"/>
        <w:jc w:val="left"/>
      </w:pPr>
      <w:r>
        <w:rPr>
          <w:rFonts w:ascii="Times New Roman" w:cs="Times New Roman" w:eastAsia="Times New Roman" w:hAnsi="Times New Roman"/>
          <w:b/>
          <w:bCs/>
          <w:sz w:val="24"/>
          <w:szCs w:val="24"/>
        </w:rPr>
        <w:t xml:space="preserve">Таблиця 1.6 – Нефункціональні вимоги до ETL-системи відповідно до ISO/IEC 25010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Категорія (ISO/IEC 25010)</w:t>
            </w:r>
          </w:p>
        </w:tc>
        <w:tc>
          <w:tcPr>
            <w:tcW w:type="dxa" w:w="7460"/>
            <w:tcBorders>
              <w:top w:val="single" w:color="333333" w:sz="6"/>
              <w:left w:val="single" w:color="333333" w:sz="6"/>
              <w:bottom w:val="single" w:color="333333" w:sz="6"/>
              <w:right w:val="single" w:color="333333" w:sz="6"/>
            </w:tcBorders>
            <w:shd w:fill="D0DA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Вимога та метрика</w:t>
            </w:r>
          </w:p>
        </w:tc>
      </w:tr>
      <w:tr>
        <w:tc>
          <w:tcPr>
            <w:tcW w:type="dxa" w:w="19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Функціональна придатність</w:t>
            </w:r>
          </w:p>
        </w:tc>
        <w:tc>
          <w:tcPr>
            <w:tcW w:type="dxa" w:w="7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Система коректно обробляє 100% специфікованих сценаріїв без критичних збоїв (перевіряється інтеграційними тестами).</w:t>
            </w:r>
          </w:p>
        </w:tc>
      </w:tr>
      <w:tr>
        <w:tc>
          <w:tcPr>
            <w:tcW w:type="dxa" w:w="19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Продуктивність</w:t>
            </w:r>
          </w:p>
        </w:tc>
        <w:tc>
          <w:tcPr>
            <w:tcW w:type="dxa" w:w="7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Обробка набору даних обсягом 1 ГБ (CSV/JSON) — не більше 10 хвилин на стандартному сервері (4 vCPU, 16 ГБ RAM). Споживання пам'яті не перевищує 4 ГБ при потоковому читанні.</w:t>
            </w:r>
          </w:p>
        </w:tc>
      </w:tr>
      <w:tr>
        <w:tc>
          <w:tcPr>
            <w:tcW w:type="dxa" w:w="19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Надійність</w:t>
            </w:r>
          </w:p>
        </w:tc>
        <w:tc>
          <w:tcPr>
            <w:tcW w:type="dxa" w:w="7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MTBF (mid time between failures) не менше 30 запусків. Ідемпотентність гарантована для всіх рівнів. Відмова одного джерела не блокує обробку інших.</w:t>
            </w:r>
          </w:p>
        </w:tc>
      </w:tr>
      <w:tr>
        <w:tc>
          <w:tcPr>
            <w:tcW w:type="dxa" w:w="19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Зручність супроводу</w:t>
            </w:r>
          </w:p>
        </w:tc>
        <w:tc>
          <w:tcPr>
            <w:tcW w:type="dxa" w:w="7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Покриття unit-тестами ≥ 70% (перевіряється через coverage.py). Наявність docstring для кожного публічного модуля. Тривалість onboarding нового розробника — не більше 2 годин.</w:t>
            </w:r>
          </w:p>
        </w:tc>
      </w:tr>
      <w:tr>
        <w:tc>
          <w:tcPr>
            <w:tcW w:type="dxa" w:w="19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Розширюваність</w:t>
            </w:r>
          </w:p>
        </w:tc>
        <w:tc>
          <w:tcPr>
            <w:tcW w:type="dxa" w:w="7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Додавання нового типу джерела або трансформатора: не більше 100 рядків коду, без зміни ядра (перевіряється наявністю базового абстрактного класу та плагін-механізму).</w:t>
            </w:r>
          </w:p>
        </w:tc>
      </w:tr>
      <w:tr>
        <w:tc>
          <w:tcPr>
            <w:tcW w:type="dxa" w:w="19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Портативність</w:t>
            </w:r>
          </w:p>
        </w:tc>
        <w:tc>
          <w:tcPr>
            <w:tcW w:type="dxa" w:w="7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Система запускається на Linux (Ubuntu 22.04+) та Windows 11 без змін. Не залежить від хмарних провайдерів. Докеризований запуск підтримується.</w:t>
            </w:r>
          </w:p>
        </w:tc>
      </w:tr>
      <w:tr>
        <w:tc>
          <w:tcPr>
            <w:tcW w:type="dxa" w:w="19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Безпека</w:t>
            </w:r>
          </w:p>
        </w:tc>
        <w:tc>
          <w:tcPr>
            <w:tcW w:type="dxa" w:w="7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Паролі та токени зберігаються через змінні середовища або secrets-менеджер, ніколи у коді чи конфіг-файлах у відкритому вигляді. Доступ до Gold-шару обмежений правами ролей.</w:t>
            </w:r>
          </w:p>
        </w:tc>
      </w:tr>
      <w:tr>
        <w:tc>
          <w:tcPr>
            <w:tcW w:type="dxa" w:w="1900"/>
            <w:tcBorders>
              <w:top w:val="single" w:color="333333" w:sz="6"/>
              <w:left w:val="single" w:color="333333" w:sz="6"/>
              <w:bottom w:val="single" w:color="333333" w:sz="6"/>
              <w:right w:val="single" w:color="333333" w:sz="6"/>
            </w:tcBorders>
            <w:shd w:fill="E8EEF8"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000000"/>
                <w:sz w:val="20"/>
                <w:szCs w:val="20"/>
              </w:rPr>
              <w:t xml:space="preserve">Спостережуваність</w:t>
            </w:r>
          </w:p>
        </w:tc>
        <w:tc>
          <w:tcPr>
            <w:tcW w:type="dxa" w:w="746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000000"/>
                <w:sz w:val="20"/>
                <w:szCs w:val="20"/>
              </w:rPr>
              <w:t xml:space="preserve">Метрики (час виконання, к-сть записів, % відхилених) доступні у структурованому форматі (JSON-лог). Підтримка інтеграції з Prometheus/Grafana через опціональний експортер.</w:t>
            </w:r>
          </w:p>
        </w:tc>
      </w:tr>
    </w:tbl>
    <w:p>
      <w:pPr>
        <w:spacing w:after="0" w:before="0" w:line="240" w:lineRule="auto"/>
      </w:pPr>
      <w:r>
        <w:t xml:space="preserve"/>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Серед нефункціональних вимог особливого обговорення потребує вимога розширюваності. Вона реалізується через застосування принципу Open/Closed з каталогу SOLID [22]: система повинна бути відкритою до розширення (додавання нових типів джерел, трансформаторів та приймачів) і закритою до модифікації (додавання нового компонента не вимагає зміни існуючого коду). На практиці це означає наявність абстрактних базових класів (або протоколів у Python-контексті) для кожного типу розширюваного компонента та механізму реєстрації плагінів.</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Вимога спостережуваності (Observability) набуває особливого значення в контексті ETL-систем, оскільки конвейєр є процесом, що виконується без інтерактивної участі користувача. Класична тріада спостережуваності — метрики (Metrics), журнали (Logs) та трасування (Traces) [16] — має бути реалізована таким чином, щоб оператор системи міг відповісти на три ключові питання щодо будь-якого виконання конвейєра: що відбулося (журнали), як довго та скільки записів оброблено (метрики), де саме в ланцюжку виник збій (трасування).</w:t>
      </w:r>
    </w:p>
    <w:p>
      <w:pPr>
        <w:pStyle w:val="Heading3"/>
        <w:spacing w:after="120" w:before="240"/>
        <w:ind w:firstLine="720"/>
        <w:jc w:val="left"/>
      </w:pPr>
      <w:r>
        <w:rPr>
          <w:rFonts w:ascii="Times New Roman" w:cs="Times New Roman" w:eastAsia="Times New Roman" w:hAnsi="Times New Roman"/>
          <w:b/>
          <w:bCs/>
          <w:i/>
          <w:iCs/>
          <w:sz w:val="24"/>
          <w:szCs w:val="24"/>
        </w:rPr>
        <w:t xml:space="preserve">1.4.4 Обмеження та припущення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Коректне формулювання постановки задачі неможливе без явного визначення обмежень та припущень, в межах яких розробляється система. Їх ігнорування призводить до неправильних очікувань та некоректної оцінки результатів роботи.</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Технологічні обмеження. Система розробляється на мові програмування Python (версія 3.10 та вище) з використанням відкритих бібліотек. Для реляційного зберігання даних використовується PostgreSQL 15+; для файлового зберігання — звичайна файлова система у форматах CSV, JSON та Parquet. Підтримка хмарних форматів (Delta Lake, Apache Iceberg) виходить за межі поточного дослідження, проте архітектура системи проектується таким чином, щоб не унеможливлювати таку інтеграцію у майбутньому через механізм плагінів.</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Масштабні обмеження. Система орієнтована на пакетну (batch) обробку даних обсягом до кількох гігабайт. Потокова обробка (streaming) у реальному часі, розподілені обчислення на кластері Apache Spark та обробка петабайтних наборів даних є поза межами поточної роботи. Для наборів даних такого масштабу оптимальним вибором є спеціалізовані платформи (Databricks, Flink), розгляд яких виходить за рамки даного дослідження [27].</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Функціональні припущення. Передбачається, що схема вхідних даних є відомою та описаною в конфігураційному файлі перед першим запуском конвейєра; автоматичне виявлення схеми (schema inference) не реалізується. Також передбачається, що джерела даних доступні під час виконання конвейєра та відповідають задокументованому інтерфейсу (формат, кодування, автентифікація).</w:t>
      </w:r>
    </w:p>
    <w:p>
      <w:pPr>
        <w:spacing w:after="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Таким чином, аналіз предметної області дозволив сформулювати комплексну постановку задачі, що визначає чіткі вимірювані вимоги до розроблюваної системи. Виявлено теоретичне підґрунтя медальйонної архітектури як оптимального структурного рішення для ETL-конвейєрів; проаналізовано та оцінено існуючі інструменти з виявленням їх системних обмежень; обґрунтовано доцільність розробки власного рішення. Отримані результати є основою для архітектурного проектування системи, що здійснюється у наступному розділі.</w:t>
      </w:r>
    </w:p>
    <w:p>
      <w:pPr>
        <w:pStyle w:val="Heading2"/>
        <w:spacing w:after="240" w:before="480"/>
        <w:jc w:val="center"/>
      </w:pPr>
      <w:r>
        <w:rPr>
          <w:rFonts w:ascii="Times New Roman" w:cs="Times New Roman" w:eastAsia="Times New Roman" w:hAnsi="Times New Roman"/>
          <w:b/>
          <w:bCs/>
          <w:caps/>
          <w:sz w:val="26"/>
          <w:szCs w:val="26"/>
        </w:rPr>
        <w:t xml:space="preserve">СПИСОК ВИКОРИСТАНИХ ДЖЕРЕЛ ДО РОЗДІЛУ 1</w:t>
      </w:r>
    </w:p>
    <w:p>
      <w:pPr>
        <w:spacing w:after="80" w:before="0" w:line="320" w:lineRule="auto"/>
        <w:ind w:left="700" w:hanging="700"/>
        <w:jc w:val="both"/>
      </w:pPr>
      <w:r>
        <w:rPr>
          <w:rFonts w:ascii="Times New Roman" w:cs="Times New Roman" w:eastAsia="Times New Roman" w:hAnsi="Times New Roman"/>
          <w:sz w:val="22"/>
          <w:szCs w:val="22"/>
        </w:rPr>
        <w:t xml:space="preserve">1. Inmon W. H. Building the Data Warehouse. 4th ed. Indianapolis : Wiley Publishing, 2005. 543 p.</w:t>
      </w:r>
    </w:p>
    <w:p>
      <w:pPr>
        <w:spacing w:after="80" w:before="0" w:line="320" w:lineRule="auto"/>
        <w:ind w:left="700" w:hanging="700"/>
        <w:jc w:val="both"/>
      </w:pPr>
      <w:r>
        <w:rPr>
          <w:rFonts w:ascii="Times New Roman" w:cs="Times New Roman" w:eastAsia="Times New Roman" w:hAnsi="Times New Roman"/>
          <w:sz w:val="22"/>
          <w:szCs w:val="22"/>
        </w:rPr>
        <w:t xml:space="preserve">2. Kimball R., Caserta J. The Data Warehouse ETL Toolkit: Practical Techniques for Extracting, Cleaning, Conforming, and Delivering Data. Indianapolis : Wiley, 2004. 528 p.</w:t>
      </w:r>
    </w:p>
    <w:p>
      <w:pPr>
        <w:spacing w:after="80" w:before="0" w:line="320" w:lineRule="auto"/>
        <w:ind w:left="700" w:hanging="700"/>
        <w:jc w:val="both"/>
      </w:pPr>
      <w:r>
        <w:rPr>
          <w:rFonts w:ascii="Times New Roman" w:cs="Times New Roman" w:eastAsia="Times New Roman" w:hAnsi="Times New Roman"/>
          <w:sz w:val="22"/>
          <w:szCs w:val="22"/>
        </w:rPr>
        <w:t xml:space="preserve">3. Armbrust M. et al. Delta Lake: High-Performance ACID Table Storage over Cloud Object Stores. Proceedings of the VLDB Endowment. 2020. Vol. 13, No. 12. P. 3411–3424. DOI: 10.14778/3415478.3415560.</w:t>
      </w:r>
    </w:p>
    <w:p>
      <w:pPr>
        <w:spacing w:after="80" w:before="0" w:line="320" w:lineRule="auto"/>
        <w:ind w:left="700" w:hanging="700"/>
        <w:jc w:val="both"/>
      </w:pPr>
      <w:r>
        <w:rPr>
          <w:rFonts w:ascii="Times New Roman" w:cs="Times New Roman" w:eastAsia="Times New Roman" w:hAnsi="Times New Roman"/>
          <w:sz w:val="22"/>
          <w:szCs w:val="22"/>
        </w:rPr>
        <w:t xml:space="preserve">4. Kleppmann M. Designing Data-Intensive Applications: The Big Ideas Behind Reliable, Scalable, and Maintainable Systems. Sebastopol : O'Reilly Media, 2017. 616 p.</w:t>
      </w:r>
    </w:p>
    <w:p>
      <w:pPr>
        <w:spacing w:after="80" w:before="0" w:line="320" w:lineRule="auto"/>
        <w:ind w:left="700" w:hanging="700"/>
        <w:jc w:val="both"/>
      </w:pPr>
      <w:r>
        <w:rPr>
          <w:rFonts w:ascii="Times New Roman" w:cs="Times New Roman" w:eastAsia="Times New Roman" w:hAnsi="Times New Roman"/>
          <w:sz w:val="22"/>
          <w:szCs w:val="22"/>
        </w:rPr>
        <w:t xml:space="preserve">5. Kimball R., Ross M. The Data Warehouse Toolkit: The Complete Guide to Dimensional Modeling. 3rd ed. Indianapolis : Wiley, 2013. 600 p.</w:t>
      </w:r>
    </w:p>
    <w:p>
      <w:pPr>
        <w:spacing w:after="80" w:before="0" w:line="320" w:lineRule="auto"/>
        <w:ind w:left="700" w:hanging="700"/>
        <w:jc w:val="both"/>
      </w:pPr>
      <w:r>
        <w:rPr>
          <w:rFonts w:ascii="Times New Roman" w:cs="Times New Roman" w:eastAsia="Times New Roman" w:hAnsi="Times New Roman"/>
          <w:sz w:val="22"/>
          <w:szCs w:val="22"/>
        </w:rPr>
        <w:t xml:space="preserve">6. Dehghani Z. Data Mesh: Delivering Data-Driven Value at Scale. Sebastopol : O'Reilly Media, 2022. 390 p.</w:t>
      </w:r>
    </w:p>
    <w:p>
      <w:pPr>
        <w:spacing w:after="80" w:before="0" w:line="320" w:lineRule="auto"/>
        <w:ind w:left="700" w:hanging="700"/>
        <w:jc w:val="both"/>
      </w:pPr>
      <w:r>
        <w:rPr>
          <w:rFonts w:ascii="Times New Roman" w:cs="Times New Roman" w:eastAsia="Times New Roman" w:hAnsi="Times New Roman"/>
          <w:sz w:val="22"/>
          <w:szCs w:val="22"/>
        </w:rPr>
        <w:t xml:space="preserve">7. Marz N., Warren J. Big Data: Principles and Best Practices of Scalable Realtime Data Systems. Shelter Island : Manning Publications, 2015. 328 p.</w:t>
      </w:r>
    </w:p>
    <w:p>
      <w:pPr>
        <w:spacing w:after="80" w:before="0" w:line="320" w:lineRule="auto"/>
        <w:ind w:left="700" w:hanging="700"/>
        <w:jc w:val="both"/>
      </w:pPr>
      <w:r>
        <w:rPr>
          <w:rFonts w:ascii="Times New Roman" w:cs="Times New Roman" w:eastAsia="Times New Roman" w:hAnsi="Times New Roman"/>
          <w:sz w:val="22"/>
          <w:szCs w:val="22"/>
        </w:rPr>
        <w:t xml:space="preserve">8. Gartner. Magic Quadrant for Data Integration Tools. Stamford : Gartner, 2023. URL: https://www.gartner.com/en/documents/4227649 (дата звернення: 10.03.2025).</w:t>
      </w:r>
    </w:p>
    <w:p>
      <w:pPr>
        <w:spacing w:after="80" w:before="0" w:line="320" w:lineRule="auto"/>
        <w:ind w:left="700" w:hanging="700"/>
        <w:jc w:val="both"/>
      </w:pPr>
      <w:r>
        <w:rPr>
          <w:rFonts w:ascii="Times New Roman" w:cs="Times New Roman" w:eastAsia="Times New Roman" w:hAnsi="Times New Roman"/>
          <w:sz w:val="22"/>
          <w:szCs w:val="22"/>
        </w:rPr>
        <w:t xml:space="preserve">9. Knight B., Moss J., Davis J. Professional Microsoft SQL Server 2014 Integration Services. Indianapolis : Wrox, 2014. 864 p.</w:t>
      </w:r>
    </w:p>
    <w:p>
      <w:pPr>
        <w:spacing w:after="80" w:before="0" w:line="320" w:lineRule="auto"/>
        <w:ind w:left="700" w:hanging="700"/>
        <w:jc w:val="both"/>
      </w:pPr>
      <w:r>
        <w:rPr>
          <w:rFonts w:ascii="Times New Roman" w:cs="Times New Roman" w:eastAsia="Times New Roman" w:hAnsi="Times New Roman"/>
          <w:sz w:val="22"/>
          <w:szCs w:val="22"/>
        </w:rPr>
        <w:t xml:space="preserve">10. Batini C., Scannapieco M. Data and Information Quality: Dimensions, Principles and Techniques. Cham : Springer, 2016. 253 p. DOI: 10.1007/978-3-319-24106-7.</w:t>
      </w:r>
    </w:p>
    <w:p>
      <w:pPr>
        <w:spacing w:after="80" w:before="0" w:line="320" w:lineRule="auto"/>
        <w:ind w:left="700" w:hanging="700"/>
        <w:jc w:val="both"/>
      </w:pPr>
      <w:r>
        <w:rPr>
          <w:rFonts w:ascii="Times New Roman" w:cs="Times New Roman" w:eastAsia="Times New Roman" w:hAnsi="Times New Roman"/>
          <w:sz w:val="22"/>
          <w:szCs w:val="22"/>
        </w:rPr>
        <w:t xml:space="preserve">11. IBM Institute for Business Value. The Real Cost of Bad Data. Armonk : IBM, 2022. URL: https://www.ibm.com/downloads/cas/realcostbaddata (дата звернення: 12.03.2025).</w:t>
      </w:r>
    </w:p>
    <w:p>
      <w:pPr>
        <w:spacing w:after="80" w:before="0" w:line="320" w:lineRule="auto"/>
        <w:ind w:left="700" w:hanging="700"/>
        <w:jc w:val="both"/>
      </w:pPr>
      <w:r>
        <w:rPr>
          <w:rFonts w:ascii="Times New Roman" w:cs="Times New Roman" w:eastAsia="Times New Roman" w:hAnsi="Times New Roman"/>
          <w:sz w:val="22"/>
          <w:szCs w:val="22"/>
        </w:rPr>
        <w:t xml:space="preserve">12. Reis J., Housley M. Fundamentals of Data Engineering: Plan and Build Robust Data Systems. Sebastopol : O'Reilly Media, 2022. 414 p.</w:t>
      </w:r>
    </w:p>
    <w:p>
      <w:pPr>
        <w:spacing w:after="80" w:before="0" w:line="320" w:lineRule="auto"/>
        <w:ind w:left="700" w:hanging="700"/>
        <w:jc w:val="both"/>
      </w:pPr>
      <w:r>
        <w:rPr>
          <w:rFonts w:ascii="Times New Roman" w:cs="Times New Roman" w:eastAsia="Times New Roman" w:hAnsi="Times New Roman"/>
          <w:sz w:val="22"/>
          <w:szCs w:val="22"/>
        </w:rPr>
        <w:t xml:space="preserve">13. Databricks. Medallion Architecture. 2023. URL: https://www.databricks.com/glossary/medallion-architecture (дата звернення: 12.03.2025).</w:t>
      </w:r>
    </w:p>
    <w:p>
      <w:pPr>
        <w:spacing w:after="80" w:before="0" w:line="320" w:lineRule="auto"/>
        <w:ind w:left="700" w:hanging="700"/>
        <w:jc w:val="both"/>
      </w:pPr>
      <w:r>
        <w:rPr>
          <w:rFonts w:ascii="Times New Roman" w:cs="Times New Roman" w:eastAsia="Times New Roman" w:hAnsi="Times New Roman"/>
          <w:sz w:val="22"/>
          <w:szCs w:val="22"/>
        </w:rPr>
        <w:t xml:space="preserve">14. Chambers J., Zaharia M. Spark: The Definitive Guide. Sebastopol : O'Reilly Media, 2018. 614 p.</w:t>
      </w:r>
    </w:p>
    <w:p>
      <w:pPr>
        <w:spacing w:after="80" w:before="0" w:line="320" w:lineRule="auto"/>
        <w:ind w:left="700" w:hanging="700"/>
        <w:jc w:val="both"/>
      </w:pPr>
      <w:r>
        <w:rPr>
          <w:rFonts w:ascii="Times New Roman" w:cs="Times New Roman" w:eastAsia="Times New Roman" w:hAnsi="Times New Roman"/>
          <w:sz w:val="22"/>
          <w:szCs w:val="22"/>
        </w:rPr>
        <w:t xml:space="preserve">15. Goss R. Analytics Engineering with SQL and dbt. Sebastopol : O'Reilly Media, 2023. 352 p.</w:t>
      </w:r>
    </w:p>
    <w:p>
      <w:pPr>
        <w:spacing w:after="80" w:before="0" w:line="320" w:lineRule="auto"/>
        <w:ind w:left="700" w:hanging="700"/>
        <w:jc w:val="both"/>
      </w:pPr>
      <w:r>
        <w:rPr>
          <w:rFonts w:ascii="Times New Roman" w:cs="Times New Roman" w:eastAsia="Times New Roman" w:hAnsi="Times New Roman"/>
          <w:sz w:val="22"/>
          <w:szCs w:val="22"/>
        </w:rPr>
        <w:t xml:space="preserve">16. Beyer B. et al. Site Reliability Engineering: How Google Runs Production Systems. Sebastopol : O'Reilly Media, 2016. 552 p.</w:t>
      </w:r>
    </w:p>
    <w:p>
      <w:pPr>
        <w:spacing w:after="80" w:before="0" w:line="320" w:lineRule="auto"/>
        <w:ind w:left="700" w:hanging="700"/>
        <w:jc w:val="both"/>
      </w:pPr>
      <w:r>
        <w:rPr>
          <w:rFonts w:ascii="Times New Roman" w:cs="Times New Roman" w:eastAsia="Times New Roman" w:hAnsi="Times New Roman"/>
          <w:sz w:val="22"/>
          <w:szCs w:val="22"/>
        </w:rPr>
        <w:t xml:space="preserve">17. Armbrust M. et al. Lakehouse: A New Generation of Open Platforms that Unify Data Warehousing and Advanced Analytics. Proceedings of CIDR 2021. 2021. 8 p. URL: https://www.cidrdb.org/cidr2021/papers/cidr2021_paper17.pdf (дата звернення: 14.03.2025).</w:t>
      </w:r>
    </w:p>
    <w:p>
      <w:pPr>
        <w:spacing w:after="80" w:before="0" w:line="320" w:lineRule="auto"/>
        <w:ind w:left="700" w:hanging="700"/>
        <w:jc w:val="both"/>
      </w:pPr>
      <w:r>
        <w:rPr>
          <w:rFonts w:ascii="Times New Roman" w:cs="Times New Roman" w:eastAsia="Times New Roman" w:hAnsi="Times New Roman"/>
          <w:sz w:val="22"/>
          <w:szCs w:val="22"/>
        </w:rPr>
        <w:t xml:space="preserve">18. Microsoft. Best practices for Azure Data Lake Storage Gen2. 2024. URL: https://learn.microsoft.com/en-us/azure/storage/blobs/data-lake-storage-best-practices (дата звернення: 14.03.2025).</w:t>
      </w:r>
    </w:p>
    <w:p>
      <w:pPr>
        <w:spacing w:after="80" w:before="0" w:line="320" w:lineRule="auto"/>
        <w:ind w:left="700" w:hanging="700"/>
        <w:jc w:val="both"/>
      </w:pPr>
      <w:r>
        <w:rPr>
          <w:rFonts w:ascii="Times New Roman" w:cs="Times New Roman" w:eastAsia="Times New Roman" w:hAnsi="Times New Roman"/>
          <w:sz w:val="22"/>
          <w:szCs w:val="22"/>
        </w:rPr>
        <w:t xml:space="preserve">19. Munappy A. R. et al. Data Management Challenges for Deep Learning. Proceedings of the 45th Euromicro Conference on Software Engineering and Advanced Applications (SEAA). Belek, 2019. P. 140–147. DOI: 10.1109/SEAA.2019.00030.</w:t>
      </w:r>
    </w:p>
    <w:p>
      <w:pPr>
        <w:spacing w:after="80" w:before="0" w:line="320" w:lineRule="auto"/>
        <w:ind w:left="700" w:hanging="700"/>
        <w:jc w:val="both"/>
      </w:pPr>
      <w:r>
        <w:rPr>
          <w:rFonts w:ascii="Times New Roman" w:cs="Times New Roman" w:eastAsia="Times New Roman" w:hAnsi="Times New Roman"/>
          <w:sz w:val="22"/>
          <w:szCs w:val="22"/>
        </w:rPr>
        <w:t xml:space="preserve">20. Forrester Research. The Forrester Wave: Data Pipelines, Q2 2024. Cambridge : Forrester, 2024. URL: https://www.forrester.com/report/the-forrester-wave-data-pipelines-q2-2024/RES181157 (дата звернення: 15.03.2025).</w:t>
      </w:r>
    </w:p>
    <w:p>
      <w:pPr>
        <w:spacing w:after="80" w:before="0" w:line="320" w:lineRule="auto"/>
        <w:ind w:left="700" w:hanging="700"/>
        <w:jc w:val="both"/>
      </w:pPr>
      <w:r>
        <w:rPr>
          <w:rFonts w:ascii="Times New Roman" w:cs="Times New Roman" w:eastAsia="Times New Roman" w:hAnsi="Times New Roman"/>
          <w:sz w:val="22"/>
          <w:szCs w:val="22"/>
        </w:rPr>
        <w:t xml:space="preserve">21. Harenslak B., de Ruiter J. Data Pipelines with Apache Airflow. Shelter Island : Manning Publications, 2021. 496 p.</w:t>
      </w:r>
    </w:p>
    <w:p>
      <w:pPr>
        <w:spacing w:after="80" w:before="0" w:line="320" w:lineRule="auto"/>
        <w:ind w:left="700" w:hanging="700"/>
        <w:jc w:val="both"/>
      </w:pPr>
      <w:r>
        <w:rPr>
          <w:rFonts w:ascii="Times New Roman" w:cs="Times New Roman" w:eastAsia="Times New Roman" w:hAnsi="Times New Roman"/>
          <w:sz w:val="22"/>
          <w:szCs w:val="22"/>
        </w:rPr>
        <w:t xml:space="preserve">22. Martin R. C. Clean Architecture: A Craftsman's Guide to Software Structure and Design. Upper Saddle River : Prentice Hall, 2017. 432 p.</w:t>
      </w:r>
    </w:p>
    <w:p>
      <w:pPr>
        <w:spacing w:after="80" w:before="0" w:line="320" w:lineRule="auto"/>
        <w:ind w:left="700" w:hanging="700"/>
        <w:jc w:val="both"/>
      </w:pPr>
      <w:r>
        <w:rPr>
          <w:rFonts w:ascii="Times New Roman" w:cs="Times New Roman" w:eastAsia="Times New Roman" w:hAnsi="Times New Roman"/>
          <w:sz w:val="22"/>
          <w:szCs w:val="22"/>
        </w:rPr>
        <w:t xml:space="preserve">23. ISO/IEC 25010:2023. Systems and Software Engineering — Systems and Software Quality Requirements and Evaluation (SQuaRE) — Product Quality Model. Geneva : ISO, 2023. 24 p.</w:t>
      </w:r>
    </w:p>
    <w:p>
      <w:pPr>
        <w:spacing w:after="80" w:before="0" w:line="320" w:lineRule="auto"/>
        <w:ind w:left="700" w:hanging="700"/>
        <w:jc w:val="both"/>
      </w:pPr>
      <w:r>
        <w:rPr>
          <w:rFonts w:ascii="Times New Roman" w:cs="Times New Roman" w:eastAsia="Times New Roman" w:hAnsi="Times New Roman"/>
          <w:sz w:val="22"/>
          <w:szCs w:val="22"/>
        </w:rPr>
        <w:t xml:space="preserve">24. Lutz M. Learning Python. 5th ed. Sebastopol : O'Reilly Media, 2013. 1540 p.</w:t>
      </w:r>
    </w:p>
    <w:p>
      <w:pPr>
        <w:spacing w:after="80" w:before="0" w:line="320" w:lineRule="auto"/>
        <w:ind w:left="700" w:hanging="700"/>
        <w:jc w:val="both"/>
      </w:pPr>
      <w:r>
        <w:rPr>
          <w:rFonts w:ascii="Times New Roman" w:cs="Times New Roman" w:eastAsia="Times New Roman" w:hAnsi="Times New Roman"/>
          <w:sz w:val="22"/>
          <w:szCs w:val="22"/>
        </w:rPr>
        <w:t xml:space="preserve">25. Goetz B. et al. Java Concurrency in Practice. Upper Saddle River : Addison-Wesley, 2006. 432 p.</w:t>
      </w:r>
    </w:p>
    <w:p>
      <w:pPr>
        <w:spacing w:after="80" w:before="0" w:line="320" w:lineRule="auto"/>
        <w:ind w:left="700" w:hanging="700"/>
        <w:jc w:val="both"/>
      </w:pPr>
      <w:r>
        <w:rPr>
          <w:rFonts w:ascii="Times New Roman" w:cs="Times New Roman" w:eastAsia="Times New Roman" w:hAnsi="Times New Roman"/>
          <w:sz w:val="22"/>
          <w:szCs w:val="22"/>
        </w:rPr>
        <w:t xml:space="preserve">26. Stonebraker M., Cetintemel U. 'One Size Fits All': An Idea Whose Time Has Come and Gone. Proceedings of the 21st International Conference on Data Engineering (ICDE). Tokyo, 2005. P. 2–11. DOI: 10.1109/ICDE.2005.1.</w:t>
      </w:r>
    </w:p>
    <w:p>
      <w:pPr>
        <w:spacing w:after="80" w:before="0" w:line="320" w:lineRule="auto"/>
        <w:ind w:left="700" w:hanging="700"/>
        <w:jc w:val="both"/>
      </w:pPr>
      <w:r>
        <w:rPr>
          <w:rFonts w:ascii="Times New Roman" w:cs="Times New Roman" w:eastAsia="Times New Roman" w:hAnsi="Times New Roman"/>
          <w:sz w:val="22"/>
          <w:szCs w:val="22"/>
        </w:rPr>
        <w:t xml:space="preserve">27. Zikopoulos P., Eaton C. Understanding Big Data: Analytics for Enterprise Class Hadoop and Streaming Data. New York : McGraw-Hill, 2012. 166 p.</w:t>
      </w:r>
    </w:p>
    <w:sectPr>
      <w:pgSz w:w="11906" w:h="16838" w:orient="portrait"/>
      <w:pgMar w:top="1418"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6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pPr>
      <w:spacing w:after="120" w:before="240"/>
      <w:ind w:firstLine="7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2026-04-22T22:22:12.228Z</dcterms:created>
  <dcterms:modified xsi:type="dcterms:W3CDTF">2026-04-22T22:22:12.229Z</dcterms:modified>
</cp:coreProperties>
</file>

<file path=docProps/custom.xml><?xml version="1.0" encoding="utf-8"?>
<Properties xmlns="http://schemas.openxmlformats.org/officeDocument/2006/custom-properties" xmlns:vt="http://schemas.openxmlformats.org/officeDocument/2006/docPropsVTypes"/>
</file>