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40"/>
        <w:jc w:val="center"/>
      </w:pPr>
      <w:r>
        <w:rPr>
          <w:rFonts w:ascii="Times New Roman" w:cs="Times New Roman" w:eastAsia="Times New Roman" w:hAnsi="Times New Roman"/>
          <w:b/>
          <w:bCs/>
          <w:sz w:val="32"/>
          <w:szCs w:val="32"/>
        </w:rPr>
        <w:t xml:space="preserve">ДОПОВІДЬ</w:t>
      </w:r>
    </w:p>
    <w:p>
      <w:pPr>
        <w:spacing w:after="160" w:before="240"/>
        <w:jc w:val="center"/>
      </w:pPr>
      <w:r>
        <w:rPr>
          <w:rFonts w:ascii="Times New Roman" w:cs="Times New Roman" w:eastAsia="Times New Roman" w:hAnsi="Times New Roman"/>
          <w:b/>
          <w:bCs/>
          <w:sz w:val="28"/>
          <w:szCs w:val="28"/>
        </w:rPr>
        <w:t xml:space="preserve">до захисту кваліфікаційної роботи бакалавра</w:t>
      </w:r>
    </w:p>
    <w:p>
      <w:pPr>
        <w:spacing w:after="80"/>
        <w:jc w:val="center"/>
      </w:pPr>
      <w:r>
        <w:rPr>
          <w:rFonts w:ascii="Times New Roman" w:cs="Times New Roman" w:eastAsia="Times New Roman" w:hAnsi="Times New Roman"/>
          <w:sz w:val="28"/>
          <w:szCs w:val="28"/>
        </w:rPr>
        <w:t xml:space="preserve">на тему:</w:t>
      </w:r>
    </w:p>
    <w:p>
      <w:pPr>
        <w:spacing w:after="80"/>
        <w:jc w:val="center"/>
      </w:pPr>
      <w:r>
        <w:rPr>
          <w:rFonts w:ascii="Times New Roman" w:cs="Times New Roman" w:eastAsia="Times New Roman" w:hAnsi="Times New Roman"/>
          <w:b/>
          <w:bCs/>
          <w:sz w:val="28"/>
          <w:szCs w:val="28"/>
        </w:rPr>
        <w:t xml:space="preserve">«Проектування та реалізація ETL-конвейєра на основі Medallion Architecture з імітацією реальних потоків вхідних даних»</w:t>
      </w:r>
    </w:p>
    <w:p>
      <w:pPr>
        <w:spacing w:after="80"/>
        <w:jc w:val="center"/>
      </w:pPr>
      <w:r>
        <w:rPr>
          <w:rFonts w:ascii="Times New Roman" w:cs="Times New Roman" w:eastAsia="Times New Roman" w:hAnsi="Times New Roman"/>
          <w:sz w:val="28"/>
          <w:szCs w:val="28"/>
        </w:rPr>
        <w:t xml:space="preserve">Науковий керівник: к.ф.-м.н., доц. Томка Ю.Я.</w:t>
      </w:r>
    </w:p>
    <w:p>
      <w:pPr>
        <w:spacing w:after="60"/>
        <w:jc w:val="center"/>
      </w:pPr>
      <w:r>
        <w:rPr>
          <w:rFonts w:ascii="Times New Roman" w:cs="Times New Roman" w:eastAsia="Times New Roman" w:hAnsi="Times New Roman"/>
          <w:sz w:val="28"/>
          <w:szCs w:val="28"/>
        </w:rPr>
        <w:t xml:space="preserve">Чернівці – 2026</w:t>
      </w:r>
    </w:p>
    <w:p>
      <w:pPr>
        <w:pBdr>
          <w:bottom w:val="single" w:color="0D9488" w:sz="4" w:space="2"/>
        </w:pBdr>
        <w:spacing w:after="80"/>
      </w:pPr>
    </w:p>
    <w:p>
      <w:pPr>
        <w:spacing w:after="200"/>
      </w:pPr>
      <w:r>
        <w:rPr>
          <w:rFonts w:ascii="Times New Roman" w:cs="Times New Roman" w:eastAsia="Times New Roman" w:hAnsi="Times New Roman"/>
          <w:color w:val="475569"/>
          <w:sz w:val="22"/>
          <w:szCs w:val="22"/>
        </w:rPr>
        <w:t xml:space="preserve">Орієнтовний час виступу: 7–10 хвилин</w:t>
      </w:r>
    </w:p>
    <w:p>
      <w:pPr>
        <w:spacing w:after="60" w:before="200"/>
      </w:pPr>
      <w:r>
        <w:rPr>
          <w:rFonts w:ascii="Times New Roman" w:cs="Times New Roman" w:eastAsia="Times New Roman" w:hAnsi="Times New Roman"/>
          <w:b/>
          <w:bCs/>
          <w:i/>
          <w:iCs/>
          <w:color w:val="0D9488"/>
          <w:sz w:val="22"/>
          <w:szCs w:val="22"/>
        </w:rPr>
        <w:t xml:space="preserve">[СЛАЙД 1 — Титульний слайд]</w:t>
      </w:r>
    </w:p>
    <w:p>
      <w:pPr>
        <w:spacing w:after="120" w:line="360"/>
        <w:jc w:val="both"/>
      </w:pPr>
      <w:r>
        <w:rPr>
          <w:rFonts w:ascii="Times New Roman" w:cs="Times New Roman" w:eastAsia="Times New Roman" w:hAnsi="Times New Roman"/>
          <w:b w:val="false"/>
          <w:bCs w:val="false"/>
          <w:sz w:val="28"/>
          <w:szCs w:val="28"/>
        </w:rPr>
        <w:t xml:space="preserve">Шановні члени екзаменаційної комісії! Дозвольте представити до вашої уваги кваліфікаційну роботу на тему «Проектування та реалізація ETL-конвейєра на основі Medallion Architecture з імітацією реальних потоків вхідних даних».</w:t>
      </w:r>
    </w:p>
    <w:p>
      <w:pPr>
        <w:spacing w:after="60" w:before="200"/>
      </w:pPr>
      <w:r>
        <w:rPr>
          <w:rFonts w:ascii="Times New Roman" w:cs="Times New Roman" w:eastAsia="Times New Roman" w:hAnsi="Times New Roman"/>
          <w:b/>
          <w:bCs/>
          <w:i/>
          <w:iCs/>
          <w:color w:val="0D9488"/>
          <w:sz w:val="22"/>
          <w:szCs w:val="22"/>
        </w:rPr>
        <w:t xml:space="preserve">[СЛАЙД 2 — Актуальність]</w:t>
      </w:r>
    </w:p>
    <w:p>
      <w:pPr>
        <w:spacing w:after="120" w:line="360"/>
        <w:jc w:val="both"/>
      </w:pPr>
      <w:r>
        <w:rPr>
          <w:rFonts w:ascii="Times New Roman" w:cs="Times New Roman" w:eastAsia="Times New Roman" w:hAnsi="Times New Roman"/>
          <w:b w:val="false"/>
          <w:bCs w:val="false"/>
          <w:sz w:val="28"/>
          <w:szCs w:val="28"/>
        </w:rPr>
        <w:t xml:space="preserve">Сучасні підприємства генерують значні обсяги даних з різнорідних джерел, і забезпечення їхньої якості та цілісності є критичним завданням. Попри широкий вибір інструментів — Apache Airflow, Azure Data Factory, SSIS та dbt — жоден із них не поєднує одночасно відкритість вихідного коду, нативну підтримку медальйонної архітектури, вбудований контроль якості та хмарну незалежність. Саме цей розрив і визначив актуальність та напрям даної роботи.</w:t>
      </w:r>
    </w:p>
    <w:p>
      <w:pPr>
        <w:spacing w:after="60" w:before="200"/>
      </w:pPr>
      <w:r>
        <w:rPr>
          <w:rFonts w:ascii="Times New Roman" w:cs="Times New Roman" w:eastAsia="Times New Roman" w:hAnsi="Times New Roman"/>
          <w:b/>
          <w:bCs/>
          <w:i/>
          <w:iCs/>
          <w:color w:val="0D9488"/>
          <w:sz w:val="22"/>
          <w:szCs w:val="22"/>
        </w:rPr>
        <w:t xml:space="preserve">[СЛАЙД 3 — Мета та завдання]</w:t>
      </w:r>
    </w:p>
    <w:p>
      <w:pPr>
        <w:spacing w:after="120" w:line="360"/>
        <w:jc w:val="both"/>
      </w:pPr>
      <w:r>
        <w:rPr>
          <w:rFonts w:ascii="Times New Roman" w:cs="Times New Roman" w:eastAsia="Times New Roman" w:hAnsi="Times New Roman"/>
          <w:b w:val="false"/>
          <w:bCs w:val="false"/>
          <w:sz w:val="28"/>
          <w:szCs w:val="28"/>
        </w:rPr>
        <w:t xml:space="preserve">Метою роботи є розробка програмної системи інтеграції даних на основі медальйонної архітектури з повним ETL-циклом Bronze → Silver → Gold, вбудованим контролем якості та вебінтерфейсом моніторингу.</w:t>
      </w:r>
    </w:p>
    <w:p>
      <w:pPr>
        <w:spacing w:after="120" w:line="360"/>
        <w:jc w:val="both"/>
      </w:pPr>
      <w:r>
        <w:rPr>
          <w:rFonts w:ascii="Times New Roman" w:cs="Times New Roman" w:eastAsia="Times New Roman" w:hAnsi="Times New Roman"/>
          <w:b w:val="false"/>
          <w:bCs w:val="false"/>
          <w:sz w:val="28"/>
          <w:szCs w:val="28"/>
        </w:rPr>
        <w:t xml:space="preserve">Для досягнення цієї мети було вирішено такі завдання: проведено теоретичний огляд концепції ETL та медальйонної архітектури; здійснено порівняльний аналіз існуючих інструментів; спроектовано схему бази даних та ETL-пайплайн; реалізовано WPF-симулятор і вебзастосунок; організовано міжпроцесну взаємодію через Named Pipe.</w:t>
      </w:r>
    </w:p>
    <w:p>
      <w:pPr>
        <w:spacing w:after="60" w:before="200"/>
      </w:pPr>
      <w:r>
        <w:rPr>
          <w:rFonts w:ascii="Times New Roman" w:cs="Times New Roman" w:eastAsia="Times New Roman" w:hAnsi="Times New Roman"/>
          <w:b/>
          <w:bCs/>
          <w:i/>
          <w:iCs/>
          <w:color w:val="0D9488"/>
          <w:sz w:val="22"/>
          <w:szCs w:val="22"/>
        </w:rPr>
        <w:t xml:space="preserve">[СЛАЙД 4 — Аналіз аналогів]</w:t>
      </w:r>
    </w:p>
    <w:p>
      <w:pPr>
        <w:spacing w:after="120" w:line="360"/>
        <w:jc w:val="both"/>
      </w:pPr>
      <w:r>
        <w:rPr>
          <w:rFonts w:ascii="Times New Roman" w:cs="Times New Roman" w:eastAsia="Times New Roman" w:hAnsi="Times New Roman"/>
          <w:b w:val="false"/>
          <w:bCs w:val="false"/>
          <w:sz w:val="28"/>
          <w:szCs w:val="28"/>
        </w:rPr>
        <w:t xml:space="preserve">У першому розділі проведено порівняльний аналіз п'яти провідних ETL-інструментів за дев'ятьма критеріями. Як видно з таблиці на слайді, кожен із них має суттєві обмеження: Airflow потребує інтеграції додаткових компонентів для повного ETL-циклу, ADF є хмарно залежним, SSIS не підтримує медальйонну архітектуру, а dbt вирішує лише трансформаційну частину задачі. Власне рішення отримало найвищу оцінку за всіма критеріями, що обґрунтовує доцільність його розробки.</w:t>
      </w:r>
    </w:p>
    <w:p>
      <w:pPr>
        <w:spacing w:after="60" w:before="200"/>
      </w:pPr>
      <w:r>
        <w:rPr>
          <w:rFonts w:ascii="Times New Roman" w:cs="Times New Roman" w:eastAsia="Times New Roman" w:hAnsi="Times New Roman"/>
          <w:b/>
          <w:bCs/>
          <w:i/>
          <w:iCs/>
          <w:color w:val="0D9488"/>
          <w:sz w:val="22"/>
          <w:szCs w:val="22"/>
        </w:rPr>
        <w:t xml:space="preserve">[СЛАЙД 5 — Загальна архітектура]</w:t>
      </w:r>
    </w:p>
    <w:p>
      <w:pPr>
        <w:spacing w:after="120" w:line="360"/>
        <w:jc w:val="both"/>
      </w:pPr>
      <w:r>
        <w:rPr>
          <w:rFonts w:ascii="Times New Roman" w:cs="Times New Roman" w:eastAsia="Times New Roman" w:hAnsi="Times New Roman"/>
          <w:b w:val="false"/>
          <w:bCs w:val="false"/>
          <w:sz w:val="28"/>
          <w:szCs w:val="28"/>
        </w:rPr>
        <w:t xml:space="preserve">Розроблена система є двокомпонентною. Перший компонент — настільний WPF-симулятор, що генерує синтетичні потоки даних та виконує ETL-пайплайн. Він побудований за патерном MVVM і включає BronzeLoader, SilverProcessor, GoldLoader та EtlOrchestrator. Другий компонент — вебзастосунок на ASP.NET Core MVC, що забезпечує моніторинг, перегляд журналів та управління задачами. Обидва компоненти взаємодіють через спільну базу даних PostgreSQL та механізм Named Pipe.</w:t>
      </w:r>
    </w:p>
    <w:p>
      <w:pPr>
        <w:spacing w:after="60" w:before="200"/>
      </w:pPr>
      <w:r>
        <w:rPr>
          <w:rFonts w:ascii="Times New Roman" w:cs="Times New Roman" w:eastAsia="Times New Roman" w:hAnsi="Times New Roman"/>
          <w:b/>
          <w:bCs/>
          <w:i/>
          <w:iCs/>
          <w:color w:val="0D9488"/>
          <w:sz w:val="22"/>
          <w:szCs w:val="22"/>
        </w:rPr>
        <w:t xml:space="preserve">[СЛАЙД 6 — Медальйонна архітектура]</w:t>
      </w:r>
    </w:p>
    <w:p>
      <w:pPr>
        <w:spacing w:after="120" w:line="360"/>
        <w:jc w:val="both"/>
      </w:pPr>
      <w:r>
        <w:rPr>
          <w:rFonts w:ascii="Times New Roman" w:cs="Times New Roman" w:eastAsia="Times New Roman" w:hAnsi="Times New Roman"/>
          <w:b w:val="false"/>
          <w:bCs w:val="false"/>
          <w:sz w:val="28"/>
          <w:szCs w:val="28"/>
        </w:rPr>
        <w:t xml:space="preserve">Ключовою архітектурною концепцією є медальйонна архітектура з трьома рівнями. Bronze-шар — таблиця stg.SalesRaw — зберігає сирі незмінні дані з nullable-полями та прапором ідемпотентності IsProcessedToSilver. Silver-шар — silver.SalesClean — реалізує валідацію NOT NULL, перевірку коректності Quantity та Price, дворівневу дедуплікацію та трасування через SourceId. Gold-шар — зіркова схема в схемі dw — містить таблицю фактів FactSales та чотири виміри: DimStore, DimProduct, DimCustomer та DimDate.</w:t>
      </w:r>
    </w:p>
    <w:p>
      <w:pPr>
        <w:spacing w:after="60" w:before="200"/>
      </w:pPr>
      <w:r>
        <w:rPr>
          <w:rFonts w:ascii="Times New Roman" w:cs="Times New Roman" w:eastAsia="Times New Roman" w:hAnsi="Times New Roman"/>
          <w:b/>
          <w:bCs/>
          <w:i/>
          <w:iCs/>
          <w:color w:val="0D9488"/>
          <w:sz w:val="22"/>
          <w:szCs w:val="22"/>
        </w:rPr>
        <w:t xml:space="preserve">[СЛАЙД 7 — База даних]</w:t>
      </w:r>
    </w:p>
    <w:p>
      <w:pPr>
        <w:spacing w:after="120" w:line="360"/>
        <w:jc w:val="both"/>
      </w:pPr>
      <w:r>
        <w:rPr>
          <w:rFonts w:ascii="Times New Roman" w:cs="Times New Roman" w:eastAsia="Times New Roman" w:hAnsi="Times New Roman"/>
          <w:b w:val="false"/>
          <w:bCs w:val="false"/>
          <w:sz w:val="28"/>
          <w:szCs w:val="28"/>
        </w:rPr>
        <w:t xml:space="preserve">База даних PostgreSQL організована за принципом схемного розподілу, що безпосередньо відображає шари медальйонної архітектури. Схема stg відповідає Bronze-шару, silver — Silver-шару, dw — Gold-шару. Окрім того, є дві службові схеми: etl для аудиту виконань (EtlJob, EtlRun, EtlLog, EtlSchedule) та auth для управління обліковими записами з bcrypt-хешуванням паролів. Вся структура підтримується засобами Entity Framework Core у режимі Code First.</w:t>
      </w:r>
    </w:p>
    <w:p>
      <w:pPr>
        <w:spacing w:after="60" w:before="200"/>
      </w:pPr>
      <w:r>
        <w:rPr>
          <w:rFonts w:ascii="Times New Roman" w:cs="Times New Roman" w:eastAsia="Times New Roman" w:hAnsi="Times New Roman"/>
          <w:b/>
          <w:bCs/>
          <w:i/>
          <w:iCs/>
          <w:color w:val="0D9488"/>
          <w:sz w:val="22"/>
          <w:szCs w:val="22"/>
        </w:rPr>
        <w:t xml:space="preserve">[СЛАЙД 8 — ETL-пайплайн]</w:t>
      </w:r>
    </w:p>
    <w:p>
      <w:pPr>
        <w:spacing w:after="120" w:line="360"/>
        <w:jc w:val="both"/>
      </w:pPr>
      <w:r>
        <w:rPr>
          <w:rFonts w:ascii="Times New Roman" w:cs="Times New Roman" w:eastAsia="Times New Roman" w:hAnsi="Times New Roman"/>
          <w:b w:val="false"/>
          <w:bCs w:val="false"/>
          <w:sz w:val="28"/>
          <w:szCs w:val="28"/>
        </w:rPr>
        <w:t xml:space="preserve">ETL-пайплайн складається з чотирьох класів з чітким розмежуванням відповідальності. BronzeLoader реалізує мінімалістичну логіку: отримати пакет — зберегти без перевірок. SilverProcessor є центральним елементом контролю якості: він перевіряє сім правил валідації та виконує дворівневу дедуплікацію через HashSet і запит до бази даних. GoldLoader виконує lookup у таблицях вимірів та будує записи FactSales. EtlOrchestrator відповідає виключно за аудит виконання: стартує запис EtlRun, логує кожен крок та фіксує підсумковий статус.</w:t>
      </w:r>
    </w:p>
    <w:p>
      <w:pPr>
        <w:spacing w:after="120" w:line="360"/>
        <w:jc w:val="both"/>
      </w:pPr>
      <w:r>
        <w:rPr>
          <w:rFonts w:ascii="Times New Roman" w:cs="Times New Roman" w:eastAsia="Times New Roman" w:hAnsi="Times New Roman"/>
          <w:b w:val="false"/>
          <w:bCs w:val="false"/>
          <w:sz w:val="28"/>
          <w:szCs w:val="28"/>
        </w:rPr>
        <w:t xml:space="preserve">Принциповою особливістю є ідемпотентність: прапорці IsProcessedToSilver та IsProcessedToGold гарантують, що кожен запис обробляється рівно один раз незалежно від кількості перезапусків конвейєра.</w:t>
      </w:r>
    </w:p>
    <w:p>
      <w:pPr>
        <w:spacing w:after="60" w:before="200"/>
      </w:pPr>
      <w:r>
        <w:rPr>
          <w:rFonts w:ascii="Times New Roman" w:cs="Times New Roman" w:eastAsia="Times New Roman" w:hAnsi="Times New Roman"/>
          <w:b/>
          <w:bCs/>
          <w:i/>
          <w:iCs/>
          <w:color w:val="0D9488"/>
          <w:sz w:val="22"/>
          <w:szCs w:val="22"/>
        </w:rPr>
        <w:t xml:space="preserve">[СЛАЙД 9 — WPF-симулятор]</w:t>
      </w:r>
    </w:p>
    <w:p>
      <w:pPr>
        <w:spacing w:after="120" w:line="360"/>
        <w:jc w:val="both"/>
      </w:pPr>
      <w:r>
        <w:rPr>
          <w:rFonts w:ascii="Times New Roman" w:cs="Times New Roman" w:eastAsia="Times New Roman" w:hAnsi="Times New Roman"/>
          <w:b w:val="false"/>
          <w:bCs w:val="false"/>
          <w:sz w:val="28"/>
          <w:szCs w:val="28"/>
        </w:rPr>
        <w:t xml:space="preserve">WPF-симулятор реалізує дидактичну роль: він імітує реальні виробничі умови з контрольованим рівнем дефектності вхідних даних. Клас SalesGenerator з бібліотекою Bogus генерує реалістичні синтетичні дані: 10 магазинів, 100 товарів, 250 клієнтів. Параметр ErrorRate дозволяє задати відсоток дефектних записів, що автоматично розподіляється між Null-значеннями та некоректними числовими полями. Анімаційний блок відображає кожен запис у режимі реального часу з кольоровою індикацією PASSED (зелений) або REJECTED (червоний) та зазначенням конкретної причини відхилення.</w:t>
      </w:r>
    </w:p>
    <w:p>
      <w:pPr>
        <w:spacing w:after="60" w:before="200"/>
      </w:pPr>
      <w:r>
        <w:rPr>
          <w:rFonts w:ascii="Times New Roman" w:cs="Times New Roman" w:eastAsia="Times New Roman" w:hAnsi="Times New Roman"/>
          <w:b/>
          <w:bCs/>
          <w:i/>
          <w:iCs/>
          <w:color w:val="0D9488"/>
          <w:sz w:val="22"/>
          <w:szCs w:val="22"/>
        </w:rPr>
        <w:t xml:space="preserve">[СЛАЙД 10 — Вебзастосунок]</w:t>
      </w:r>
    </w:p>
    <w:p>
      <w:pPr>
        <w:spacing w:after="120" w:line="360"/>
        <w:jc w:val="both"/>
      </w:pPr>
      <w:r>
        <w:rPr>
          <w:rFonts w:ascii="Times New Roman" w:cs="Times New Roman" w:eastAsia="Times New Roman" w:hAnsi="Times New Roman"/>
          <w:b w:val="false"/>
          <w:bCs w:val="false"/>
          <w:sz w:val="28"/>
          <w:szCs w:val="28"/>
        </w:rPr>
        <w:t xml:space="preserve">Вебзастосунок на ASP.NET Core MVC надає шість функціональних розділів. Dashboard відображає KPI-показники всіх шарів. ETL Jobs дозволяє переглядати задачі та запускати їх кнопкою «Run Now», яка надсилає команду до WPF-симулятора через Named Pipe. ETL Logs показує деталізований журнал із агрегованою статистикою Info/Warn/Error. Staging надає доступ до Bronze-шару з можливістю експорту в CSV. Facts — аналітичний перегляд Gold-шару з фільтрацією. Адмін-розділ управляє обліковими записами трьох ролей: Admin, DataEngineer та Analyst.</w:t>
      </w:r>
    </w:p>
    <w:p>
      <w:pPr>
        <w:spacing w:after="60" w:before="200"/>
      </w:pPr>
      <w:r>
        <w:rPr>
          <w:rFonts w:ascii="Times New Roman" w:cs="Times New Roman" w:eastAsia="Times New Roman" w:hAnsi="Times New Roman"/>
          <w:b/>
          <w:bCs/>
          <w:i/>
          <w:iCs/>
          <w:color w:val="0D9488"/>
          <w:sz w:val="22"/>
          <w:szCs w:val="22"/>
        </w:rPr>
        <w:t xml:space="preserve">[СЛАЙД 11 — Результати]</w:t>
      </w:r>
    </w:p>
    <w:p>
      <w:pPr>
        <w:spacing w:after="120" w:line="360"/>
        <w:jc w:val="both"/>
      </w:pPr>
      <w:r>
        <w:rPr>
          <w:rFonts w:ascii="Times New Roman" w:cs="Times New Roman" w:eastAsia="Times New Roman" w:hAnsi="Times New Roman"/>
          <w:b w:val="false"/>
          <w:bCs w:val="false"/>
          <w:sz w:val="28"/>
          <w:szCs w:val="28"/>
        </w:rPr>
        <w:t xml:space="preserve">Ключові результати роботи: реалізовано 3 рівні медальйонної архітектури, 5 схем PostgreSQL з логічним розмежуванням, 7 правил валідації в SilverProcessor, дворівнева дедуплікація (батч та база даних), 3-рівнева рольова модель доступу та міжпроцесна взаємодія через Named Pipe між двома незалежними застосунками.</w:t>
      </w:r>
    </w:p>
    <w:p>
      <w:pPr>
        <w:spacing w:after="60" w:before="200"/>
      </w:pPr>
      <w:r>
        <w:rPr>
          <w:rFonts w:ascii="Times New Roman" w:cs="Times New Roman" w:eastAsia="Times New Roman" w:hAnsi="Times New Roman"/>
          <w:b/>
          <w:bCs/>
          <w:i/>
          <w:iCs/>
          <w:color w:val="0D9488"/>
          <w:sz w:val="22"/>
          <w:szCs w:val="22"/>
        </w:rPr>
        <w:t xml:space="preserve">[СЛАЙД 12 — Висновки]</w:t>
      </w:r>
    </w:p>
    <w:p>
      <w:pPr>
        <w:spacing w:after="120" w:line="360"/>
        <w:jc w:val="both"/>
      </w:pPr>
      <w:r>
        <w:rPr>
          <w:rFonts w:ascii="Times New Roman" w:cs="Times New Roman" w:eastAsia="Times New Roman" w:hAnsi="Times New Roman"/>
          <w:b w:val="false"/>
          <w:bCs w:val="false"/>
          <w:sz w:val="28"/>
          <w:szCs w:val="28"/>
        </w:rPr>
        <w:t xml:space="preserve">Підсумовуючи, у ході виконання кваліфікаційної роботи:</w:t>
      </w:r>
    </w:p>
    <w:p>
      <w:pPr>
        <w:spacing w:after="120" w:line="360"/>
        <w:jc w:val="both"/>
      </w:pPr>
      <w:r>
        <w:rPr>
          <w:rFonts w:ascii="Times New Roman" w:cs="Times New Roman" w:eastAsia="Times New Roman" w:hAnsi="Times New Roman"/>
          <w:b w:val="false"/>
          <w:bCs w:val="false"/>
          <w:sz w:val="28"/>
          <w:szCs w:val="28"/>
        </w:rPr>
        <w:t xml:space="preserve">— проведено теоретичний огляд концепції ETL та медальйонної архітектури; виявлено обмеження існуючих інструментів і обґрунтовано власне рішення;</w:t>
      </w:r>
    </w:p>
    <w:p>
      <w:pPr>
        <w:spacing w:after="120" w:line="360"/>
        <w:jc w:val="both"/>
      </w:pPr>
      <w:r>
        <w:rPr>
          <w:rFonts w:ascii="Times New Roman" w:cs="Times New Roman" w:eastAsia="Times New Roman" w:hAnsi="Times New Roman"/>
          <w:b w:val="false"/>
          <w:bCs w:val="false"/>
          <w:sz w:val="28"/>
          <w:szCs w:val="28"/>
        </w:rPr>
        <w:t xml:space="preserve">— спроектовано двокомпонентну систему з чітким розмежуванням відповідальності між WPF-симулятором та вебзастосунком;</w:t>
      </w:r>
    </w:p>
    <w:p>
      <w:pPr>
        <w:spacing w:after="120" w:line="360"/>
        <w:jc w:val="both"/>
      </w:pPr>
      <w:r>
        <w:rPr>
          <w:rFonts w:ascii="Times New Roman" w:cs="Times New Roman" w:eastAsia="Times New Roman" w:hAnsi="Times New Roman"/>
          <w:b w:val="false"/>
          <w:bCs w:val="false"/>
          <w:sz w:val="28"/>
          <w:szCs w:val="28"/>
        </w:rPr>
        <w:t xml:space="preserve">— реалізовано ETL-пайплайн з валідацією, дворівневою дедуплікацією та гарантованою ідемпотентністю;</w:t>
      </w:r>
    </w:p>
    <w:p>
      <w:pPr>
        <w:spacing w:after="120" w:line="360"/>
        <w:jc w:val="both"/>
      </w:pPr>
      <w:r>
        <w:rPr>
          <w:rFonts w:ascii="Times New Roman" w:cs="Times New Roman" w:eastAsia="Times New Roman" w:hAnsi="Times New Roman"/>
          <w:b w:val="false"/>
          <w:bCs w:val="false"/>
          <w:sz w:val="28"/>
          <w:szCs w:val="28"/>
        </w:rPr>
        <w:t xml:space="preserve">— реалізовано симулятор з контрольованим рівнем дефектності та анімованою покроковою візуалізацією потоку даних;</w:t>
      </w:r>
    </w:p>
    <w:p>
      <w:pPr>
        <w:spacing w:after="120" w:line="360"/>
        <w:jc w:val="both"/>
      </w:pPr>
      <w:r>
        <w:rPr>
          <w:rFonts w:ascii="Times New Roman" w:cs="Times New Roman" w:eastAsia="Times New Roman" w:hAnsi="Times New Roman"/>
          <w:b w:val="false"/>
          <w:bCs w:val="false"/>
          <w:sz w:val="28"/>
          <w:szCs w:val="28"/>
        </w:rPr>
        <w:t xml:space="preserve">— забезпечено міжпроцесну взаємодію через Named Pipe та ролеву модель доступу.</w:t>
      </w:r>
    </w:p>
    <w:p>
      <w:pPr>
        <w:spacing w:after="120" w:line="360"/>
        <w:jc w:val="both"/>
      </w:pPr>
      <w:r>
        <w:rPr>
          <w:rFonts w:ascii="Times New Roman" w:cs="Times New Roman" w:eastAsia="Times New Roman" w:hAnsi="Times New Roman"/>
          <w:b w:val="false"/>
          <w:bCs w:val="false"/>
          <w:sz w:val="28"/>
          <w:szCs w:val="28"/>
        </w:rPr>
        <w:t xml:space="preserve">Практична цінність роботи полягає у створенні повнофункціональної системи, придатної як навчальний стенд або основа для впровадження у малих і середніх підприємствах. Дякую за увагу. Готовий відповідати на запитання.</w:t>
      </w:r>
    </w:p>
    <w:p>
      <w:pPr>
        <w:pBdr>
          <w:bottom w:val="single" w:color="0D9488" w:sz="4" w:space="2"/>
        </w:pBdr>
        <w:spacing w:after="80"/>
      </w:pPr>
    </w:p>
    <w:p>
      <w:pPr>
        <w:spacing w:after="160" w:before="240"/>
        <w:jc w:val="center"/>
      </w:pPr>
      <w:r>
        <w:rPr>
          <w:rFonts w:ascii="Times New Roman" w:cs="Times New Roman" w:eastAsia="Times New Roman" w:hAnsi="Times New Roman"/>
          <w:b/>
          <w:bCs/>
          <w:sz w:val="28"/>
          <w:szCs w:val="28"/>
        </w:rPr>
        <w:t xml:space="preserve">Можливі запитання комісії та короткі відповіді</w:t>
      </w:r>
    </w:p>
    <w:p>
      <w:pPr>
        <w:spacing w:after="60" w:before="200"/>
      </w:pPr>
      <w:r>
        <w:rPr>
          <w:rFonts w:ascii="Times New Roman" w:cs="Times New Roman" w:eastAsia="Times New Roman" w:hAnsi="Times New Roman"/>
          <w:b/>
          <w:bCs/>
          <w:i/>
          <w:iCs/>
          <w:color w:val="0D9488"/>
          <w:sz w:val="22"/>
          <w:szCs w:val="22"/>
        </w:rPr>
        <w:t xml:space="preserve">[Питання: Чому обрано PostgreSQL, а не SQL Server або інші СУБД?]</w:t>
      </w:r>
    </w:p>
    <w:p>
      <w:pPr>
        <w:spacing w:after="120" w:line="360"/>
        <w:jc w:val="both"/>
      </w:pPr>
      <w:r>
        <w:rPr>
          <w:rFonts w:ascii="Times New Roman" w:cs="Times New Roman" w:eastAsia="Times New Roman" w:hAnsi="Times New Roman"/>
          <w:b w:val="false"/>
          <w:bCs w:val="false"/>
          <w:sz w:val="28"/>
          <w:szCs w:val="28"/>
        </w:rPr>
        <w:t xml:space="preserve">PostgreSQL обрано через нативну підтримку іменованих схем, що дозволяє логічно ізолювати шари медальйонної архітектури, відкритий вихідний код та хмарну незалежність. Водночас система спроектована так, що заміна СУБД потребує лише зміни рядка підключення та міграцій EF Core.</w:t>
      </w:r>
    </w:p>
    <w:p>
      <w:pPr>
        <w:spacing w:after="60" w:before="200"/>
      </w:pPr>
      <w:r>
        <w:rPr>
          <w:rFonts w:ascii="Times New Roman" w:cs="Times New Roman" w:eastAsia="Times New Roman" w:hAnsi="Times New Roman"/>
          <w:b/>
          <w:bCs/>
          <w:i/>
          <w:iCs/>
          <w:color w:val="0D9488"/>
          <w:sz w:val="22"/>
          <w:szCs w:val="22"/>
        </w:rPr>
        <w:t xml:space="preserve">[Питання: Як забезпечується ідемпотентність?]</w:t>
      </w:r>
    </w:p>
    <w:p>
      <w:pPr>
        <w:spacing w:after="120" w:line="360"/>
        <w:jc w:val="both"/>
      </w:pPr>
      <w:r>
        <w:rPr>
          <w:rFonts w:ascii="Times New Roman" w:cs="Times New Roman" w:eastAsia="Times New Roman" w:hAnsi="Times New Roman"/>
          <w:b w:val="false"/>
          <w:bCs w:val="false"/>
          <w:sz w:val="28"/>
          <w:szCs w:val="28"/>
        </w:rPr>
        <w:t xml:space="preserve">Ідемпотентність забезпечується прапорцями IsProcessedToSilver та IsProcessedToGold у відповідних таблицях. Silver-процесор обирає лише записи з IsProcessedToSilver = false, після обробки виставляє прапор у true. Аналогічний механізм для Gold. Дедуплікація Silver додатково перевіряє унікальність через HashSet у пам'яті та запит до бази даних.</w:t>
      </w:r>
    </w:p>
    <w:p>
      <w:pPr>
        <w:spacing w:after="60" w:before="200"/>
      </w:pPr>
      <w:r>
        <w:rPr>
          <w:rFonts w:ascii="Times New Roman" w:cs="Times New Roman" w:eastAsia="Times New Roman" w:hAnsi="Times New Roman"/>
          <w:b/>
          <w:bCs/>
          <w:i/>
          <w:iCs/>
          <w:color w:val="0D9488"/>
          <w:sz w:val="22"/>
          <w:szCs w:val="22"/>
        </w:rPr>
        <w:t xml:space="preserve">[Питання: Що відбувається при збої в середині пайплайну?]</w:t>
      </w:r>
    </w:p>
    <w:p>
      <w:pPr>
        <w:spacing w:after="120" w:line="360"/>
        <w:jc w:val="both"/>
      </w:pPr>
      <w:r>
        <w:rPr>
          <w:rFonts w:ascii="Times New Roman" w:cs="Times New Roman" w:eastAsia="Times New Roman" w:hAnsi="Times New Roman"/>
          <w:b w:val="false"/>
          <w:bCs w:val="false"/>
          <w:sz w:val="28"/>
          <w:szCs w:val="28"/>
        </w:rPr>
        <w:t xml:space="preserve">EtlOrchestrator фіксує статус Running на початку та переводить у Failed при виникненні виключення з збереженням повідомлення про помилку. Завдяки прапорцям ідемпотентності повторний запуск продовжить обробку лише необроблених записів, не дублюючи вже завантажені дані.</w:t>
      </w:r>
    </w:p>
    <w:p>
      <w:pPr>
        <w:spacing w:after="60" w:before="200"/>
      </w:pPr>
      <w:r>
        <w:rPr>
          <w:rFonts w:ascii="Times New Roman" w:cs="Times New Roman" w:eastAsia="Times New Roman" w:hAnsi="Times New Roman"/>
          <w:b/>
          <w:bCs/>
          <w:i/>
          <w:iCs/>
          <w:color w:val="0D9488"/>
          <w:sz w:val="22"/>
          <w:szCs w:val="22"/>
        </w:rPr>
        <w:t xml:space="preserve">[Питання: Яке практичне застосування симулятора?]</w:t>
      </w:r>
    </w:p>
    <w:p>
      <w:pPr>
        <w:spacing w:after="120" w:line="360"/>
        <w:jc w:val="both"/>
      </w:pPr>
      <w:r>
        <w:rPr>
          <w:rFonts w:ascii="Times New Roman" w:cs="Times New Roman" w:eastAsia="Times New Roman" w:hAnsi="Times New Roman"/>
          <w:b w:val="false"/>
          <w:bCs w:val="false"/>
          <w:sz w:val="28"/>
          <w:szCs w:val="28"/>
        </w:rPr>
        <w:t xml:space="preserve">Симулятор вирішує проблему відсутності реальних виробничих даних при розробці та тестуванні ETL-системи. Він дозволяє відтворити будь-який сценарій якості вхідних даних: від ідеально чистих до сильно засмічених, налаштовуючи рівень Null-значень, від'ємних кількостей та дублікатів. Це критично важливо для верифікації механізмів контролю якості.</w:t>
      </w:r>
    </w:p>
    <w:sectPr>
      <w:pgSz w:w="11906" w:h="16838" w:orient="portrait"/>
      <w:pgMar w:top="1418" w:right="992"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2026-05-09T20:22:51.780Z</dcterms:created>
  <dcterms:modified xsi:type="dcterms:W3CDTF">2026-05-09T20:22:51.780Z</dcterms:modified>
</cp:coreProperties>
</file>

<file path=docProps/custom.xml><?xml version="1.0" encoding="utf-8"?>
<Properties xmlns="http://schemas.openxmlformats.org/officeDocument/2006/custom-properties" xmlns:vt="http://schemas.openxmlformats.org/officeDocument/2006/docPropsVTypes"/>
</file>