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40BD1">
      <w:pPr>
        <w:spacing w:after="60"/>
        <w:jc w:val="center"/>
      </w:pPr>
      <w:r>
        <w:rPr>
          <w:sz w:val="22"/>
          <w:szCs w:val="22"/>
        </w:rPr>
        <w:t>Trường Đại học Việt Nhật (VJU) – ĐHQGHN</w:t>
      </w:r>
    </w:p>
    <w:p w14:paraId="3AFECB07">
      <w:pPr>
        <w:shd w:val="clear" w:fill="FFF2CC"/>
        <w:spacing w:after="120"/>
        <w:rPr>
          <w:rFonts w:hint="default"/>
          <w:lang w:val="vi-VN"/>
        </w:rPr>
      </w:pPr>
      <w:r>
        <w:rPr>
          <w:b/>
          <w:bCs/>
          <w:color w:val="BF8F00"/>
        </w:rPr>
        <w:t xml:space="preserve"> </w:t>
      </w:r>
      <w:r>
        <w:rPr>
          <w:rFonts w:hint="default" w:ascii="Times New Roman"/>
          <w:b/>
          <w:bCs/>
          <w:color w:val="BF8F00"/>
          <w:lang w:val="vi-VN"/>
        </w:rPr>
        <w:t>Trần Ngô Tiến Đạt- 25112231</w:t>
      </w:r>
    </w:p>
    <w:p w14:paraId="19F67F46">
      <w:pPr>
        <w:pBdr>
          <w:bottom w:val="single" w:color="2E75B6" w:sz="6" w:space="1"/>
        </w:pBdr>
        <w:spacing w:after="120"/>
      </w:pPr>
    </w:p>
    <w:p w14:paraId="07BE5D4B">
      <w:pPr>
        <w:pStyle w:val="2"/>
      </w:pPr>
      <w:r>
        <w:t>BÀI 5 — Sử dụng AI có trách nhiệm trong học thuật</w:t>
      </w:r>
    </w:p>
    <w:p w14:paraId="61A41F52">
      <w:pPr>
        <w:pStyle w:val="3"/>
        <w:numPr>
          <w:ilvl w:val="0"/>
          <w:numId w:val="1"/>
        </w:numPr>
      </w:pPr>
      <w:r>
        <w:t>Nghiên cứu chính sách AI của trường</w:t>
      </w:r>
    </w:p>
    <w:p w14:paraId="65516444">
      <w:pPr>
        <w:pStyle w:val="16"/>
        <w:keepNext w:val="0"/>
        <w:keepLines w:val="0"/>
        <w:widowControl/>
        <w:suppressLineNumbers w:val="0"/>
      </w:pPr>
      <w:r>
        <w:rPr>
          <w:rStyle w:val="17"/>
        </w:rPr>
        <w:t>1. Khung quốc gia (nền mọi trường phải theo)</w:t>
      </w:r>
      <w:r>
        <w:t xml:space="preserve"> Bộ GD&amp;ĐT đã ban hành Thông tư 02/2025/TT-BGDĐT (24/01/2025), nhấn mạnh yêu cầu khai thác và sử dụng AI an toàn, hiệu quả, có đạo đức và trách nhiệm. Dự thảo Thông tư về ứng dụng công nghệ trong giáo dục đại học nêu rõ: AI được dùng để hỗ trợ nâng cao chất lượng dạy–học nhưng không thay thế vai trò của giảng viên và năng lực học tập độc lập của sinh viên; việc ứng dụng phải bảo đảm minh bạch, công bằng trong đánh giá, bảo vệ dữ liệu cá nhân, quyền sở hữu trí tuệ và liêm chính học thuật. Dự thảo cũng xác định các hành vi vi phạm: dùng AI để gian lận trong học tập/kiểm tra/nghiên cứu; sao chép, đạo văn; giả mạo hoặc làm sai lệch dữ liệu; nhờ/làm thay nhiệm vụ; và không công bố hoặc công bố không đầy đủ việc sử dụng AI khi có yêu cầu.</w:t>
      </w:r>
    </w:p>
    <w:p w14:paraId="63A32263">
      <w:pPr>
        <w:pStyle w:val="16"/>
        <w:keepNext w:val="0"/>
        <w:keepLines w:val="0"/>
        <w:widowControl/>
        <w:suppressLineNumbers w:val="0"/>
      </w:pPr>
      <w:r>
        <w:rPr>
          <w:rStyle w:val="17"/>
        </w:rPr>
        <w:t>2. ĐHQGHN / VJU</w:t>
      </w:r>
      <w:r>
        <w:t xml:space="preserve"> Điểm rất liên quan đến bạn (sinh viên năm nhất): từ năm học 2025–2026, ĐHQGHN đưa học phần AI và công nghệ số vào dạy từ năm nhất — học phần 3 tín chỉ, thiết kế mô-đun với phần bắt buộc và tự chọn, tiệm cận khung năng lực số quốc tế và tương thích Khung năng lực số Việt Nam theo Thông tư 02/2025/TT-BGDĐT. (Chính bài tập này nhiều khả năng thuộc học phần đó.) Định hướng chung của ĐHQGHN: khuyến khích dùng AI hỗ trợ học tập nhưng vẫn phát triển tư duy độc lập, kiểm soát rủi ro phụ thuộc và vi phạm đạo đức học thuật. Về một văn bản kỷ luật AI cụ thể của riêng VJU — bạn cần kiểm tra lại tại trường.</w:t>
      </w:r>
    </w:p>
    <w:p w14:paraId="339A0978">
      <w:pPr>
        <w:pStyle w:val="16"/>
        <w:keepNext w:val="0"/>
        <w:keepLines w:val="0"/>
        <w:widowControl/>
        <w:suppressLineNumbers w:val="0"/>
      </w:pPr>
      <w:r>
        <w:rPr>
          <w:rStyle w:val="17"/>
        </w:rPr>
        <w:t>3. So sánh với trường khác (chính sách cụ thể hơn)</w:t>
      </w:r>
    </w:p>
    <w:p w14:paraId="3CE39C5C">
      <w:pPr>
        <w:keepNext w:val="0"/>
        <w:keepLines w:val="0"/>
        <w:widowControl/>
        <w:numPr>
          <w:ilvl w:val="0"/>
          <w:numId w:val="2"/>
        </w:numPr>
        <w:suppressLineNumbers w:val="0"/>
        <w:spacing w:before="0" w:beforeAutospacing="1" w:after="0" w:afterAutospacing="1"/>
        <w:ind w:left="720" w:hanging="360"/>
      </w:pPr>
      <w:r>
        <w:rPr>
          <w:rStyle w:val="17"/>
        </w:rPr>
        <w:t>Đại học Kinh tế TP.HCM (UEH):</w:t>
      </w:r>
      <w:r>
        <w:t xml:space="preserve"> cuối 2025, quy định dùng Turnitin hoặc công cụ tương đương để phát hiện đạo văn, mức tương đồng từ 20% trở lên so với các công bố trước bị xem là vi phạm. → Cách tiếp cận thiên về </w:t>
      </w:r>
      <w:r>
        <w:rPr>
          <w:rStyle w:val="17"/>
        </w:rPr>
        <w:t>định lượng + công cụ phát hiện</w:t>
      </w:r>
      <w:r>
        <w:t>.</w:t>
      </w:r>
    </w:p>
    <w:p w14:paraId="1EBFD3D9">
      <w:pPr>
        <w:keepNext w:val="0"/>
        <w:keepLines w:val="0"/>
        <w:widowControl/>
        <w:numPr>
          <w:ilvl w:val="0"/>
          <w:numId w:val="2"/>
        </w:numPr>
        <w:suppressLineNumbers w:val="0"/>
        <w:spacing w:before="0" w:beforeAutospacing="1" w:after="0" w:afterAutospacing="1"/>
        <w:ind w:left="720" w:hanging="360"/>
      </w:pPr>
      <w:r>
        <w:rPr>
          <w:rStyle w:val="17"/>
        </w:rPr>
        <w:t>Trường ĐH KHXH&amp;NV – ĐHQG TP.HCM:</w:t>
      </w:r>
      <w:r>
        <w:t xml:space="preserve"> yêu cầu sinh viên trích dẫn đúng quy định nếu sử dụng nội dung do AI tạo ra, đồng thời nhấn mạnh AI chỉ đóng vai trò hỗ trợ ý tưởng, không thay thế tư duy sáng tạo của người học. → Cách tiếp cận thiên về </w:t>
      </w:r>
      <w:r>
        <w:rPr>
          <w:rStyle w:val="17"/>
        </w:rPr>
        <w:t>minh bạch + trích dẫn</w:t>
      </w:r>
      <w:r>
        <w:t>.</w:t>
      </w:r>
    </w:p>
    <w:p w14:paraId="43074D93">
      <w:pPr>
        <w:pStyle w:val="16"/>
        <w:keepNext w:val="0"/>
        <w:keepLines w:val="0"/>
        <w:widowControl/>
        <w:suppressLineNumbers w:val="0"/>
      </w:pPr>
      <w:r>
        <w:rPr>
          <w:rStyle w:val="17"/>
        </w:rPr>
        <w:t>4. Điểm chung &amp; khác biệt (phần phân tích cho bài)</w:t>
      </w:r>
      <w:r>
        <w:t xml:space="preserve"> Điểm chung của cả ĐHQGHN/VJU, UEH và USSH: đều coi AI là </w:t>
      </w:r>
      <w:r>
        <w:rPr>
          <w:rStyle w:val="17"/>
        </w:rPr>
        <w:t>công cụ hỗ trợ, không thay thế tư duy</w:t>
      </w:r>
      <w:r>
        <w:t xml:space="preserve">, và đều đặt </w:t>
      </w:r>
      <w:r>
        <w:rPr>
          <w:rStyle w:val="17"/>
        </w:rPr>
        <w:t>liêm chính + minh bạch</w:t>
      </w:r>
      <w:r>
        <w:t xml:space="preserve"> làm trục chính. Khác biệt nằm ở </w:t>
      </w:r>
      <w:r>
        <w:rPr>
          <w:rStyle w:val="10"/>
        </w:rPr>
        <w:t>cơ chế thực thi</w:t>
      </w:r>
      <w:r>
        <w:t xml:space="preserve">: UEH dùng </w:t>
      </w:r>
      <w:r>
        <w:rPr>
          <w:rStyle w:val="17"/>
        </w:rPr>
        <w:t>ngưỡng định lượng (Turnitin ≥20%)</w:t>
      </w:r>
      <w:r>
        <w:t xml:space="preserve">; USSH dùng </w:t>
      </w:r>
      <w:r>
        <w:rPr>
          <w:rStyle w:val="17"/>
        </w:rPr>
        <w:t>yêu cầu trích dẫn AI</w:t>
      </w:r>
      <w:r>
        <w:t xml:space="preserve">; ĐHQGHN/VJU nghiêng về </w:t>
      </w:r>
      <w:r>
        <w:rPr>
          <w:rStyle w:val="17"/>
        </w:rPr>
        <w:t>giáo dục năng lực số từ gốc</w:t>
      </w:r>
      <w:r>
        <w:t xml:space="preserve"> (dạy hẳn học phần AI cho năm nhất) hơn là chế tài cứng. Một bối cảnh đáng nêu: khảo sát cho thấy chỉ 17% sinh viên cho biết đã được giảng viên/nhà trường hướng dẫn cách dùng AI trong học tập — cho thấy vì sao việc ban hành quy định rõ ràng đang trở nên cấp thiết.</w:t>
      </w:r>
    </w:p>
    <w:p w14:paraId="319553F7">
      <w:pPr>
        <w:rPr>
          <w:rFonts w:hint="default"/>
          <w:lang w:val="vi-VN"/>
        </w:rPr>
      </w:pPr>
    </w:p>
    <w:p w14:paraId="3A820DAC">
      <w:pPr>
        <w:pStyle w:val="3"/>
      </w:pPr>
      <w:r>
        <w:t>II. Thực hiện nhiệm vụ học tập với hỗ trợ AI (minh bạch)</w:t>
      </w:r>
    </w:p>
    <w:p w14:paraId="612565C4">
      <w:pPr>
        <w:keepNext w:val="0"/>
        <w:keepLines w:val="0"/>
        <w:widowControl/>
        <w:suppressLineNumbers w:val="0"/>
        <w:jc w:val="left"/>
      </w:pPr>
      <w:r>
        <w:rPr>
          <w:rFonts w:ascii="-webkit-standard" w:hAnsi="-webkit-standard" w:eastAsia="-webkit-standard" w:cs="-webkit-standard"/>
          <w:i w:val="0"/>
          <w:iCs w:val="0"/>
          <w:caps w:val="0"/>
          <w:color w:val="000000"/>
          <w:spacing w:val="0"/>
          <w:kern w:val="0"/>
          <w:sz w:val="27"/>
          <w:szCs w:val="27"/>
          <w:u w:val="none"/>
          <w:lang w:val="en-US" w:eastAsia="zh-CN" w:bidi="ar"/>
        </w:rPr>
        <w:t>Tôi đã sử dụng</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Fonts w:ascii="SimSun" w:hAnsi="SimSun" w:eastAsia="SimSun" w:cs="SimSun"/>
          <w:b/>
          <w:bCs/>
          <w:i w:val="0"/>
          <w:iCs w:val="0"/>
          <w:caps w:val="0"/>
          <w:color w:val="000000"/>
          <w:spacing w:val="0"/>
          <w:kern w:val="0"/>
          <w:sz w:val="24"/>
          <w:szCs w:val="24"/>
          <w:lang w:val="en-US" w:eastAsia="zh-CN" w:bidi="ar"/>
        </w:rPr>
        <w:t>Gemini</w:t>
      </w:r>
      <w:r>
        <w:rPr>
          <w:rFonts w:hint="default" w:ascii="-webkit-standard" w:hAnsi="-webkit-standard" w:eastAsia="-webkit-standard" w:cs="-webkit-standard"/>
          <w:i w:val="0"/>
          <w:iCs w:val="0"/>
          <w:caps w:val="0"/>
          <w:color w:val="000000"/>
          <w:spacing w:val="0"/>
          <w:kern w:val="0"/>
          <w:sz w:val="27"/>
          <w:szCs w:val="27"/>
          <w:u w:val="none"/>
          <w:lang w:val="en-US" w:eastAsia="zh-CN" w:bidi="ar"/>
        </w:rPr>
        <w:t> vào ngày </w:t>
      </w:r>
      <w:r>
        <w:rPr>
          <w:rFonts w:ascii="SimSun" w:hAnsi="SimSun" w:eastAsia="SimSun" w:cs="SimSun"/>
          <w:b/>
          <w:bCs/>
          <w:i w:val="0"/>
          <w:iCs w:val="0"/>
          <w:caps w:val="0"/>
          <w:color w:val="000000"/>
          <w:spacing w:val="0"/>
          <w:kern w:val="0"/>
          <w:sz w:val="24"/>
          <w:szCs w:val="24"/>
          <w:lang w:val="en-US" w:eastAsia="zh-CN" w:bidi="ar"/>
        </w:rPr>
        <w:t>06/06/2026</w:t>
      </w:r>
      <w:r>
        <w:rPr>
          <w:rFonts w:hint="default" w:ascii="-webkit-standard" w:hAnsi="-webkit-standard" w:eastAsia="-webkit-standard" w:cs="-webkit-standard"/>
          <w:i w:val="0"/>
          <w:iCs w:val="0"/>
          <w:caps w:val="0"/>
          <w:color w:val="000000"/>
          <w:spacing w:val="0"/>
          <w:kern w:val="0"/>
          <w:sz w:val="27"/>
          <w:szCs w:val="27"/>
          <w:u w:val="none"/>
          <w:lang w:val="en-US" w:eastAsia="zh-CN" w:bidi="ar"/>
        </w:rPr>
        <w:t> để hỗ trợ </w:t>
      </w:r>
      <w:r>
        <w:rPr>
          <w:rFonts w:ascii="SimSun" w:hAnsi="SimSun" w:eastAsia="SimSun" w:cs="SimSun"/>
          <w:b/>
          <w:bCs/>
          <w:i w:val="0"/>
          <w:iCs w:val="0"/>
          <w:caps w:val="0"/>
          <w:color w:val="000000"/>
          <w:spacing w:val="0"/>
          <w:kern w:val="0"/>
          <w:sz w:val="24"/>
          <w:szCs w:val="24"/>
          <w:lang w:val="en-US" w:eastAsia="zh-CN" w:bidi="ar"/>
        </w:rPr>
        <w:t>xây dựng dàn ý nội dung, tạo hình ảnh minh họa khái niệm và gợi ý bố cục thiết kế cho infographic về Học máy trong Tài chính</w:t>
      </w:r>
      <w:r>
        <w:rPr>
          <w:rFonts w:hint="default" w:ascii="-webkit-standard" w:hAnsi="-webkit-standard" w:eastAsia="-webkit-standard" w:cs="-webkit-standard"/>
          <w:i w:val="0"/>
          <w:iCs w:val="0"/>
          <w:caps w:val="0"/>
          <w:color w:val="000000"/>
          <w:spacing w:val="0"/>
          <w:kern w:val="0"/>
          <w:sz w:val="27"/>
          <w:szCs w:val="27"/>
          <w:u w:val="none"/>
          <w:lang w:val="en-US" w:eastAsia="zh-CN" w:bidi="ar"/>
        </w:rPr>
        <w:t>; các kết quả đầu ra từ AI đã được tôi kiểm chứng, lựa chọn và chỉnh sửa lại để đảm bảo tính chính xác; toàn bộ phần phân tích chuyên sâu và kết luận trong bài báo cáo này hoàn toàn là của tôi.</w:t>
      </w:r>
    </w:p>
    <w:p w14:paraId="30C12143">
      <w:pPr>
        <w:pStyle w:val="3"/>
      </w:pPr>
      <w:r>
        <w:t>III. Phân tích các vấn đề đạo đức</w:t>
      </w:r>
    </w:p>
    <w:p w14:paraId="36429DD1">
      <w:pPr>
        <w:spacing w:after="120"/>
      </w:pPr>
      <w:r>
        <w:rPr>
          <w:b/>
          <w:bCs/>
        </w:rPr>
        <w:t xml:space="preserve">1. Ranh giới hỗ trợ vs gian lận: </w:t>
      </w:r>
      <w:r>
        <w:t>dùng AI gợi ý ý tưởng/kiểm tra lập luận/học khái niệm là hỗ trợ; nộp nguyên văn output hoặc dùng khi bị cấm là gian lận. AI hỗ trợ tư duy, không thay tư duy.</w:t>
      </w:r>
    </w:p>
    <w:p w14:paraId="4FFF3D14">
      <w:pPr>
        <w:spacing w:after="120"/>
      </w:pPr>
      <w:r>
        <w:rPr>
          <w:b/>
          <w:bCs/>
        </w:rPr>
        <w:t xml:space="preserve">2. Sở hữu trí tuệ &amp; trích dẫn: </w:t>
      </w:r>
      <w:r>
        <w:t>output AI có thể trùng nguồn bản quyền; cần kiểm chứng, không đạo văn, trích dẫn minh bạch.</w:t>
      </w:r>
    </w:p>
    <w:p w14:paraId="0719CB58">
      <w:pPr>
        <w:spacing w:after="120"/>
      </w:pPr>
      <w:r>
        <w:rPr>
          <w:b/>
          <w:bCs/>
        </w:rPr>
        <w:t xml:space="preserve">3. Tác động học tập &amp; kỹ năng: </w:t>
      </w:r>
      <w:r>
        <w:t>lạm dụng làm teo kỹ năng cốt lõi; dùng đúng cách (tự làm trước, AI phản biện sau) giúp học sâu hơn.</w:t>
      </w:r>
    </w:p>
    <w:p w14:paraId="6932F952">
      <w:pPr>
        <w:spacing w:after="120"/>
      </w:pPr>
      <w:r>
        <w:rPr>
          <w:b/>
          <w:bCs/>
          <w:i/>
          <w:iCs/>
          <w:color w:val="548235"/>
        </w:rPr>
        <w:t xml:space="preserve">Gợi ý: </w:t>
      </w:r>
      <w:r>
        <w:rPr>
          <w:i/>
          <w:iCs/>
          <w:color w:val="548235"/>
        </w:rPr>
        <w:t>Mức 4: phân tích đủ 3 vấn đề + ví dụ minh họa + liên kết giữa các vấn đề. Thêm ví dụ thật từ trải nghiệm của bạn.</w:t>
      </w:r>
    </w:p>
    <w:p w14:paraId="59453C86">
      <w:pPr>
        <w:pStyle w:val="3"/>
      </w:pPr>
      <w:r>
        <w:t>IV. Bộ nguyên tắc cá nhân (7 nguyên tắc)</w:t>
      </w:r>
    </w:p>
    <w:p w14:paraId="76D3BCAB">
      <w:pPr>
        <w:pStyle w:val="19"/>
        <w:numPr>
          <w:ilvl w:val="0"/>
          <w:numId w:val="3"/>
        </w:numPr>
        <w:spacing w:after="60"/>
      </w:pPr>
      <w:r>
        <w:t>Tự làm trước 15–20 phút, dùng AI để phản biện, không để AI thay tư duy.</w:t>
      </w:r>
    </w:p>
    <w:p w14:paraId="1D268203">
      <w:pPr>
        <w:pStyle w:val="19"/>
        <w:numPr>
          <w:ilvl w:val="0"/>
          <w:numId w:val="3"/>
        </w:numPr>
        <w:spacing w:after="60"/>
      </w:pPr>
      <w:r>
        <w:t>Luôn kiểm chứng dữ kiện/số liệu AI bằng nguồn đáng tin.</w:t>
      </w:r>
    </w:p>
    <w:p w14:paraId="54C654B5">
      <w:pPr>
        <w:pStyle w:val="19"/>
        <w:numPr>
          <w:ilvl w:val="0"/>
          <w:numId w:val="3"/>
        </w:numPr>
        <w:spacing w:after="60"/>
      </w:pPr>
      <w:r>
        <w:t>Minh bạch: ghi rõ đã dùng AI cho phần nào.</w:t>
      </w:r>
    </w:p>
    <w:p w14:paraId="4B598671">
      <w:pPr>
        <w:pStyle w:val="19"/>
        <w:numPr>
          <w:ilvl w:val="0"/>
          <w:numId w:val="3"/>
        </w:numPr>
        <w:spacing w:after="60"/>
      </w:pPr>
      <w:r>
        <w:t>Không dùng AI cho bài thi/bài cá nhân khi bị cấm.</w:t>
      </w:r>
    </w:p>
    <w:p w14:paraId="28CC0076">
      <w:pPr>
        <w:pStyle w:val="19"/>
        <w:numPr>
          <w:ilvl w:val="0"/>
          <w:numId w:val="3"/>
        </w:numPr>
        <w:spacing w:after="60"/>
      </w:pPr>
      <w:r>
        <w:t>Không nhập dữ liệu nhạy cảm/cá nhân của người khác vào AI.</w:t>
      </w:r>
    </w:p>
    <w:p w14:paraId="383A8A07">
      <w:pPr>
        <w:pStyle w:val="19"/>
        <w:numPr>
          <w:ilvl w:val="0"/>
          <w:numId w:val="3"/>
        </w:numPr>
        <w:spacing w:after="60"/>
      </w:pPr>
      <w:r>
        <w:t>Giữ quyền tác giả: nội dung cuối mang lập luận của tôi (&gt;50%).</w:t>
      </w:r>
    </w:p>
    <w:p w14:paraId="1D9F1E88">
      <w:pPr>
        <w:pStyle w:val="19"/>
        <w:numPr>
          <w:ilvl w:val="0"/>
          <w:numId w:val="3"/>
        </w:numPr>
        <w:spacing w:after="60"/>
      </w:pPr>
      <w:r>
        <w:t>Phản tỉnh định kỳ: AI đang giúp tôi giỏi lên hay lười tư duy?</w:t>
      </w:r>
    </w:p>
    <w:p w14:paraId="2C93178F">
      <w:pPr>
        <w:pStyle w:val="3"/>
      </w:pPr>
      <w:r>
        <w:t>V. Nội dung infographic "Sử dụng AI có trách nhiệm"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60"/>
      </w:tblGrid>
      <w:tr w14:paraId="263CA8AB">
        <w:trPr>
          <w:tblHeader/>
        </w:trPr>
        <w:tc>
          <w:tcPr>
            <w:tcW w:w="230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0F35C80F">
            <w:r>
              <w:rPr>
                <w:b/>
                <w:bCs/>
              </w:rPr>
              <w:t>Khối</w:t>
            </w:r>
          </w:p>
        </w:tc>
        <w:tc>
          <w:tcPr>
            <w:tcW w:w="706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68B6B2F6">
            <w:r>
              <w:rPr>
                <w:b/>
                <w:bCs/>
              </w:rPr>
              <w:t>Nội dung gợi ý</w:t>
            </w:r>
          </w:p>
        </w:tc>
      </w:tr>
      <w:tr w14:paraId="58F7E3C4">
        <w:tc>
          <w:tcPr>
            <w:tcW w:w="23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301EB64">
            <w:r>
              <w:rPr>
                <w:b w:val="0"/>
                <w:bCs w:val="0"/>
              </w:rPr>
              <w:t>Tiêu đề</w:t>
            </w:r>
          </w:p>
        </w:tc>
        <w:tc>
          <w:tcPr>
            <w:tcW w:w="70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3C0D287A">
            <w:r>
              <w:rPr>
                <w:b w:val="0"/>
                <w:bCs w:val="0"/>
              </w:rPr>
              <w:t>SỬ DỤNG AI CÓ TRÁCH NHIỆM — Trợ lý, không phải người thay thế.</w:t>
            </w:r>
          </w:p>
        </w:tc>
      </w:tr>
      <w:tr w14:paraId="4B8C689B">
        <w:tc>
          <w:tcPr>
            <w:tcW w:w="23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89D5E95">
            <w:r>
              <w:rPr>
                <w:b w:val="0"/>
                <w:bCs w:val="0"/>
              </w:rPr>
              <w:t>NÊN</w:t>
            </w:r>
          </w:p>
        </w:tc>
        <w:tc>
          <w:tcPr>
            <w:tcW w:w="70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A9D03B6">
            <w:r>
              <w:rPr>
                <w:b w:val="0"/>
                <w:bCs w:val="0"/>
              </w:rPr>
              <w:t>Tự làm trước · Kiểm chứng nguồn · Minh bạch trích dẫn · Dùng AI để học sâu.</w:t>
            </w:r>
          </w:p>
        </w:tc>
      </w:tr>
      <w:tr w14:paraId="018EEBCB">
        <w:tc>
          <w:tcPr>
            <w:tcW w:w="23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CADC275">
            <w:r>
              <w:rPr>
                <w:b w:val="0"/>
                <w:bCs w:val="0"/>
              </w:rPr>
              <w:t>KHÔNG NÊN</w:t>
            </w:r>
          </w:p>
        </w:tc>
        <w:tc>
          <w:tcPr>
            <w:tcW w:w="70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ECA9999">
            <w:r>
              <w:rPr>
                <w:b w:val="0"/>
                <w:bCs w:val="0"/>
              </w:rPr>
              <w:t>Nộp nguyên văn AI · Bịa trích dẫn · Dùng khi bị cấm · Phụ thuộc hoàn toàn.</w:t>
            </w:r>
          </w:p>
        </w:tc>
      </w:tr>
      <w:tr w14:paraId="262353AD">
        <w:tc>
          <w:tcPr>
            <w:tcW w:w="23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0C18EF3">
            <w:r>
              <w:rPr>
                <w:b w:val="0"/>
                <w:bCs w:val="0"/>
              </w:rPr>
              <w:t>Ranh giới</w:t>
            </w:r>
          </w:p>
        </w:tc>
        <w:tc>
          <w:tcPr>
            <w:tcW w:w="70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E8DBD8B">
            <w:r>
              <w:rPr>
                <w:b w:val="0"/>
                <w:bCs w:val="0"/>
              </w:rPr>
              <w:t>Hỗ trợ tư duy = OK · Thay thế tư duy = gian lận.</w:t>
            </w:r>
          </w:p>
        </w:tc>
      </w:tr>
      <w:tr w14:paraId="12A9E0B0">
        <w:tc>
          <w:tcPr>
            <w:tcW w:w="23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8380796">
            <w:r>
              <w:rPr>
                <w:b w:val="0"/>
                <w:bCs w:val="0"/>
              </w:rPr>
              <w:t>Khẩu hiệu</w:t>
            </w:r>
          </w:p>
        </w:tc>
        <w:tc>
          <w:tcPr>
            <w:tcW w:w="70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A672C74">
            <w:r>
              <w:rPr>
                <w:b w:val="0"/>
                <w:bCs w:val="0"/>
              </w:rPr>
              <w:t>"AI giúp tôi nghĩ tốt hơn — không nghĩ thay tôi."</w:t>
            </w:r>
          </w:p>
        </w:tc>
      </w:tr>
    </w:tbl>
    <w:p w14:paraId="74351B4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73B6A67">
      <w:pPr>
        <w:keepNext w:val="0"/>
        <w:keepLines w:val="0"/>
        <w:widowControl/>
        <w:suppressLineNumbers w:val="0"/>
        <w:jc w:val="left"/>
        <w:rPr>
          <w:rFonts w:hint="default"/>
          <w:lang w:val="vi-VN"/>
        </w:rPr>
      </w:pPr>
      <w:r>
        <w:rPr>
          <w:rFonts w:hint="default"/>
          <w:lang w:val="vi-VN"/>
        </w:rPr>
        <w:drawing>
          <wp:inline distT="0" distB="0" distL="114300" distR="114300">
            <wp:extent cx="5932805" cy="1905000"/>
            <wp:effectExtent l="0" t="0" r="10795" b="0"/>
            <wp:docPr id="2" name="Picture 2" descr="Ảnh màn hình 2026-06-06 lúc 21.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màn hình 2026-06-06 lúc 21.25.07"/>
                    <pic:cNvPicPr>
                      <a:picLocks noChangeAspect="1"/>
                    </pic:cNvPicPr>
                  </pic:nvPicPr>
                  <pic:blipFill>
                    <a:blip r:embed="rId5"/>
                    <a:stretch>
                      <a:fillRect/>
                    </a:stretch>
                  </pic:blipFill>
                  <pic:spPr>
                    <a:xfrm>
                      <a:off x="0" y="0"/>
                      <a:ext cx="5932805" cy="1905000"/>
                    </a:xfrm>
                    <a:prstGeom prst="rect">
                      <a:avLst/>
                    </a:prstGeom>
                  </pic:spPr>
                </pic:pic>
              </a:graphicData>
            </a:graphic>
          </wp:inline>
        </w:drawing>
      </w:r>
      <w:bookmarkStart w:id="0" w:name="_GoBack"/>
      <w:bookmarkEnd w:id="0"/>
    </w:p>
    <w:p w14:paraId="24B21D1B">
      <w:pPr>
        <w:shd w:val="clear" w:fill="FFF2CC"/>
        <w:spacing w:after="12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ple Symbols">
    <w:panose1 w:val="02000000000000000000"/>
    <w:charset w:val="00"/>
    <w:family w:val="auto"/>
    <w:pitch w:val="default"/>
    <w:sig w:usb0="800000A3" w:usb1="08007BEB" w:usb2="01840034" w:usb3="0000A268" w:csb0="200001FB" w:csb1="DDFF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5A6685"/>
    <w:multiLevelType w:val="multilevel"/>
    <w:tmpl w:val="D95A66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6F6E5E"/>
    <w:multiLevelType w:val="singleLevel"/>
    <w:tmpl w:val="EA6F6E5E"/>
    <w:lvl w:ilvl="0" w:tentative="0">
      <w:start w:val="1"/>
      <w:numFmt w:val="decimal"/>
      <w:lvlText w:val="%1."/>
      <w:lvlJc w:val="left"/>
      <w:pPr>
        <w:ind w:left="600" w:hanging="300"/>
      </w:pPr>
    </w:lvl>
  </w:abstractNum>
  <w:abstractNum w:abstractNumId="2">
    <w:nsid w:val="FCF7396B"/>
    <w:multiLevelType w:val="singleLevel"/>
    <w:tmpl w:val="FCF7396B"/>
    <w:lvl w:ilvl="0" w:tentative="0">
      <w:start w:val="1"/>
      <w:numFmt w:val="upperRoman"/>
      <w:suff w:val="space"/>
      <w:lvlText w:val="%1."/>
      <w:lvlJc w:val="left"/>
    </w:lvl>
  </w:abstractNum>
  <w:num w:numId="1">
    <w:abstractNumId w:val="2"/>
  </w:num>
  <w:num w:numId="2">
    <w:abstractNumId w:val="0"/>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B2DF79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2E75B6" w:sz="6" w:space="4"/>
      </w:pBdr>
      <w:spacing w:before="280" w:after="160"/>
      <w:outlineLvl w:val="0"/>
    </w:pPr>
    <w:rPr>
      <w:rFonts w:ascii="Arial" w:hAnsi="Arial" w:eastAsia="Arial" w:cs="Arial"/>
      <w:b/>
      <w:bCs/>
      <w:color w:val="1F3864"/>
      <w:sz w:val="30"/>
      <w:szCs w:val="30"/>
    </w:rPr>
  </w:style>
  <w:style w:type="paragraph" w:styleId="3">
    <w:name w:val="heading 2"/>
    <w:next w:val="1"/>
    <w:qFormat/>
    <w:uiPriority w:val="0"/>
    <w:pPr>
      <w:spacing w:before="200" w:after="120"/>
      <w:outlineLvl w:val="1"/>
    </w:pPr>
    <w:rPr>
      <w:rFonts w:ascii="Arial" w:hAnsi="Arial" w:eastAsia="Arial" w:cs="Arial"/>
      <w:b/>
      <w:bCs/>
      <w:color w:val="2E75B6"/>
      <w:sz w:val="26"/>
      <w:szCs w:val="26"/>
    </w:rPr>
  </w:style>
  <w:style w:type="paragraph" w:styleId="4">
    <w:name w:val="heading 3"/>
    <w:next w:val="1"/>
    <w:qFormat/>
    <w:uiPriority w:val="0"/>
    <w:pPr>
      <w:spacing w:before="140" w:after="80"/>
      <w:outlineLvl w:val="2"/>
    </w:pPr>
    <w:rPr>
      <w:rFonts w:ascii="Arial" w:hAnsi="Arial" w:eastAsia="Arial" w:cs="Arial"/>
      <w:b/>
      <w:bCs/>
      <w:color w:val="404040"/>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uiPriority w:val="99"/>
    <w:rPr>
      <w:vertAlign w:val="superscript"/>
    </w:rPr>
  </w:style>
  <w:style w:type="paragraph" w:styleId="12">
    <w:name w:val="endnote text"/>
    <w:link w:val="21"/>
    <w:semiHidden/>
    <w:unhideWhenUsed/>
    <w:uiPriority w:val="99"/>
    <w:pPr>
      <w:spacing w:after="0" w:line="240" w:lineRule="auto"/>
    </w:pPr>
    <w:rPr>
      <w:rFonts w:ascii="Arial" w:hAnsi="Arial" w:eastAsia="Arial" w:cs="Arial"/>
      <w:sz w:val="20"/>
      <w:szCs w:val="20"/>
    </w:r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pPr>
      <w:spacing w:after="0" w:line="240" w:lineRule="auto"/>
    </w:pPr>
    <w:rPr>
      <w:rFonts w:ascii="Arial" w:hAnsi="Arial" w:eastAsia="Arial" w:cs="Arial"/>
      <w:sz w:val="20"/>
      <w:szCs w:val="20"/>
    </w:rPr>
  </w:style>
  <w:style w:type="character" w:styleId="15">
    <w:name w:val="Hyperlink"/>
    <w:unhideWhenUsed/>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4"/>
    <w:semiHidden/>
    <w:unhideWhenUsed/>
    <w:uiPriority w:val="99"/>
    <w:rPr>
      <w:sz w:val="20"/>
      <w:szCs w:val="20"/>
    </w:rPr>
  </w:style>
  <w:style w:type="character" w:customStyle="1" w:styleId="21">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3</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WPS_1761718593</cp:lastModifiedBy>
  <dcterms:modified xsi:type="dcterms:W3CDTF">2026-06-06T21:25:12Z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E6DF9A0FCABA9174C82D246A96BF6A97_42</vt:lpwstr>
  </property>
</Properties>
</file>