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0" w:line="276" w:lineRule="auto"/>
      </w:pPr>
      <w:r>
        <w:rPr>
          <w:rFonts w:ascii="Calibri" w:hAnsi="Calibri"/>
          <w:b w:val="0"/>
          <w:i w:val="0"/>
          <w:sz w:val="22"/>
        </w:rPr>
      </w:r>
    </w:p>
    <w:p>
      <w:pPr>
        <w:spacing w:before="0" w:after="240" w:line="276" w:lineRule="auto"/>
        <w:jc w:val="center"/>
      </w:pPr>
      <w:r>
        <w:rPr>
          <w:rFonts w:ascii="Calibri" w:hAnsi="Calibri"/>
          <w:b/>
          <w:i w:val="0"/>
          <w:color w:val="1B3A5C"/>
          <w:sz w:val="56"/>
        </w:rPr>
        <w:t>[Product Name]</w:t>
      </w:r>
    </w:p>
    <w:p>
      <w:pPr>
        <w:spacing w:before="0" w:after="120" w:line="276" w:lineRule="auto"/>
        <w:jc w:val="center"/>
      </w:pPr>
      <w:r>
        <w:rPr>
          <w:rFonts w:ascii="Calibri" w:hAnsi="Calibri"/>
          <w:b w:val="0"/>
          <w:i/>
          <w:color w:val="2C5F8A"/>
          <w:sz w:val="32"/>
        </w:rPr>
        <w:t>Enterprise Agency Banking Solution</w:t>
      </w:r>
    </w:p>
    <w:p>
      <w:pPr>
        <w:jc w:val="center"/>
      </w:pPr>
      <w:r>
        <w:rPr>
          <w:color w:val="2C5F8A"/>
          <w:sz w:val="24"/>
        </w:rPr>
        <w:t>____________________________________________________________</w:t>
      </w:r>
    </w:p>
    <w:p>
      <w:pPr>
        <w:spacing w:before="0" w:after="240" w:line="276" w:lineRule="auto"/>
      </w:pPr>
      <w:r>
        <w:rPr>
          <w:rFonts w:ascii="Calibri" w:hAnsi="Calibri"/>
          <w:b w:val="0"/>
          <w:i w:val="0"/>
          <w:sz w:val="22"/>
        </w:rPr>
      </w:r>
    </w:p>
    <w:p>
      <w:pPr>
        <w:spacing w:before="0" w:after="480" w:line="276" w:lineRule="auto"/>
        <w:jc w:val="center"/>
      </w:pPr>
      <w:r>
        <w:rPr>
          <w:rFonts w:ascii="Calibri" w:hAnsi="Calibri"/>
          <w:b/>
          <w:i w:val="0"/>
          <w:color w:val="1B3A5C"/>
          <w:sz w:val="36"/>
        </w:rPr>
        <w:t>Commercial Proposal &amp; Solution Overview</w:t>
      </w:r>
    </w:p>
    <w:p>
      <w:pPr>
        <w:spacing w:before="0" w:after="120" w:line="276" w:lineRule="auto"/>
        <w:jc w:val="center"/>
      </w:pPr>
      <w:r>
        <w:rPr>
          <w:rFonts w:ascii="Calibri" w:hAnsi="Calibri"/>
          <w:b w:val="0"/>
          <w:i w:val="0"/>
          <w:color w:val="666666"/>
          <w:sz w:val="24"/>
        </w:rPr>
        <w:t>June 2026</w:t>
      </w:r>
    </w:p>
    <w:p>
      <w:pPr>
        <w:spacing w:before="0" w:after="960" w:line="276" w:lineRule="auto"/>
        <w:jc w:val="center"/>
      </w:pPr>
      <w:r>
        <w:rPr>
          <w:rFonts w:ascii="Calibri" w:hAnsi="Calibri"/>
          <w:b/>
          <w:i w:val="0"/>
          <w:color w:val="1B3A5C"/>
          <w:sz w:val="28"/>
        </w:rPr>
        <w:t>[Company Name]</w:t>
      </w:r>
    </w:p>
    <w:p>
      <w:pPr>
        <w:spacing w:before="0" w:after="480" w:line="276" w:lineRule="auto"/>
      </w:pPr>
      <w:r>
        <w:rPr>
          <w:rFonts w:ascii="Calibri" w:hAnsi="Calibri"/>
          <w:b w:val="0"/>
          <w:i w:val="0"/>
          <w:sz w:val="22"/>
        </w:rPr>
      </w:r>
    </w:p>
    <w:p>
      <w:pPr>
        <w:spacing w:before="240" w:after="120" w:line="276" w:lineRule="auto"/>
        <w:jc w:val="center"/>
      </w:pPr>
      <w:r>
        <w:rPr>
          <w:rFonts w:ascii="Calibri" w:hAnsi="Calibri"/>
          <w:b/>
          <w:i w:val="0"/>
          <w:color w:val="1B3A5C"/>
          <w:sz w:val="24"/>
        </w:rPr>
        <w:t>Confidentiality Notice</w:t>
      </w:r>
    </w:p>
    <w:p>
      <w:pPr>
        <w:spacing w:before="0" w:after="0" w:line="276" w:lineRule="auto"/>
        <w:jc w:val="both"/>
      </w:pPr>
      <w:r>
        <w:rPr>
          <w:rFonts w:ascii="Calibri" w:hAnsi="Calibri"/>
          <w:b w:val="0"/>
          <w:i/>
          <w:color w:val="666666"/>
          <w:sz w:val="18"/>
        </w:rPr>
        <w:t>The information provided in this document is for informational purposes only. This document contains confidential information of [Company Name] and is to be used only for the purpose for which it has been supplied. The contents of this document may not, neither in whole nor in part, be communicated to any third party without the prior written approval of [Company Name]. All copyrights in this document belong to [Company Name]. The validity period of this proposal is 90 days as of the submission date.</w:t>
      </w:r>
    </w:p>
    <w:p>
      <w:r>
        <w:br w:type="page"/>
      </w:r>
    </w:p>
    <w:p>
      <w:pPr>
        <w:pStyle w:val="Heading1"/>
      </w:pPr>
      <w:r>
        <w:rPr>
          <w:rFonts w:ascii="Calibri" w:hAnsi="Calibri"/>
          <w:color w:val="1B3A5C"/>
        </w:rPr>
        <w:t>Table of Contents</w:t>
      </w:r>
    </w:p>
    <w:p>
      <w:pPr>
        <w:spacing w:before="0" w:after="120" w:line="276" w:lineRule="auto"/>
      </w:pPr>
      <w:r>
        <w:rPr>
          <w:rFonts w:ascii="Calibri" w:hAnsi="Calibri"/>
          <w:b w:val="0"/>
          <w:i/>
          <w:color w:val="666666"/>
          <w:sz w:val="20"/>
        </w:rPr>
        <w:t>[Table of Contents - Update this field in Microsoft Word: References &gt; Update Table]</w:t>
      </w:r>
    </w:p>
    <w:p>
      <w:r>
        <w:br w:type="page"/>
      </w:r>
    </w:p>
    <w:p>
      <w:pPr>
        <w:pStyle w:val="Heading1"/>
      </w:pPr>
      <w:r>
        <w:rPr>
          <w:rFonts w:ascii="Calibri" w:hAnsi="Calibri"/>
          <w:color w:val="1B3A5C"/>
        </w:rPr>
        <w:t>1. Executive Summary</w:t>
      </w:r>
    </w:p>
    <w:p>
      <w:pPr>
        <w:spacing w:before="0" w:after="160" w:line="276" w:lineRule="auto"/>
      </w:pPr>
      <w:r>
        <w:rPr>
          <w:rFonts w:ascii="Calibri" w:hAnsi="Calibri"/>
          <w:b w:val="0"/>
          <w:i w:val="0"/>
          <w:color w:val="333333"/>
          <w:sz w:val="22"/>
        </w:rPr>
        <w:t>As financial institutions across Africa and emerging markets strive to expand their reach to underbanked and unbanked populations, the need for robust, scalable, and affordable agency banking solutions has never been greater. Traditional brick-and-mortar branch expansion is costly and impractical for rural and remote areas where millions of potential customers reside.</w:t>
      </w:r>
    </w:p>
    <w:p>
      <w:pPr>
        <w:spacing w:before="0" w:after="160" w:line="276" w:lineRule="auto"/>
      </w:pPr>
      <w:r>
        <w:rPr>
          <w:rFonts w:ascii="Calibri" w:hAnsi="Calibri"/>
          <w:b w:val="0"/>
          <w:i w:val="0"/>
          <w:color w:val="333333"/>
          <w:sz w:val="22"/>
        </w:rPr>
        <w:t>[Company Name] presents [Product Name], a comprehensive Enterprise Agency Banking Platform designed specifically for microfinance institutions (MFIs), banks, and financial service providers seeking to extend their services through third-party agent networks. Our platform combines a powerful web-based administration portal with a feature-rich Android POS application, enabling institutions to manage agent operations, process transactions, open accounts, and deliver financial services to customers wherever they are.</w:t>
      </w:r>
    </w:p>
    <w:p>
      <w:pPr>
        <w:spacing w:before="0" w:after="240" w:line="276" w:lineRule="auto"/>
      </w:pPr>
      <w:r>
        <w:rPr>
          <w:rFonts w:ascii="Calibri" w:hAnsi="Calibri"/>
          <w:b w:val="0"/>
          <w:i w:val="0"/>
          <w:color w:val="333333"/>
          <w:sz w:val="22"/>
        </w:rPr>
        <w:t>[Product Name] is built on proven technology and has been designed with the unique challenges of emerging markets in mind, including low-bandwidth environments, multi-language support (English, French, and Portuguese), offline capability, and integration with multiple core banking systems. The platform supports multi-tenant operations, allowing a single deployment to serve multiple business units or microfinance institutions from a centralized super administration panel.</w:t>
      </w:r>
    </w:p>
    <w:p>
      <w:pPr>
        <w:pStyle w:val="Heading1"/>
      </w:pPr>
      <w:r>
        <w:rPr>
          <w:rFonts w:ascii="Calibri" w:hAnsi="Calibri"/>
          <w:color w:val="1B3A5C"/>
        </w:rPr>
        <w:t>2. Key Benefits</w:t>
      </w:r>
    </w:p>
    <w:p>
      <w:pPr>
        <w:pStyle w:val="ListBullet"/>
      </w:pPr>
      <w:r>
        <w:rPr>
          <w:rFonts w:ascii="Calibri" w:hAnsi="Calibri"/>
          <w:b/>
          <w:color w:val="333333"/>
          <w:sz w:val="22"/>
        </w:rPr>
        <w:t xml:space="preserve">Financial Inclusion: </w:t>
      </w:r>
      <w:r>
        <w:rPr>
          <w:rFonts w:ascii="Calibri" w:hAnsi="Calibri"/>
          <w:color w:val="333333"/>
          <w:sz w:val="22"/>
        </w:rPr>
        <w:t>Extend banking services to underbanked and unbanked populations in rural and remote areas through a network of third-party agents, eliminating the need for costly branch expansion.</w:t>
      </w:r>
    </w:p>
    <w:p>
      <w:pPr>
        <w:pStyle w:val="ListBullet"/>
      </w:pPr>
      <w:r>
        <w:rPr>
          <w:rFonts w:ascii="Calibri" w:hAnsi="Calibri"/>
          <w:b/>
          <w:color w:val="333333"/>
          <w:sz w:val="22"/>
        </w:rPr>
        <w:t xml:space="preserve">Increased Outreach: </w:t>
      </w:r>
      <w:r>
        <w:rPr>
          <w:rFonts w:ascii="Calibri" w:hAnsi="Calibri"/>
          <w:color w:val="333333"/>
          <w:sz w:val="22"/>
        </w:rPr>
        <w:t>Deploy agents equipped with POS devices to serve customers in their communities, villages, and marketplaces, bringing financial services directly to the people.</w:t>
      </w:r>
    </w:p>
    <w:p>
      <w:pPr>
        <w:pStyle w:val="ListBullet"/>
      </w:pPr>
      <w:r>
        <w:rPr>
          <w:rFonts w:ascii="Calibri" w:hAnsi="Calibri"/>
          <w:b/>
          <w:color w:val="333333"/>
          <w:sz w:val="22"/>
        </w:rPr>
        <w:t xml:space="preserve">Reduced Operational Costs: </w:t>
      </w:r>
      <w:r>
        <w:rPr>
          <w:rFonts w:ascii="Calibri" w:hAnsi="Calibri"/>
          <w:color w:val="333333"/>
          <w:sz w:val="22"/>
        </w:rPr>
        <w:t>Minimize infrastructure investments by leveraging existing retail networks as banking agents, significantly reducing the cost per transaction compared to traditional branch operations.</w:t>
      </w:r>
    </w:p>
    <w:p>
      <w:pPr>
        <w:pStyle w:val="ListBullet"/>
      </w:pPr>
      <w:r>
        <w:rPr>
          <w:rFonts w:ascii="Calibri" w:hAnsi="Calibri"/>
          <w:b/>
          <w:color w:val="333333"/>
          <w:sz w:val="22"/>
        </w:rPr>
        <w:t xml:space="preserve">Customer Convenience: </w:t>
      </w:r>
      <w:r>
        <w:rPr>
          <w:rFonts w:ascii="Calibri" w:hAnsi="Calibri"/>
          <w:color w:val="333333"/>
          <w:sz w:val="22"/>
        </w:rPr>
        <w:t>Enable customers to perform cash deposits, withdrawals, balance enquiries, and account opening at convenient agent locations, outside traditional banking hours.</w:t>
      </w:r>
    </w:p>
    <w:p>
      <w:pPr>
        <w:pStyle w:val="ListBullet"/>
      </w:pPr>
      <w:r>
        <w:rPr>
          <w:rFonts w:ascii="Calibri" w:hAnsi="Calibri"/>
          <w:b/>
          <w:color w:val="333333"/>
          <w:sz w:val="22"/>
        </w:rPr>
        <w:t xml:space="preserve">Agent Empowerment: </w:t>
      </w:r>
      <w:r>
        <w:rPr>
          <w:rFonts w:ascii="Calibri" w:hAnsi="Calibri"/>
          <w:color w:val="333333"/>
          <w:sz w:val="22"/>
        </w:rPr>
        <w:t>Provide agents with comprehensive tools including NFC smart card support, biometric authentication, thermal receipt printing, and real-time transaction processing.</w:t>
      </w:r>
    </w:p>
    <w:p>
      <w:pPr>
        <w:pStyle w:val="ListBullet"/>
      </w:pPr>
      <w:r>
        <w:rPr>
          <w:rFonts w:ascii="Calibri" w:hAnsi="Calibri"/>
          <w:b/>
          <w:color w:val="333333"/>
          <w:sz w:val="22"/>
        </w:rPr>
        <w:t xml:space="preserve">Digital Transformation: </w:t>
      </w:r>
      <w:r>
        <w:rPr>
          <w:rFonts w:ascii="Calibri" w:hAnsi="Calibri"/>
          <w:color w:val="333333"/>
          <w:sz w:val="22"/>
        </w:rPr>
        <w:t>Modernize operations with digital client registration, electronic KYC data capture, biometric enrollment, and paperless workflows.</w:t>
      </w:r>
    </w:p>
    <w:p>
      <w:pPr>
        <w:pStyle w:val="ListBullet"/>
      </w:pPr>
      <w:r>
        <w:rPr>
          <w:rFonts w:ascii="Calibri" w:hAnsi="Calibri"/>
          <w:b/>
          <w:color w:val="333333"/>
          <w:sz w:val="22"/>
        </w:rPr>
        <w:t xml:space="preserve">Scalability: </w:t>
      </w:r>
      <w:r>
        <w:rPr>
          <w:rFonts w:ascii="Calibri" w:hAnsi="Calibri"/>
          <w:color w:val="333333"/>
          <w:sz w:val="22"/>
        </w:rPr>
        <w:t>Multi-tenant architecture supports multiple business units from a single platform, enabling rapid expansion across regions and countries.</w:t>
      </w:r>
    </w:p>
    <w:p>
      <w:pPr>
        <w:pStyle w:val="ListBullet"/>
      </w:pPr>
      <w:r>
        <w:rPr>
          <w:rFonts w:ascii="Calibri" w:hAnsi="Calibri"/>
          <w:b/>
          <w:color w:val="333333"/>
          <w:sz w:val="22"/>
        </w:rPr>
        <w:t xml:space="preserve">Security &amp; Compliance: </w:t>
      </w:r>
      <w:r>
        <w:rPr>
          <w:rFonts w:ascii="Calibri" w:hAnsi="Calibri"/>
          <w:color w:val="333333"/>
          <w:sz w:val="22"/>
        </w:rPr>
        <w:t>Multi-factor authentication (PIN, OTP, biometrics), encrypted communications, comprehensive audit trails, and role-based access control ensure regulatory compliance.</w:t>
      </w:r>
    </w:p>
    <w:p/>
    <w:p>
      <w:pPr>
        <w:pStyle w:val="Heading1"/>
      </w:pPr>
      <w:r>
        <w:rPr>
          <w:rFonts w:ascii="Calibri" w:hAnsi="Calibri"/>
          <w:color w:val="1B3A5C"/>
        </w:rPr>
        <w:t>3. Solution Overview</w:t>
      </w:r>
    </w:p>
    <w:p>
      <w:pPr>
        <w:spacing w:before="0" w:after="160" w:line="276" w:lineRule="auto"/>
      </w:pPr>
      <w:r>
        <w:rPr>
          <w:rFonts w:ascii="Calibri" w:hAnsi="Calibri"/>
          <w:b w:val="0"/>
          <w:i w:val="0"/>
          <w:color w:val="333333"/>
          <w:sz w:val="22"/>
        </w:rPr>
        <w:t>[Product Name] is a complete turnkey agency banking platform consisting of two integrated components:</w:t>
      </w:r>
    </w:p>
    <w:p>
      <w:pPr>
        <w:pStyle w:val="Heading2"/>
      </w:pPr>
      <w:r>
        <w:rPr>
          <w:rFonts w:ascii="Calibri" w:hAnsi="Calibri"/>
          <w:color w:val="1B3A5C"/>
        </w:rPr>
        <w:t>3.1 Web Administration Portal</w:t>
      </w:r>
    </w:p>
    <w:p>
      <w:pPr>
        <w:spacing w:before="0" w:after="160" w:line="276" w:lineRule="auto"/>
      </w:pPr>
      <w:r>
        <w:rPr>
          <w:rFonts w:ascii="Calibri" w:hAnsi="Calibri"/>
          <w:b w:val="0"/>
          <w:i w:val="0"/>
          <w:color w:val="333333"/>
          <w:sz w:val="22"/>
        </w:rPr>
        <w:t>A powerful web-based management console that provides financial institutions with full control over their agency banking operations. The portal enables super administrators to manage multiple business units, configure transaction rules, monitor agent performance, generate reports, and maintain complete oversight of all operations.</w:t>
      </w:r>
    </w:p>
    <w:p>
      <w:pPr>
        <w:pStyle w:val="Heading2"/>
      </w:pPr>
      <w:r>
        <w:rPr>
          <w:rFonts w:ascii="Calibri" w:hAnsi="Calibri"/>
          <w:color w:val="1B3A5C"/>
        </w:rPr>
        <w:t>3.2 Mobile POS Application</w:t>
      </w:r>
    </w:p>
    <w:p>
      <w:pPr>
        <w:spacing w:before="0" w:after="240" w:line="276" w:lineRule="auto"/>
      </w:pPr>
      <w:r>
        <w:rPr>
          <w:rFonts w:ascii="Calibri" w:hAnsi="Calibri"/>
          <w:b w:val="0"/>
          <w:i w:val="0"/>
          <w:color w:val="333333"/>
          <w:sz w:val="22"/>
        </w:rPr>
        <w:t>An Android-based application optimized for Telpo POS devices, equipped with integrated NFC card readers, fingerprint scanners, and thermal printers. The application empowers field agents to register clients, open accounts, process financial transactions, capture biometric data, and issue smart cards - all from a single handheld device.</w:t>
      </w:r>
    </w:p>
    <w:p>
      <w:pPr>
        <w:pStyle w:val="Heading1"/>
      </w:pPr>
      <w:r>
        <w:rPr>
          <w:rFonts w:ascii="Calibri" w:hAnsi="Calibri"/>
          <w:color w:val="1B3A5C"/>
        </w:rPr>
        <w:t>4. Web Administration Portal - Module Highlights</w:t>
      </w:r>
    </w:p>
    <w:p>
      <w:pPr>
        <w:pStyle w:val="Heading2"/>
      </w:pPr>
      <w:r>
        <w:rPr>
          <w:rFonts w:ascii="Calibri" w:hAnsi="Calibri"/>
          <w:color w:val="1B3A5C"/>
        </w:rPr>
        <w:t>4.1 Multi-Business Unit Management</w:t>
      </w:r>
    </w:p>
    <w:p>
      <w:pPr>
        <w:spacing w:before="0" w:after="160" w:line="276" w:lineRule="auto"/>
      </w:pPr>
      <w:r>
        <w:rPr>
          <w:rFonts w:ascii="Calibri" w:hAnsi="Calibri"/>
          <w:b w:val="0"/>
          <w:i w:val="0"/>
          <w:color w:val="333333"/>
          <w:sz w:val="22"/>
        </w:rPr>
        <w:t>[Product Name] supports a multi-tenant architecture where a single super administrator can manage multiple microfinance institutions or business units from a centralized dashboard. Each business unit operates with complete data isolation, its own configuration settings, user roles, transaction types, commission structures, and SMS settings. This architecture enables holding companies and microfinance networks to deploy a single platform across multiple subsidiaries or branches, reducing IT costs while maintaining operational independence.</w:t>
      </w:r>
    </w:p>
    <w:p>
      <w:pPr>
        <w:pStyle w:val="Heading2"/>
      </w:pPr>
      <w:r>
        <w:rPr>
          <w:rFonts w:ascii="Calibri" w:hAnsi="Calibri"/>
          <w:color w:val="1B3A5C"/>
        </w:rPr>
        <w:t>4.2 Agent Management</w:t>
      </w:r>
    </w:p>
    <w:p>
      <w:pPr>
        <w:spacing w:before="0" w:after="160" w:line="276" w:lineRule="auto"/>
      </w:pPr>
      <w:r>
        <w:rPr>
          <w:rFonts w:ascii="Calibri" w:hAnsi="Calibri"/>
          <w:b w:val="0"/>
          <w:i w:val="0"/>
          <w:color w:val="333333"/>
          <w:sz w:val="22"/>
        </w:rPr>
        <w:t>The Agent Management module provides comprehensive tools for recruiting, registering, and managing third-party banking agents. Administrators can capture complete agent profiles including personal details, identification documents, and photographs. Agents are assigned POS terminals and linked to float and commission accounts for transaction processing. The system supports automatic agent registration with core banking systems, PIN generation and distribution via SMS, and real-time monitoring of agent activity. Powerful search, filtering, and export capabilities enable efficient network management.</w:t>
      </w:r>
    </w:p>
    <w:p>
      <w:pPr>
        <w:pStyle w:val="Heading2"/>
      </w:pPr>
      <w:r>
        <w:rPr>
          <w:rFonts w:ascii="Calibri" w:hAnsi="Calibri"/>
          <w:color w:val="1B3A5C"/>
        </w:rPr>
        <w:t>4.3 Client &amp; Customer Management</w:t>
      </w:r>
    </w:p>
    <w:p>
      <w:pPr>
        <w:spacing w:before="0" w:after="160" w:line="276" w:lineRule="auto"/>
      </w:pPr>
      <w:r>
        <w:rPr>
          <w:rFonts w:ascii="Calibri" w:hAnsi="Calibri"/>
          <w:b w:val="0"/>
          <w:i w:val="0"/>
          <w:color w:val="333333"/>
          <w:sz w:val="22"/>
        </w:rPr>
        <w:t>The Client Management module supports comprehensive customer registration with full KYC (Know Your Customer) data capture including personal information, demographics, emergency contacts, next of kin details, housing information, income data, and geo-location. Clients can be organized into groups for efficient management of solidarity lending or village savings programs. The module supports biometric enrollment with up to four fingerprint templates per client, enabling secure biometric authentication for transactions. Photo capture and document management capabilities ensure complete digital client profiles.</w:t>
      </w:r>
    </w:p>
    <w:p>
      <w:pPr>
        <w:pStyle w:val="Heading2"/>
      </w:pPr>
      <w:r>
        <w:rPr>
          <w:rFonts w:ascii="Calibri" w:hAnsi="Calibri"/>
          <w:color w:val="1B3A5C"/>
        </w:rPr>
        <w:t>4.4 Account Management</w:t>
      </w:r>
    </w:p>
    <w:p>
      <w:pPr>
        <w:spacing w:before="0" w:after="160" w:line="276" w:lineRule="auto"/>
      </w:pPr>
      <w:r>
        <w:rPr>
          <w:rFonts w:ascii="Calibri" w:hAnsi="Calibri"/>
          <w:b w:val="0"/>
          <w:i w:val="0"/>
          <w:color w:val="333333"/>
          <w:sz w:val="22"/>
        </w:rPr>
        <w:t>The Account Management module handles the creation and lifecycle management of multiple account types including client savings accounts, agent float accounts, and agent commission accounts. Account numbers can be auto-generated or manually assigned, with built-in uniqueness validation per business unit. The system supports multi-currency operations and tracks account status (active, inactive, suspended, closed), balances, and opening/closing dates. Accounts are seamlessly linked to both clients and agents through a flexible polymorphic relationship model.</w:t>
      </w:r>
    </w:p>
    <w:p>
      <w:pPr>
        <w:pStyle w:val="Heading2"/>
      </w:pPr>
      <w:r>
        <w:rPr>
          <w:rFonts w:ascii="Calibri" w:hAnsi="Calibri"/>
          <w:color w:val="1B3A5C"/>
        </w:rPr>
        <w:t>4.5 Transaction Processing</w:t>
      </w:r>
    </w:p>
    <w:p>
      <w:pPr>
        <w:spacing w:before="0" w:after="160" w:line="276" w:lineRule="auto"/>
      </w:pPr>
      <w:r>
        <w:rPr>
          <w:rFonts w:ascii="Calibri" w:hAnsi="Calibri"/>
          <w:b w:val="0"/>
          <w:i w:val="0"/>
          <w:color w:val="333333"/>
          <w:sz w:val="22"/>
        </w:rPr>
        <w:t>The Transaction Management module is the heart of the platform, supporting a full range of financial transactions including cash deposits, cash withdrawals, biometric withdrawals, balance enquiries, and mini statements. Each transaction is processed with configurable verification methods including OTP and PIN authentication. The system automatically calculates transaction costs and agent commissions using a sophisticated tiered pricing engine. Transaction types are fully configurable per business unit, and comprehensive filtering, reporting, and export capabilities provide full visibility into transaction activity.</w:t>
      </w:r>
    </w:p>
    <w:p>
      <w:pPr>
        <w:pStyle w:val="Heading2"/>
      </w:pPr>
      <w:r>
        <w:rPr>
          <w:rFonts w:ascii="Calibri" w:hAnsi="Calibri"/>
          <w:color w:val="1B3A5C"/>
        </w:rPr>
        <w:t>4.6 Card Management</w:t>
      </w:r>
    </w:p>
    <w:p>
      <w:pPr>
        <w:spacing w:before="0" w:after="160" w:line="276" w:lineRule="auto"/>
      </w:pPr>
      <w:r>
        <w:rPr>
          <w:rFonts w:ascii="Calibri" w:hAnsi="Calibri"/>
          <w:b w:val="0"/>
          <w:i w:val="0"/>
          <w:color w:val="333333"/>
          <w:sz w:val="22"/>
        </w:rPr>
        <w:t>The Card Management module provides end-to-end smart card lifecycle management. Cards are linked to client accounts and support NFC-based contactless operations with both Mifare Classic (M1) and Mifare Ultralight (M0) card types. The system manages the complete card lifecycle including issuance, activation, blocking, replacement, and UID mapping. Bulk UID import capabilities streamline card provisioning operations, and configurable card settings per business unit (prefix, expiration, daily limits) ensure flexibility. Cards store customer identity and account information for quick, secure transactions at agent locations.</w:t>
      </w:r>
    </w:p>
    <w:p>
      <w:pPr>
        <w:pStyle w:val="Heading2"/>
      </w:pPr>
      <w:r>
        <w:rPr>
          <w:rFonts w:ascii="Calibri" w:hAnsi="Calibri"/>
          <w:color w:val="1B3A5C"/>
        </w:rPr>
        <w:t>4.7 Terminal &amp; POS Device Management</w:t>
      </w:r>
    </w:p>
    <w:p>
      <w:pPr>
        <w:spacing w:before="0" w:after="160" w:line="276" w:lineRule="auto"/>
      </w:pPr>
      <w:r>
        <w:rPr>
          <w:rFonts w:ascii="Calibri" w:hAnsi="Calibri"/>
          <w:b w:val="0"/>
          <w:i w:val="0"/>
          <w:color w:val="333333"/>
          <w:sz w:val="22"/>
        </w:rPr>
        <w:t>The Terminal Management module tracks all POS devices deployed across the agent network. Each terminal is registered with its serial number, SIM card details, and model information. Terminals are assigned to agents with full assignment history tracking, including assignment and unassignment dates. The module provides visibility into terminal status, transaction activity per device, and enables efficient device lifecycle management across the network.</w:t>
      </w:r>
    </w:p>
    <w:p>
      <w:pPr>
        <w:pStyle w:val="Heading2"/>
      </w:pPr>
      <w:r>
        <w:rPr>
          <w:rFonts w:ascii="Calibri" w:hAnsi="Calibri"/>
          <w:color w:val="1B3A5C"/>
        </w:rPr>
        <w:t>4.8 Fees &amp; Commission Engine</w:t>
      </w:r>
    </w:p>
    <w:p>
      <w:pPr>
        <w:spacing w:before="0" w:after="160" w:line="276" w:lineRule="auto"/>
      </w:pPr>
      <w:r>
        <w:rPr>
          <w:rFonts w:ascii="Calibri" w:hAnsi="Calibri"/>
          <w:b w:val="0"/>
          <w:i w:val="0"/>
          <w:color w:val="333333"/>
          <w:sz w:val="22"/>
        </w:rPr>
        <w:t>The Fees and Commission Engine provides a highly flexible rules-based system for calculating transaction costs and agent commissions. The engine supports multiple calculation methods including fixed amounts, percentages, tiered pricing, tiered percentages, and tiered fixed amounts. Transaction costs are calculated from the transaction amount, while commissions are calculated from the transaction cost, with the business share automatically determined as the difference. Each rule can be activated or deactivated per transaction type and per business unit, enabling precise control over pricing and incentive structures.</w:t>
      </w:r>
    </w:p>
    <w:p>
      <w:pPr>
        <w:pStyle w:val="Heading2"/>
      </w:pPr>
      <w:r>
        <w:rPr>
          <w:rFonts w:ascii="Calibri" w:hAnsi="Calibri"/>
          <w:color w:val="1B3A5C"/>
        </w:rPr>
        <w:t>4.9 SMS Alerts &amp; Notifications</w:t>
      </w:r>
    </w:p>
    <w:p>
      <w:pPr>
        <w:spacing w:before="0" w:after="160" w:line="276" w:lineRule="auto"/>
      </w:pPr>
      <w:r>
        <w:rPr>
          <w:rFonts w:ascii="Calibri" w:hAnsi="Calibri"/>
          <w:b w:val="0"/>
          <w:i w:val="0"/>
          <w:color w:val="333333"/>
          <w:sz w:val="22"/>
        </w:rPr>
        <w:t>The SMS Management module enables financial institutions to communicate with agents and customers via SMS. The system integrates with Orange SMS API for message delivery and supports single and bulk SMS sending, SMS credit management per business unit, and transactional alerts. SMS is used for OTP delivery, agent PIN notifications, transaction confirmations, and promotional campaigns. The super administrator manages SMS configuration and credit allocation across business units, ensuring cost control and accountability.</w:t>
      </w:r>
    </w:p>
    <w:p>
      <w:pPr>
        <w:pStyle w:val="Heading2"/>
      </w:pPr>
      <w:r>
        <w:rPr>
          <w:rFonts w:ascii="Calibri" w:hAnsi="Calibri"/>
          <w:color w:val="1B3A5C"/>
        </w:rPr>
        <w:t>4.10 Core Banking Integration</w:t>
      </w:r>
    </w:p>
    <w:p>
      <w:pPr>
        <w:spacing w:before="0" w:after="160" w:line="276" w:lineRule="auto"/>
      </w:pPr>
      <w:r>
        <w:rPr>
          <w:rFonts w:ascii="Calibri" w:hAnsi="Calibri"/>
          <w:b w:val="0"/>
          <w:i w:val="0"/>
          <w:color w:val="333333"/>
          <w:sz w:val="22"/>
        </w:rPr>
        <w:t>[Product Name] is designed to be CBS-agnostic, supporting integration with multiple core banking systems. The platform currently integrates with the KATO core banking system for automatic agent registration and real-time transaction processing. The integration framework is extensible, allowing connection to additional CBS platforms as required. Each business unit can be configured to use a different core banking system, providing maximum flexibility for institutions operating diverse technology environments.</w:t>
      </w:r>
    </w:p>
    <w:p>
      <w:pPr>
        <w:spacing w:before="0" w:after="160" w:line="276" w:lineRule="auto"/>
      </w:pPr>
      <w:r>
        <w:rPr>
          <w:rFonts w:ascii="Calibri" w:hAnsi="Calibri"/>
          <w:b w:val="0"/>
          <w:i w:val="0"/>
          <w:color w:val="333333"/>
          <w:sz w:val="22"/>
        </w:rPr>
        <w:t>Beyond KATO, the platform includes a Configurable (JSON mapper) driver that lets administrators onboard any REST-based core banking system entirely from the Super Admin portal - no custom development required. A new CBS is defined once (base URL, authentication, timeout), then internal fields are visually mapped to the target system's API for each transaction type. This dramatically shortens integration timelines and lets a single deployment serve institutions running different core banking platforms side by side.</w:t>
      </w:r>
    </w:p>
    <w:p>
      <w:pPr>
        <w:pStyle w:val="Heading2"/>
      </w:pPr>
      <w:r>
        <w:rPr>
          <w:rFonts w:ascii="Calibri" w:hAnsi="Calibri"/>
          <w:color w:val="1B3A5C"/>
        </w:rPr>
        <w:t>4.11 Reporting &amp; Analytics</w:t>
      </w:r>
    </w:p>
    <w:p>
      <w:pPr>
        <w:spacing w:before="0" w:after="160" w:line="276" w:lineRule="auto"/>
      </w:pPr>
      <w:r>
        <w:rPr>
          <w:rFonts w:ascii="Calibri" w:hAnsi="Calibri"/>
          <w:b w:val="0"/>
          <w:i w:val="0"/>
          <w:color w:val="333333"/>
          <w:sz w:val="22"/>
        </w:rPr>
        <w:t>The Reporting module provides comprehensive analytics and export capabilities across all platform modules. Reports can be generated for agents, clients, transactions, commissions, and costs with flexible date range filtering. The system supports asynchronous report generation for large datasets and delivers reports in CSV, Excel, and PDF formats. The audit trail module tracks all system activities with before/after change logging, providing full accountability and regulatory compliance support.</w:t>
      </w:r>
    </w:p>
    <w:p>
      <w:pPr>
        <w:pStyle w:val="Heading2"/>
      </w:pPr>
      <w:r>
        <w:rPr>
          <w:rFonts w:ascii="Calibri" w:hAnsi="Calibri"/>
          <w:color w:val="1B3A5C"/>
        </w:rPr>
        <w:t>4.12 Role-Based Access Control</w:t>
      </w:r>
    </w:p>
    <w:p>
      <w:pPr>
        <w:spacing w:before="0" w:after="240" w:line="276" w:lineRule="auto"/>
      </w:pPr>
      <w:r>
        <w:rPr>
          <w:rFonts w:ascii="Calibri" w:hAnsi="Calibri"/>
          <w:b w:val="0"/>
          <w:i w:val="0"/>
          <w:color w:val="333333"/>
          <w:sz w:val="22"/>
        </w:rPr>
        <w:t>The platform implements a comprehensive role-based access control (RBAC) system that enables granular permission management. Custom roles can be created with specific permissions assigned at the operation level (create, view, edit, delete) for each module. Users are assigned to business units with specific roles, ensuring that staff members only access the functions and data relevant to their responsibilities. The super administrator has full control over all business units and system-wide configurations.</w:t>
      </w:r>
    </w:p>
    <w:p>
      <w:pPr>
        <w:pStyle w:val="Heading1"/>
      </w:pPr>
      <w:r>
        <w:rPr>
          <w:rFonts w:ascii="Calibri" w:hAnsi="Calibri"/>
          <w:color w:val="1B3A5C"/>
        </w:rPr>
        <w:t>5. Mobile POS Application</w:t>
      </w:r>
    </w:p>
    <w:p>
      <w:pPr>
        <w:spacing w:before="0" w:after="160" w:line="276" w:lineRule="auto"/>
      </w:pPr>
      <w:r>
        <w:rPr>
          <w:rFonts w:ascii="Calibri" w:hAnsi="Calibri"/>
          <w:b w:val="0"/>
          <w:i w:val="0"/>
          <w:color w:val="333333"/>
          <w:sz w:val="22"/>
        </w:rPr>
        <w:t>The [Product Name] Mobile POS Application is an Android-based agent application optimized for Telpo POS terminals with integrated NFC card readers, biometric fingerprint scanners, and thermal receipt printers. The application provides agents with all the tools needed to deliver financial services in the field.</w:t>
      </w:r>
    </w:p>
    <w:tbl>
      <w:tblPr>
        <w:tblW w:type="auto" w:w="0"/>
        <w:jc w:val="center"/>
        <w:tblLayout w:type="autofit"/>
        <w:tblLook w:firstColumn="1" w:firstRow="1" w:lastColumn="0" w:lastRow="0" w:noHBand="0" w:noVBand="1" w:val="04A0"/>
      </w:tblPr>
      <w:tblGrid>
        <w:gridCol w:w="4703"/>
        <w:gridCol w:w="4703"/>
      </w:tblGrid>
      <w:tr>
        <w:tc>
          <w:tcPr>
            <w:tcW w:type="dxa" w:w="4703"/>
            <w:shd w:fill="1B3A5C"/>
          </w:tcPr>
          <w:p>
            <w:pPr>
              <w:jc w:val="center"/>
            </w:pPr>
            <w:r/>
            <w:r>
              <w:rPr>
                <w:rFonts w:ascii="Calibri" w:hAnsi="Calibri"/>
                <w:b/>
                <w:color w:val="FFFFFF"/>
                <w:sz w:val="20"/>
              </w:rPr>
              <w:t>Feature</w:t>
            </w:r>
          </w:p>
        </w:tc>
        <w:tc>
          <w:tcPr>
            <w:tcW w:type="dxa" w:w="4703"/>
            <w:shd w:fill="1B3A5C"/>
          </w:tcPr>
          <w:p>
            <w:pPr>
              <w:jc w:val="center"/>
            </w:pPr>
            <w:r/>
            <w:r>
              <w:rPr>
                <w:rFonts w:ascii="Calibri" w:hAnsi="Calibri"/>
                <w:b/>
                <w:color w:val="FFFFFF"/>
                <w:sz w:val="20"/>
              </w:rPr>
              <w:t>Description</w:t>
            </w:r>
          </w:p>
        </w:tc>
      </w:tr>
      <w:tr>
        <w:tc>
          <w:tcPr>
            <w:tcW w:type="dxa" w:w="4703"/>
            <w:shd w:fill="F2F7FC"/>
          </w:tcPr>
          <w:p>
            <w:r/>
            <w:r>
              <w:rPr>
                <w:rFonts w:ascii="Calibri" w:hAnsi="Calibri"/>
                <w:color w:val="333333"/>
                <w:sz w:val="20"/>
              </w:rPr>
              <w:t>Client Registration</w:t>
            </w:r>
          </w:p>
        </w:tc>
        <w:tc>
          <w:tcPr>
            <w:tcW w:type="dxa" w:w="4703"/>
            <w:shd w:fill="F2F7FC"/>
          </w:tcPr>
          <w:p>
            <w:r/>
            <w:r>
              <w:rPr>
                <w:rFonts w:ascii="Calibri" w:hAnsi="Calibri"/>
                <w:color w:val="333333"/>
                <w:sz w:val="20"/>
              </w:rPr>
              <w:t>Multi-step client registration with personal information capture, photo, account type selection, and biometric fingerprint enrollment (4 fingers). Printed receipt on completion.</w:t>
            </w:r>
          </w:p>
        </w:tc>
      </w:tr>
      <w:tr>
        <w:tc>
          <w:tcPr>
            <w:tcW w:type="dxa" w:w="4703"/>
            <w:shd w:fill="FFFFFF"/>
          </w:tcPr>
          <w:p>
            <w:r/>
            <w:r>
              <w:rPr>
                <w:rFonts w:ascii="Calibri" w:hAnsi="Calibri"/>
                <w:color w:val="333333"/>
                <w:sz w:val="20"/>
              </w:rPr>
              <w:t>Cash Deposit</w:t>
            </w:r>
          </w:p>
        </w:tc>
        <w:tc>
          <w:tcPr>
            <w:tcW w:type="dxa" w:w="4703"/>
            <w:shd w:fill="FFFFFF"/>
          </w:tcPr>
          <w:p>
            <w:r/>
            <w:r>
              <w:rPr>
                <w:rFonts w:ascii="Calibri" w:hAnsi="Calibri"/>
                <w:color w:val="333333"/>
                <w:sz w:val="20"/>
              </w:rPr>
              <w:t>NFC card-based deposits with automatic account identification. Secured with PIN and OTP verification. Automatic receipt printing.</w:t>
            </w:r>
          </w:p>
        </w:tc>
      </w:tr>
      <w:tr>
        <w:tc>
          <w:tcPr>
            <w:tcW w:type="dxa" w:w="4703"/>
            <w:shd w:fill="F2F7FC"/>
          </w:tcPr>
          <w:p>
            <w:r/>
            <w:r>
              <w:rPr>
                <w:rFonts w:ascii="Calibri" w:hAnsi="Calibri"/>
                <w:color w:val="333333"/>
                <w:sz w:val="20"/>
              </w:rPr>
              <w:t>Cash Withdrawal</w:t>
            </w:r>
          </w:p>
        </w:tc>
        <w:tc>
          <w:tcPr>
            <w:tcW w:type="dxa" w:w="4703"/>
            <w:shd w:fill="F2F7FC"/>
          </w:tcPr>
          <w:p>
            <w:r/>
            <w:r>
              <w:rPr>
                <w:rFonts w:ascii="Calibri" w:hAnsi="Calibri"/>
                <w:color w:val="333333"/>
                <w:sz w:val="20"/>
              </w:rPr>
              <w:t>NFC card-based withdrawals with PIN and OTP verification. Supports standard and biometric withdrawal modes.</w:t>
            </w:r>
          </w:p>
        </w:tc>
      </w:tr>
      <w:tr>
        <w:tc>
          <w:tcPr>
            <w:tcW w:type="dxa" w:w="4703"/>
            <w:shd w:fill="FFFFFF"/>
          </w:tcPr>
          <w:p>
            <w:r/>
            <w:r>
              <w:rPr>
                <w:rFonts w:ascii="Calibri" w:hAnsi="Calibri"/>
                <w:color w:val="333333"/>
                <w:sz w:val="20"/>
              </w:rPr>
              <w:t>Biometric Withdrawal</w:t>
            </w:r>
          </w:p>
        </w:tc>
        <w:tc>
          <w:tcPr>
            <w:tcW w:type="dxa" w:w="4703"/>
            <w:shd w:fill="FFFFFF"/>
          </w:tcPr>
          <w:p>
            <w:r/>
            <w:r>
              <w:rPr>
                <w:rFonts w:ascii="Calibri" w:hAnsi="Calibri"/>
                <w:color w:val="333333"/>
                <w:sz w:val="20"/>
              </w:rPr>
              <w:t>Fingerprint-authenticated withdrawals that eliminate the need for PIN or OTP, providing a seamless customer experience for authenticated users.</w:t>
            </w:r>
          </w:p>
        </w:tc>
      </w:tr>
      <w:tr>
        <w:tc>
          <w:tcPr>
            <w:tcW w:type="dxa" w:w="4703"/>
            <w:shd w:fill="F2F7FC"/>
          </w:tcPr>
          <w:p>
            <w:r/>
            <w:r>
              <w:rPr>
                <w:rFonts w:ascii="Calibri" w:hAnsi="Calibri"/>
                <w:color w:val="333333"/>
                <w:sz w:val="20"/>
              </w:rPr>
              <w:t>Balance Enquiry</w:t>
            </w:r>
          </w:p>
        </w:tc>
        <w:tc>
          <w:tcPr>
            <w:tcW w:type="dxa" w:w="4703"/>
            <w:shd w:fill="F2F7FC"/>
          </w:tcPr>
          <w:p>
            <w:r/>
            <w:r>
              <w:rPr>
                <w:rFonts w:ascii="Calibri" w:hAnsi="Calibri"/>
                <w:color w:val="333333"/>
                <w:sz w:val="20"/>
              </w:rPr>
              <w:t>Instant account balance retrieval via NFC card tap. Displays current balance and currency information.</w:t>
            </w:r>
          </w:p>
        </w:tc>
      </w:tr>
      <w:tr>
        <w:tc>
          <w:tcPr>
            <w:tcW w:type="dxa" w:w="4703"/>
            <w:shd w:fill="FFFFFF"/>
          </w:tcPr>
          <w:p>
            <w:r/>
            <w:r>
              <w:rPr>
                <w:rFonts w:ascii="Calibri" w:hAnsi="Calibri"/>
                <w:color w:val="333333"/>
                <w:sz w:val="20"/>
              </w:rPr>
              <w:t>Mini Statement</w:t>
            </w:r>
          </w:p>
        </w:tc>
        <w:tc>
          <w:tcPr>
            <w:tcW w:type="dxa" w:w="4703"/>
            <w:shd w:fill="FFFFFF"/>
          </w:tcPr>
          <w:p>
            <w:r/>
            <w:r>
              <w:rPr>
                <w:rFonts w:ascii="Calibri" w:hAnsi="Calibri"/>
                <w:color w:val="333333"/>
                <w:sz w:val="20"/>
              </w:rPr>
              <w:t>Retrieve last transactions for a customer account via NFC card tap. Displays transaction history with dates, amounts, and types.</w:t>
            </w:r>
          </w:p>
        </w:tc>
      </w:tr>
      <w:tr>
        <w:tc>
          <w:tcPr>
            <w:tcW w:type="dxa" w:w="4703"/>
            <w:shd w:fill="F2F7FC"/>
          </w:tcPr>
          <w:p>
            <w:r/>
            <w:r>
              <w:rPr>
                <w:rFonts w:ascii="Calibri" w:hAnsi="Calibri"/>
                <w:color w:val="333333"/>
                <w:sz w:val="20"/>
              </w:rPr>
              <w:t>NFC Smart Card Operations</w:t>
            </w:r>
          </w:p>
        </w:tc>
        <w:tc>
          <w:tcPr>
            <w:tcW w:type="dxa" w:w="4703"/>
            <w:shd w:fill="F2F7FC"/>
          </w:tcPr>
          <w:p>
            <w:r/>
            <w:r>
              <w:rPr>
                <w:rFonts w:ascii="Calibri" w:hAnsi="Calibri"/>
                <w:color w:val="333333"/>
                <w:sz w:val="20"/>
              </w:rPr>
              <w:t>Read and write customer data to Mifare Classic (M1) and Mifare Ultralight (M0) NFC cards. Stores customer name, account number, and card number on the card.</w:t>
            </w:r>
          </w:p>
        </w:tc>
      </w:tr>
      <w:tr>
        <w:tc>
          <w:tcPr>
            <w:tcW w:type="dxa" w:w="4703"/>
            <w:shd w:fill="FFFFFF"/>
          </w:tcPr>
          <w:p>
            <w:r/>
            <w:r>
              <w:rPr>
                <w:rFonts w:ascii="Calibri" w:hAnsi="Calibri"/>
                <w:color w:val="333333"/>
                <w:sz w:val="20"/>
              </w:rPr>
              <w:t>Fingerprint Enrollment</w:t>
            </w:r>
          </w:p>
        </w:tc>
        <w:tc>
          <w:tcPr>
            <w:tcW w:type="dxa" w:w="4703"/>
            <w:shd w:fill="FFFFFF"/>
          </w:tcPr>
          <w:p>
            <w:r/>
            <w:r>
              <w:rPr>
                <w:rFonts w:ascii="Calibri" w:hAnsi="Calibri"/>
                <w:color w:val="333333"/>
                <w:sz w:val="20"/>
              </w:rPr>
              <w:t>Capture up to 4 fingerprint templates per customer using integrated Feitian biometric scanner. Templates stored securely for future authentication.</w:t>
            </w:r>
          </w:p>
        </w:tc>
      </w:tr>
      <w:tr>
        <w:tc>
          <w:tcPr>
            <w:tcW w:type="dxa" w:w="4703"/>
            <w:shd w:fill="F2F7FC"/>
          </w:tcPr>
          <w:p>
            <w:r/>
            <w:r>
              <w:rPr>
                <w:rFonts w:ascii="Calibri" w:hAnsi="Calibri"/>
                <w:color w:val="333333"/>
                <w:sz w:val="20"/>
              </w:rPr>
              <w:t>Thermal Receipt Printing</w:t>
            </w:r>
          </w:p>
        </w:tc>
        <w:tc>
          <w:tcPr>
            <w:tcW w:type="dxa" w:w="4703"/>
            <w:shd w:fill="F2F7FC"/>
          </w:tcPr>
          <w:p>
            <w:r/>
            <w:r>
              <w:rPr>
                <w:rFonts w:ascii="Calibri" w:hAnsi="Calibri"/>
                <w:color w:val="333333"/>
                <w:sz w:val="20"/>
              </w:rPr>
              <w:t>Automatic receipt printing for all transactions and account openings using the integrated thermal printer. Includes transaction details, amounts, and reference numbers.</w:t>
            </w:r>
          </w:p>
        </w:tc>
      </w:tr>
      <w:tr>
        <w:tc>
          <w:tcPr>
            <w:tcW w:type="dxa" w:w="4703"/>
            <w:shd w:fill="FFFFFF"/>
          </w:tcPr>
          <w:p>
            <w:r/>
            <w:r>
              <w:rPr>
                <w:rFonts w:ascii="Calibri" w:hAnsi="Calibri"/>
                <w:color w:val="333333"/>
                <w:sz w:val="20"/>
              </w:rPr>
              <w:t>Service Payments</w:t>
            </w:r>
          </w:p>
        </w:tc>
        <w:tc>
          <w:tcPr>
            <w:tcW w:type="dxa" w:w="4703"/>
            <w:shd w:fill="FFFFFF"/>
          </w:tcPr>
          <w:p>
            <w:r/>
            <w:r>
              <w:rPr>
                <w:rFonts w:ascii="Calibri" w:hAnsi="Calibri"/>
                <w:color w:val="333333"/>
                <w:sz w:val="20"/>
              </w:rPr>
              <w:t>Support for utility and service payments including OneAWater and Yolse payment integrations.</w:t>
            </w:r>
          </w:p>
        </w:tc>
      </w:tr>
      <w:tr>
        <w:tc>
          <w:tcPr>
            <w:tcW w:type="dxa" w:w="4703"/>
            <w:shd w:fill="F2F7FC"/>
          </w:tcPr>
          <w:p>
            <w:r/>
            <w:r>
              <w:rPr>
                <w:rFonts w:ascii="Calibri" w:hAnsi="Calibri"/>
                <w:color w:val="333333"/>
                <w:sz w:val="20"/>
              </w:rPr>
              <w:t>Offline Capability</w:t>
            </w:r>
          </w:p>
        </w:tc>
        <w:tc>
          <w:tcPr>
            <w:tcW w:type="dxa" w:w="4703"/>
            <w:shd w:fill="F2F7FC"/>
          </w:tcPr>
          <w:p>
            <w:r/>
            <w:r>
              <w:rPr>
                <w:rFonts w:ascii="Calibri" w:hAnsi="Calibri"/>
                <w:color w:val="333333"/>
                <w:sz w:val="20"/>
              </w:rPr>
              <w:t>Local SQLite database caching enables continued operation in low-connectivity environments with automatic synchronization when connection is restored.</w:t>
            </w:r>
          </w:p>
        </w:tc>
      </w:tr>
      <w:tr>
        <w:tc>
          <w:tcPr>
            <w:tcW w:type="dxa" w:w="4703"/>
            <w:shd w:fill="FFFFFF"/>
          </w:tcPr>
          <w:p>
            <w:r/>
            <w:r>
              <w:rPr>
                <w:rFonts w:ascii="Calibri" w:hAnsi="Calibri"/>
                <w:color w:val="333333"/>
                <w:sz w:val="20"/>
              </w:rPr>
              <w:t>Multi-Language</w:t>
            </w:r>
          </w:p>
        </w:tc>
        <w:tc>
          <w:tcPr>
            <w:tcW w:type="dxa" w:w="4703"/>
            <w:shd w:fill="FFFFFF"/>
          </w:tcPr>
          <w:p>
            <w:r/>
            <w:r>
              <w:rPr>
                <w:rFonts w:ascii="Calibri" w:hAnsi="Calibri"/>
                <w:color w:val="333333"/>
                <w:sz w:val="20"/>
              </w:rPr>
              <w:t>Support for French and English with runtime language switching.</w:t>
            </w:r>
          </w:p>
        </w:tc>
      </w:tr>
      <w:tr>
        <w:tc>
          <w:tcPr>
            <w:tcW w:type="dxa" w:w="4703"/>
            <w:shd w:fill="F2F7FC"/>
          </w:tcPr>
          <w:p>
            <w:r/>
            <w:r>
              <w:rPr>
                <w:rFonts w:ascii="Calibri" w:hAnsi="Calibri"/>
                <w:color w:val="333333"/>
                <w:sz w:val="20"/>
              </w:rPr>
              <w:t>Session Security</w:t>
            </w:r>
          </w:p>
        </w:tc>
        <w:tc>
          <w:tcPr>
            <w:tcW w:type="dxa" w:w="4703"/>
            <w:shd w:fill="F2F7FC"/>
          </w:tcPr>
          <w:p>
            <w:r/>
            <w:r>
              <w:rPr>
                <w:rFonts w:ascii="Calibri" w:hAnsi="Calibri"/>
                <w:color w:val="333333"/>
                <w:sz w:val="20"/>
              </w:rPr>
              <w:t>Automatic session timeout after 10 minutes of inactivity. PIN encryption for secure authentication.</w:t>
            </w:r>
          </w:p>
        </w:tc>
      </w:tr>
    </w:tbl>
    <w:p/>
    <w:p>
      <w:pPr>
        <w:pStyle w:val="Heading1"/>
      </w:pPr>
      <w:r>
        <w:rPr>
          <w:rFonts w:ascii="Calibri" w:hAnsi="Calibri"/>
          <w:color w:val="1B3A5C"/>
        </w:rPr>
        <w:t>6. Security &amp; Compliance</w:t>
      </w:r>
    </w:p>
    <w:p>
      <w:pPr>
        <w:spacing w:before="0" w:after="160" w:line="276" w:lineRule="auto"/>
      </w:pPr>
      <w:r>
        <w:rPr>
          <w:rFonts w:ascii="Calibri" w:hAnsi="Calibri"/>
          <w:b w:val="0"/>
          <w:i w:val="0"/>
          <w:color w:val="333333"/>
          <w:sz w:val="22"/>
        </w:rPr>
        <w:t>[Product Name] implements multiple layers of security to protect financial transactions and customer data:</w:t>
      </w:r>
    </w:p>
    <w:p>
      <w:pPr>
        <w:pStyle w:val="ListBullet"/>
      </w:pPr>
      <w:r>
        <w:rPr>
          <w:rFonts w:ascii="Calibri" w:hAnsi="Calibri"/>
          <w:b/>
          <w:color w:val="333333"/>
          <w:sz w:val="22"/>
        </w:rPr>
        <w:t xml:space="preserve">Multi-Factor Authentication: </w:t>
      </w:r>
      <w:r>
        <w:rPr>
          <w:rFonts w:ascii="Calibri" w:hAnsi="Calibri"/>
          <w:color w:val="333333"/>
          <w:sz w:val="22"/>
        </w:rPr>
        <w:t>Transactions are secured with PIN, OTP, and biometric verification options, providing flexible authentication based on transaction type and risk level.</w:t>
      </w:r>
    </w:p>
    <w:p>
      <w:pPr>
        <w:pStyle w:val="ListBullet"/>
      </w:pPr>
      <w:r>
        <w:rPr>
          <w:rFonts w:ascii="Calibri" w:hAnsi="Calibri"/>
          <w:b/>
          <w:color w:val="333333"/>
          <w:sz w:val="22"/>
        </w:rPr>
        <w:t xml:space="preserve">Biometric Security: </w:t>
      </w:r>
      <w:r>
        <w:rPr>
          <w:rFonts w:ascii="Calibri" w:hAnsi="Calibri"/>
          <w:color w:val="333333"/>
          <w:sz w:val="22"/>
        </w:rPr>
        <w:t>Fingerprint-based authentication provides the highest level of identity verification, preventing unauthorized transactions even if a card is lost or stolen.</w:t>
      </w:r>
    </w:p>
    <w:p>
      <w:pPr>
        <w:pStyle w:val="ListBullet"/>
      </w:pPr>
      <w:r>
        <w:rPr>
          <w:rFonts w:ascii="Calibri" w:hAnsi="Calibri"/>
          <w:b/>
          <w:color w:val="333333"/>
          <w:sz w:val="22"/>
        </w:rPr>
        <w:t xml:space="preserve">Encrypted Communications: </w:t>
      </w:r>
      <w:r>
        <w:rPr>
          <w:rFonts w:ascii="Calibri" w:hAnsi="Calibri"/>
          <w:color w:val="333333"/>
          <w:sz w:val="22"/>
        </w:rPr>
        <w:t>All API communications between the POS application and backend server use encrypted channels. PINs are encrypted before transmission.</w:t>
      </w:r>
    </w:p>
    <w:p>
      <w:pPr>
        <w:pStyle w:val="ListBullet"/>
      </w:pPr>
      <w:r>
        <w:rPr>
          <w:rFonts w:ascii="Calibri" w:hAnsi="Calibri"/>
          <w:b/>
          <w:color w:val="333333"/>
          <w:sz w:val="22"/>
        </w:rPr>
        <w:t xml:space="preserve">Audit Trail: </w:t>
      </w:r>
      <w:r>
        <w:rPr>
          <w:rFonts w:ascii="Calibri" w:hAnsi="Calibri"/>
          <w:color w:val="333333"/>
          <w:sz w:val="22"/>
        </w:rPr>
        <w:t>Every system action is logged with full before/after change tracking, user identification, and timestamps, providing complete accountability.</w:t>
      </w:r>
    </w:p>
    <w:p>
      <w:pPr>
        <w:pStyle w:val="ListBullet"/>
      </w:pPr>
      <w:r>
        <w:rPr>
          <w:rFonts w:ascii="Calibri" w:hAnsi="Calibri"/>
          <w:b/>
          <w:color w:val="333333"/>
          <w:sz w:val="22"/>
        </w:rPr>
        <w:t xml:space="preserve">Role-Based Access: </w:t>
      </w:r>
      <w:r>
        <w:rPr>
          <w:rFonts w:ascii="Calibri" w:hAnsi="Calibri"/>
          <w:color w:val="333333"/>
          <w:sz w:val="22"/>
        </w:rPr>
        <w:t>Granular permission controls ensure users only access functions appropriate to their role, minimizing the risk of unauthorized operations.</w:t>
      </w:r>
    </w:p>
    <w:p>
      <w:pPr>
        <w:pStyle w:val="ListBullet"/>
      </w:pPr>
      <w:r>
        <w:rPr>
          <w:rFonts w:ascii="Calibri" w:hAnsi="Calibri"/>
          <w:b/>
          <w:color w:val="333333"/>
          <w:sz w:val="22"/>
        </w:rPr>
        <w:t xml:space="preserve">Data Isolation: </w:t>
      </w:r>
      <w:r>
        <w:rPr>
          <w:rFonts w:ascii="Calibri" w:hAnsi="Calibri"/>
          <w:color w:val="333333"/>
          <w:sz w:val="22"/>
        </w:rPr>
        <w:t>Multi-tenant data isolation ensures that each business unit's data is completely separated, preventing cross-tenant data access.</w:t>
      </w:r>
    </w:p>
    <w:p>
      <w:pPr>
        <w:pStyle w:val="ListBullet"/>
      </w:pPr>
      <w:r>
        <w:rPr>
          <w:rFonts w:ascii="Calibri" w:hAnsi="Calibri"/>
          <w:b/>
          <w:color w:val="333333"/>
          <w:sz w:val="22"/>
        </w:rPr>
        <w:t xml:space="preserve">Session Management: </w:t>
      </w:r>
      <w:r>
        <w:rPr>
          <w:rFonts w:ascii="Calibri" w:hAnsi="Calibri"/>
          <w:color w:val="333333"/>
          <w:sz w:val="22"/>
        </w:rPr>
        <w:t>Automatic session timeouts and secure token-based authentication protect against unauthorized access.</w:t>
      </w:r>
    </w:p>
    <w:p/>
    <w:p>
      <w:pPr>
        <w:pStyle w:val="Heading1"/>
      </w:pPr>
      <w:r>
        <w:rPr>
          <w:rFonts w:ascii="Calibri" w:hAnsi="Calibri"/>
          <w:color w:val="1B3A5C"/>
        </w:rPr>
        <w:t>7. Multi-Language Support</w:t>
      </w:r>
    </w:p>
    <w:p>
      <w:pPr>
        <w:spacing w:before="0" w:after="240" w:line="276" w:lineRule="auto"/>
      </w:pPr>
      <w:r>
        <w:rPr>
          <w:rFonts w:ascii="Calibri" w:hAnsi="Calibri"/>
          <w:b w:val="0"/>
          <w:i w:val="0"/>
          <w:color w:val="333333"/>
          <w:sz w:val="22"/>
        </w:rPr>
        <w:t>[Product Name] is designed for deployment across multiple African markets with full localization support. The web administration portal supports English, French, and Portuguese, while the mobile POS application supports French and English. All user interface elements, transaction messages, and reports are fully translated, ensuring that agents and administrators can work in their preferred language. Language can be switched at any time without restarting the application.</w:t>
      </w:r>
    </w:p>
    <w:p>
      <w:pPr>
        <w:pStyle w:val="Heading1"/>
      </w:pPr>
      <w:r>
        <w:rPr>
          <w:rFonts w:ascii="Calibri" w:hAnsi="Calibri"/>
          <w:color w:val="1B3A5C"/>
        </w:rPr>
        <w:t>8. Why Choose [Product Name]?</w:t>
      </w:r>
    </w:p>
    <w:p>
      <w:pPr>
        <w:pStyle w:val="ListBullet"/>
      </w:pPr>
      <w:r>
        <w:rPr>
          <w:rFonts w:ascii="Calibri" w:hAnsi="Calibri"/>
          <w:b/>
          <w:color w:val="333333"/>
          <w:sz w:val="22"/>
        </w:rPr>
        <w:t xml:space="preserve">Proven Technology: </w:t>
      </w:r>
      <w:r>
        <w:rPr>
          <w:rFonts w:ascii="Calibri" w:hAnsi="Calibri"/>
          <w:color w:val="333333"/>
          <w:sz w:val="22"/>
        </w:rPr>
        <w:t>Built on enterprise-grade Laravel framework with a robust REST API architecture, ensuring reliability, scalability, and maintainability.</w:t>
      </w:r>
    </w:p>
    <w:p>
      <w:pPr>
        <w:pStyle w:val="ListBullet"/>
      </w:pPr>
      <w:r>
        <w:rPr>
          <w:rFonts w:ascii="Calibri" w:hAnsi="Calibri"/>
          <w:b/>
          <w:color w:val="333333"/>
          <w:sz w:val="22"/>
        </w:rPr>
        <w:t xml:space="preserve">Complete Solution: </w:t>
      </w:r>
      <w:r>
        <w:rPr>
          <w:rFonts w:ascii="Calibri" w:hAnsi="Calibri"/>
          <w:color w:val="333333"/>
          <w:sz w:val="22"/>
        </w:rPr>
        <w:t>A single platform covers all agency banking needs - from agent recruitment to transaction processing, from card management to regulatory reporting.</w:t>
      </w:r>
    </w:p>
    <w:p>
      <w:pPr>
        <w:pStyle w:val="ListBullet"/>
      </w:pPr>
      <w:r>
        <w:rPr>
          <w:rFonts w:ascii="Calibri" w:hAnsi="Calibri"/>
          <w:b/>
          <w:color w:val="333333"/>
          <w:sz w:val="22"/>
        </w:rPr>
        <w:t xml:space="preserve">Hardware Integration: </w:t>
      </w:r>
      <w:r>
        <w:rPr>
          <w:rFonts w:ascii="Calibri" w:hAnsi="Calibri"/>
          <w:color w:val="333333"/>
          <w:sz w:val="22"/>
        </w:rPr>
        <w:t>Deep integration with Telpo POS devices, NFC smart cards, biometric scanners, and thermal printers provides a complete hardware-software solution.</w:t>
      </w:r>
    </w:p>
    <w:p>
      <w:pPr>
        <w:pStyle w:val="ListBullet"/>
      </w:pPr>
      <w:r>
        <w:rPr>
          <w:rFonts w:ascii="Calibri" w:hAnsi="Calibri"/>
          <w:b/>
          <w:color w:val="333333"/>
          <w:sz w:val="22"/>
        </w:rPr>
        <w:t xml:space="preserve">Multi-Tenant Architecture: </w:t>
      </w:r>
      <w:r>
        <w:rPr>
          <w:rFonts w:ascii="Calibri" w:hAnsi="Calibri"/>
          <w:color w:val="333333"/>
          <w:sz w:val="22"/>
        </w:rPr>
        <w:t>Support multiple business units, MFIs, or subsidiaries from a single platform, reducing deployment and operational costs.</w:t>
      </w:r>
    </w:p>
    <w:p>
      <w:pPr>
        <w:pStyle w:val="ListBullet"/>
      </w:pPr>
      <w:r>
        <w:rPr>
          <w:rFonts w:ascii="Calibri" w:hAnsi="Calibri"/>
          <w:b/>
          <w:color w:val="333333"/>
          <w:sz w:val="22"/>
        </w:rPr>
        <w:t xml:space="preserve">CBS Agnostic: </w:t>
      </w:r>
      <w:r>
        <w:rPr>
          <w:rFonts w:ascii="Calibri" w:hAnsi="Calibri"/>
          <w:color w:val="333333"/>
          <w:sz w:val="22"/>
        </w:rPr>
        <w:t>Flexible core banking integration framework supports connection to any CBS, protecting your existing technology investments.</w:t>
      </w:r>
    </w:p>
    <w:p>
      <w:pPr>
        <w:pStyle w:val="ListBullet"/>
      </w:pPr>
      <w:r>
        <w:rPr>
          <w:rFonts w:ascii="Calibri" w:hAnsi="Calibri"/>
          <w:b/>
          <w:color w:val="333333"/>
          <w:sz w:val="22"/>
        </w:rPr>
        <w:t xml:space="preserve">Offline Capable: </w:t>
      </w:r>
      <w:r>
        <w:rPr>
          <w:rFonts w:ascii="Calibri" w:hAnsi="Calibri"/>
          <w:color w:val="333333"/>
          <w:sz w:val="22"/>
        </w:rPr>
        <w:t>The mobile application continues to function in low-connectivity environments, critical for rural and remote agent locations.</w:t>
      </w:r>
    </w:p>
    <w:p>
      <w:pPr>
        <w:pStyle w:val="ListBullet"/>
      </w:pPr>
      <w:r>
        <w:rPr>
          <w:rFonts w:ascii="Calibri" w:hAnsi="Calibri"/>
          <w:b/>
          <w:color w:val="333333"/>
          <w:sz w:val="22"/>
        </w:rPr>
        <w:t xml:space="preserve">Rapid Deployment: </w:t>
      </w:r>
      <w:r>
        <w:rPr>
          <w:rFonts w:ascii="Calibri" w:hAnsi="Calibri"/>
          <w:color w:val="333333"/>
          <w:sz w:val="22"/>
        </w:rPr>
        <w:t>Pre-built modules and configurable settings enable rapid deployment and customization to match specific business requirements.</w:t>
      </w:r>
    </w:p>
    <w:p>
      <w:pPr>
        <w:pStyle w:val="ListBullet"/>
      </w:pPr>
      <w:r>
        <w:rPr>
          <w:rFonts w:ascii="Calibri" w:hAnsi="Calibri"/>
          <w:b/>
          <w:color w:val="333333"/>
          <w:sz w:val="22"/>
        </w:rPr>
        <w:t xml:space="preserve">Comprehensive Security: </w:t>
      </w:r>
      <w:r>
        <w:rPr>
          <w:rFonts w:ascii="Calibri" w:hAnsi="Calibri"/>
          <w:color w:val="333333"/>
          <w:sz w:val="22"/>
        </w:rPr>
        <w:t>Multi-factor authentication, biometric verification, audit trails, and role-based access control meet the strictest regulatory requirements.</w:t>
      </w:r>
    </w:p>
    <w:p/>
    <w:p>
      <w:pPr>
        <w:pStyle w:val="Heading1"/>
      </w:pPr>
      <w:r>
        <w:rPr>
          <w:rFonts w:ascii="Calibri" w:hAnsi="Calibri"/>
          <w:color w:val="1B3A5C"/>
        </w:rPr>
        <w:t>9. References &amp; Use Cases</w:t>
      </w:r>
    </w:p>
    <w:p>
      <w:pPr>
        <w:spacing w:before="0" w:after="160" w:line="276" w:lineRule="auto"/>
      </w:pPr>
      <w:r>
        <w:rPr>
          <w:rFonts w:ascii="Calibri" w:hAnsi="Calibri"/>
          <w:b w:val="0"/>
          <w:i w:val="0"/>
          <w:color w:val="333333"/>
          <w:sz w:val="22"/>
        </w:rPr>
        <w:t>[Company Name] has successfully deployed agency banking solutions for microfinance institutions across multiple African markets. Our solutions have enabled these institutions to significantly expand their outreach, reduce operational costs, and improve customer satisfaction through convenient agent-based banking services.</w:t>
      </w:r>
    </w:p>
    <w:p>
      <w:pPr>
        <w:spacing w:before="0" w:after="160" w:line="276" w:lineRule="auto"/>
      </w:pPr>
      <w:r>
        <w:rPr>
          <w:rFonts w:ascii="Calibri" w:hAnsi="Calibri"/>
          <w:b w:val="0"/>
          <w:i/>
          <w:color w:val="666666"/>
          <w:sz w:val="22"/>
        </w:rPr>
        <w:t>[Insert client references and case studies here]</w:t>
      </w:r>
    </w:p>
    <w:p>
      <w:pPr>
        <w:pStyle w:val="Heading1"/>
      </w:pPr>
      <w:r>
        <w:rPr>
          <w:rFonts w:ascii="Calibri" w:hAnsi="Calibri"/>
          <w:color w:val="1B3A5C"/>
        </w:rPr>
        <w:t>10. Contact Information</w:t>
      </w:r>
    </w:p>
    <w:tbl>
      <w:tblPr>
        <w:tblW w:type="auto" w:w="0"/>
        <w:jc w:val="center"/>
        <w:tblLayout w:type="autofit"/>
        <w:tblLook w:firstColumn="1" w:firstRow="1" w:lastColumn="0" w:lastRow="0" w:noHBand="0" w:noVBand="1" w:val="04A0"/>
      </w:tblPr>
      <w:tblGrid>
        <w:gridCol w:w="4703"/>
        <w:gridCol w:w="4703"/>
      </w:tblGrid>
      <w:tr>
        <w:tc>
          <w:tcPr>
            <w:tcW w:type="dxa" w:w="4703"/>
            <w:shd w:fill="1B3A5C"/>
          </w:tcPr>
          <w:p>
            <w:pPr>
              <w:jc w:val="center"/>
            </w:pPr>
            <w:r/>
            <w:r>
              <w:rPr>
                <w:rFonts w:ascii="Calibri" w:hAnsi="Calibri"/>
                <w:b/>
                <w:color w:val="FFFFFF"/>
                <w:sz w:val="20"/>
              </w:rPr>
            </w:r>
          </w:p>
        </w:tc>
        <w:tc>
          <w:tcPr>
            <w:tcW w:type="dxa" w:w="4703"/>
            <w:shd w:fill="1B3A5C"/>
          </w:tcPr>
          <w:p>
            <w:pPr>
              <w:jc w:val="center"/>
            </w:pPr>
            <w:r/>
            <w:r>
              <w:rPr>
                <w:rFonts w:ascii="Calibri" w:hAnsi="Calibri"/>
                <w:b/>
                <w:color w:val="FFFFFF"/>
                <w:sz w:val="20"/>
              </w:rPr>
            </w:r>
          </w:p>
        </w:tc>
      </w:tr>
      <w:tr>
        <w:tc>
          <w:tcPr>
            <w:tcW w:type="dxa" w:w="4703"/>
            <w:shd w:fill="F2F7FC"/>
          </w:tcPr>
          <w:p>
            <w:r/>
            <w:r>
              <w:rPr>
                <w:rFonts w:ascii="Calibri" w:hAnsi="Calibri"/>
                <w:color w:val="333333"/>
                <w:sz w:val="20"/>
              </w:rPr>
              <w:t>Company</w:t>
            </w:r>
          </w:p>
        </w:tc>
        <w:tc>
          <w:tcPr>
            <w:tcW w:type="dxa" w:w="4703"/>
            <w:shd w:fill="F2F7FC"/>
          </w:tcPr>
          <w:p>
            <w:r/>
            <w:r>
              <w:rPr>
                <w:rFonts w:ascii="Calibri" w:hAnsi="Calibri"/>
                <w:color w:val="333333"/>
                <w:sz w:val="20"/>
              </w:rPr>
              <w:t>[Company Name]</w:t>
            </w:r>
          </w:p>
        </w:tc>
      </w:tr>
      <w:tr>
        <w:tc>
          <w:tcPr>
            <w:tcW w:type="dxa" w:w="4703"/>
            <w:shd w:fill="FFFFFF"/>
          </w:tcPr>
          <w:p>
            <w:r/>
            <w:r>
              <w:rPr>
                <w:rFonts w:ascii="Calibri" w:hAnsi="Calibri"/>
                <w:color w:val="333333"/>
                <w:sz w:val="20"/>
              </w:rPr>
              <w:t>Address</w:t>
            </w:r>
          </w:p>
        </w:tc>
        <w:tc>
          <w:tcPr>
            <w:tcW w:type="dxa" w:w="4703"/>
            <w:shd w:fill="FFFFFF"/>
          </w:tcPr>
          <w:p>
            <w:r/>
            <w:r>
              <w:rPr>
                <w:rFonts w:ascii="Calibri" w:hAnsi="Calibri"/>
                <w:color w:val="333333"/>
                <w:sz w:val="20"/>
              </w:rPr>
              <w:t>[Company Address]</w:t>
            </w:r>
          </w:p>
        </w:tc>
      </w:tr>
      <w:tr>
        <w:tc>
          <w:tcPr>
            <w:tcW w:type="dxa" w:w="4703"/>
            <w:shd w:fill="F2F7FC"/>
          </w:tcPr>
          <w:p>
            <w:r/>
            <w:r>
              <w:rPr>
                <w:rFonts w:ascii="Calibri" w:hAnsi="Calibri"/>
                <w:color w:val="333333"/>
                <w:sz w:val="20"/>
              </w:rPr>
              <w:t>Phone</w:t>
            </w:r>
          </w:p>
        </w:tc>
        <w:tc>
          <w:tcPr>
            <w:tcW w:type="dxa" w:w="4703"/>
            <w:shd w:fill="F2F7FC"/>
          </w:tcPr>
          <w:p>
            <w:r/>
            <w:r>
              <w:rPr>
                <w:rFonts w:ascii="Calibri" w:hAnsi="Calibri"/>
                <w:color w:val="333333"/>
                <w:sz w:val="20"/>
              </w:rPr>
              <w:t>[Phone Number]</w:t>
            </w:r>
          </w:p>
        </w:tc>
      </w:tr>
      <w:tr>
        <w:tc>
          <w:tcPr>
            <w:tcW w:type="dxa" w:w="4703"/>
            <w:shd w:fill="FFFFFF"/>
          </w:tcPr>
          <w:p>
            <w:r/>
            <w:r>
              <w:rPr>
                <w:rFonts w:ascii="Calibri" w:hAnsi="Calibri"/>
                <w:color w:val="333333"/>
                <w:sz w:val="20"/>
              </w:rPr>
              <w:t>Email</w:t>
            </w:r>
          </w:p>
        </w:tc>
        <w:tc>
          <w:tcPr>
            <w:tcW w:type="dxa" w:w="4703"/>
            <w:shd w:fill="FFFFFF"/>
          </w:tcPr>
          <w:p>
            <w:r/>
            <w:r>
              <w:rPr>
                <w:rFonts w:ascii="Calibri" w:hAnsi="Calibri"/>
                <w:color w:val="333333"/>
                <w:sz w:val="20"/>
              </w:rPr>
              <w:t>[Email Address]</w:t>
            </w:r>
          </w:p>
        </w:tc>
      </w:tr>
      <w:tr>
        <w:tc>
          <w:tcPr>
            <w:tcW w:type="dxa" w:w="4703"/>
            <w:shd w:fill="F2F7FC"/>
          </w:tcPr>
          <w:p>
            <w:r/>
            <w:r>
              <w:rPr>
                <w:rFonts w:ascii="Calibri" w:hAnsi="Calibri"/>
                <w:color w:val="333333"/>
                <w:sz w:val="20"/>
              </w:rPr>
              <w:t>Website</w:t>
            </w:r>
          </w:p>
        </w:tc>
        <w:tc>
          <w:tcPr>
            <w:tcW w:type="dxa" w:w="4703"/>
            <w:shd w:fill="F2F7FC"/>
          </w:tcPr>
          <w:p>
            <w:r/>
            <w:r>
              <w:rPr>
                <w:rFonts w:ascii="Calibri" w:hAnsi="Calibri"/>
                <w:color w:val="333333"/>
                <w:sz w:val="20"/>
              </w:rPr>
              <w:t>[Website URL]</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