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2000" cy="974541"/>
            <wp:docPr id="1" name="Picture 1"/>
            <wp:cNvGraphicFramePr>
              <a:graphicFrameLocks noChangeAspect="1"/>
            </wp:cNvGraphicFramePr>
            <a:graphic>
              <a:graphicData uri="http://schemas.openxmlformats.org/drawingml/2006/picture">
                <pic:pic>
                  <pic:nvPicPr>
                    <pic:cNvPr id="0" name="dbs_logo.png"/>
                    <pic:cNvPicPr/>
                  </pic:nvPicPr>
                  <pic:blipFill>
                    <a:blip r:embed="rId11"/>
                    <a:stretch>
                      <a:fillRect/>
                    </a:stretch>
                  </pic:blipFill>
                  <pic:spPr>
                    <a:xfrm>
                      <a:off x="0" y="0"/>
                      <a:ext cx="1872000" cy="974541"/>
                    </a:xfrm>
                    <a:prstGeom prst="rect"/>
                  </pic:spPr>
                </pic:pic>
              </a:graphicData>
            </a:graphic>
          </wp:inline>
        </w:drawing>
      </w:r>
    </w:p>
    <w:p>
      <w:r>
        <w:rPr>
          <w:rFonts w:ascii="Calibri" w:hAnsi="Calibri"/>
          <w:b/>
          <w:color w:val="2C5F8A"/>
          <w:sz w:val="26"/>
        </w:rPr>
        <w:t>SUNU ASSURANCES VIE BURKINA FASO</w:t>
      </w:r>
    </w:p>
    <w:p>
      <w:pPr>
        <w:spacing w:after="440"/>
      </w:pPr>
      <w:r>
        <w:rPr>
          <w:rFonts w:ascii="Calibri" w:hAnsi="Calibri"/>
          <w:color w:val="666666"/>
          <w:sz w:val="22"/>
        </w:rPr>
        <w:t>Solution mobile de collecte de primes sur terminaux TPE</w:t>
      </w:r>
    </w:p>
    <w:p>
      <w:pPr>
        <w:spacing w:after="40"/>
      </w:pPr>
      <w:r>
        <w:rPr>
          <w:rFonts w:ascii="Calibri" w:hAnsi="Calibri"/>
          <w:b/>
          <w:color w:val="2C5F8A"/>
          <w:sz w:val="20"/>
        </w:rPr>
        <w:t>DOCUMENT 1</w:t>
      </w:r>
    </w:p>
    <w:p>
      <w:pPr>
        <w:pBdr>
          <w:bottom w:val="single" w:sz="12" w:space="6" w:color="1B3A5C"/>
        </w:pBdr>
        <w:spacing w:after="520"/>
      </w:pPr>
      <w:r>
        <w:rPr>
          <w:rFonts w:ascii="Calibri" w:hAnsi="Calibri"/>
          <w:b/>
          <w:color w:val="1B3A5C"/>
          <w:sz w:val="52"/>
        </w:rPr>
        <w:t>Architecture technique globale et détaillée</w:t>
      </w:r>
    </w:p>
    <w:tbl>
      <w:tblPr>
        <w:tblW w:type="auto" w:w="0"/>
        <w:jc w:val="left"/>
        <w:tblLook w:firstColumn="1" w:firstRow="1" w:lastColumn="0" w:lastRow="0" w:noHBand="0" w:noVBand="1" w:val="04A0"/>
      </w:tblPr>
      <w:tblGrid>
        <w:gridCol w:w="2268"/>
        <w:gridCol w:w="6803"/>
      </w:tblGrid>
      <w:tr>
        <w:tc>
          <w:tcPr>
            <w:tcW w:type="dxa" w:w="2268"/>
          </w:tcPr>
          <w:p>
            <w:r>
              <w:rPr>
                <w:rFonts w:ascii="Calibri" w:hAnsi="Calibri"/>
                <w:b/>
                <w:color w:val="2C5F8A"/>
                <w:sz w:val="18"/>
              </w:rPr>
              <w:t>Objet</w:t>
            </w:r>
          </w:p>
        </w:tc>
        <w:tc>
          <w:tcPr>
            <w:tcW w:type="dxa" w:w="6803"/>
          </w:tcPr>
          <w:p>
            <w:r>
              <w:rPr>
                <w:rFonts w:ascii="Calibri" w:hAnsi="Calibri"/>
                <w:color w:val="333333"/>
                <w:sz w:val="18"/>
              </w:rPr>
              <w:t>Spécification d’architecture technique</w:t>
            </w:r>
          </w:p>
        </w:tc>
      </w:tr>
      <w:tr>
        <w:tc>
          <w:tcPr>
            <w:tcW w:type="dxa" w:w="2268"/>
          </w:tcPr>
          <w:p>
            <w:r>
              <w:rPr>
                <w:rFonts w:ascii="Calibri" w:hAnsi="Calibri"/>
                <w:b/>
                <w:color w:val="2C5F8A"/>
                <w:sz w:val="18"/>
              </w:rPr>
              <w:t>Version</w:t>
            </w:r>
          </w:p>
        </w:tc>
        <w:tc>
          <w:tcPr>
            <w:tcW w:type="dxa" w:w="6803"/>
          </w:tcPr>
          <w:p>
            <w:r>
              <w:rPr>
                <w:rFonts w:ascii="Calibri" w:hAnsi="Calibri"/>
                <w:color w:val="333333"/>
                <w:sz w:val="18"/>
              </w:rPr>
              <w:t>1.1 — ajout de l’état réel du pilote (§14)</w:t>
            </w:r>
          </w:p>
        </w:tc>
      </w:tr>
      <w:tr>
        <w:tc>
          <w:tcPr>
            <w:tcW w:type="dxa" w:w="2268"/>
          </w:tcPr>
          <w:p>
            <w:r>
              <w:rPr>
                <w:rFonts w:ascii="Calibri" w:hAnsi="Calibri"/>
                <w:b/>
                <w:color w:val="2C5F8A"/>
                <w:sz w:val="18"/>
              </w:rPr>
              <w:t>Date</w:t>
            </w:r>
          </w:p>
        </w:tc>
        <w:tc>
          <w:tcPr>
            <w:tcW w:type="dxa" w:w="6803"/>
          </w:tcPr>
          <w:p>
            <w:r>
              <w:rPr>
                <w:rFonts w:ascii="Calibri" w:hAnsi="Calibri"/>
                <w:color w:val="333333"/>
                <w:sz w:val="18"/>
              </w:rPr>
              <w:t>17 septembre 2026</w:t>
            </w:r>
          </w:p>
        </w:tc>
      </w:tr>
      <w:tr>
        <w:tc>
          <w:tcPr>
            <w:tcW w:type="dxa" w:w="2268"/>
          </w:tcPr>
          <w:p>
            <w:r>
              <w:rPr>
                <w:rFonts w:ascii="Calibri" w:hAnsi="Calibri"/>
                <w:b/>
                <w:color w:val="2C5F8A"/>
                <w:sz w:val="18"/>
              </w:rPr>
              <w:t>Destinataire</w:t>
            </w:r>
          </w:p>
        </w:tc>
        <w:tc>
          <w:tcPr>
            <w:tcW w:type="dxa" w:w="6803"/>
          </w:tcPr>
          <w:p>
            <w:r>
              <w:rPr>
                <w:rFonts w:ascii="Calibri" w:hAnsi="Calibri"/>
                <w:color w:val="333333"/>
                <w:sz w:val="18"/>
              </w:rPr>
              <w:t>SUNU Assurances Vie Burkina Faso — Direction Centrale des Opérations</w:t>
            </w:r>
          </w:p>
        </w:tc>
      </w:tr>
      <w:tr>
        <w:tc>
          <w:tcPr>
            <w:tcW w:type="dxa" w:w="2268"/>
          </w:tcPr>
          <w:p>
            <w:r>
              <w:rPr>
                <w:rFonts w:ascii="Calibri" w:hAnsi="Calibri"/>
                <w:b/>
                <w:color w:val="2C5F8A"/>
                <w:sz w:val="18"/>
              </w:rPr>
              <w:t>Émetteur</w:t>
            </w:r>
          </w:p>
        </w:tc>
        <w:tc>
          <w:tcPr>
            <w:tcW w:type="dxa" w:w="6803"/>
          </w:tcPr>
          <w:p>
            <w:r>
              <w:rPr>
                <w:rFonts w:ascii="Calibri" w:hAnsi="Calibri"/>
                <w:color w:val="333333"/>
                <w:sz w:val="18"/>
              </w:rPr>
              <w:t>DBS SA — Digital Business Services</w:t>
            </w:r>
          </w:p>
        </w:tc>
      </w:tr>
      <w:tr>
        <w:tc>
          <w:tcPr>
            <w:tcW w:type="dxa" w:w="2268"/>
          </w:tcPr>
          <w:p>
            <w:r>
              <w:rPr>
                <w:rFonts w:ascii="Calibri" w:hAnsi="Calibri"/>
                <w:b/>
                <w:color w:val="2C5F8A"/>
                <w:sz w:val="18"/>
              </w:rPr>
              <w:t>Classification</w:t>
            </w:r>
          </w:p>
        </w:tc>
        <w:tc>
          <w:tcPr>
            <w:tcW w:type="dxa" w:w="6803"/>
          </w:tcPr>
          <w:p>
            <w:r>
              <w:rPr>
                <w:rFonts w:ascii="Calibri" w:hAnsi="Calibri"/>
                <w:color w:val="333333"/>
                <w:sz w:val="18"/>
              </w:rPr>
              <w:t>Confidentiel — SUNU Assurances Vie et DBS SA</w:t>
            </w:r>
          </w:p>
        </w:tc>
      </w:tr>
    </w:tbl>
    <w:p>
      <w:r>
        <w:br w:type="page"/>
      </w:r>
    </w:p>
    <w:p>
      <w:pPr>
        <w:spacing w:after="80"/>
      </w:pPr>
      <w:r>
        <w:rPr>
          <w:rFonts w:ascii="Calibri" w:hAnsi="Calibri"/>
          <w:b/>
          <w:color w:val="1B3A5C"/>
          <w:sz w:val="32"/>
        </w:rPr>
        <w:t>Sommaire</w:t>
      </w:r>
    </w:p>
    <w:p>
      <w:pPr>
        <w:spacing w:before="100" w:after="30"/>
        <w:ind w:left="0"/>
      </w:pPr>
      <w:r>
        <w:fldChar w:fldCharType="begin"/>
        <w:instrText xml:space="preserve"> TOC \o "1-2" \h \z \u </w:instrText>
      </w:r>
      <w:r>
        <w:fldChar w:fldCharType="separate"/>
      </w:r>
      <w:hyperlink w:anchor="_Toc_s000" w:history="1">
        <w:r>
          <w:rPr>
            <w:rFonts w:ascii="Calibri" w:hAnsi="Calibri"/>
            <w:b/>
            <w:color w:val="1B3A5C"/>
            <w:sz w:val="21"/>
          </w:rPr>
          <w:t xml:space="preserve">1. Objet et périmètre</w:t>
        </w:r>
      </w:hyperlink>
    </w:p>
    <w:p>
      <w:pPr>
        <w:spacing w:before="0" w:after="30"/>
        <w:ind w:left="340"/>
      </w:pPr>
      <w:hyperlink w:anchor="_Toc_s001" w:history="1">
        <w:r>
          <w:rPr>
            <w:rFonts w:ascii="Calibri" w:hAnsi="Calibri"/>
            <w:color w:val="333333"/>
            <w:sz w:val="19"/>
          </w:rPr>
          <w:t xml:space="preserve">1.1 Objet</w:t>
        </w:r>
      </w:hyperlink>
    </w:p>
    <w:p>
      <w:pPr>
        <w:spacing w:before="0" w:after="30"/>
        <w:ind w:left="340"/>
      </w:pPr>
      <w:hyperlink w:anchor="_Toc_s002" w:history="1">
        <w:r>
          <w:rPr>
            <w:rFonts w:ascii="Calibri" w:hAnsi="Calibri"/>
            <w:color w:val="333333"/>
            <w:sz w:val="19"/>
          </w:rPr>
          <w:t xml:space="preserve">1.2 Périmètre</w:t>
        </w:r>
      </w:hyperlink>
    </w:p>
    <w:p>
      <w:pPr>
        <w:spacing w:before="0" w:after="30"/>
        <w:ind w:left="340"/>
      </w:pPr>
      <w:hyperlink w:anchor="_Toc_s003" w:history="1">
        <w:r>
          <w:rPr>
            <w:rFonts w:ascii="Calibri" w:hAnsi="Calibri"/>
            <w:color w:val="333333"/>
            <w:sz w:val="19"/>
          </w:rPr>
          <w:t xml:space="preserve">1.3 Public visé</w:t>
        </w:r>
      </w:hyperlink>
    </w:p>
    <w:p>
      <w:pPr>
        <w:spacing w:before="100" w:after="30"/>
        <w:ind w:left="0"/>
      </w:pPr>
      <w:hyperlink w:anchor="_Toc_s004" w:history="1">
        <w:r>
          <w:rPr>
            <w:rFonts w:ascii="Calibri" w:hAnsi="Calibri"/>
            <w:b/>
            <w:color w:val="1B3A5C"/>
            <w:sz w:val="21"/>
          </w:rPr>
          <w:t xml:space="preserve">2. Contexte métier — ce que le système doit faire</w:t>
        </w:r>
      </w:hyperlink>
    </w:p>
    <w:p>
      <w:pPr>
        <w:spacing w:before="0" w:after="30"/>
        <w:ind w:left="340"/>
      </w:pPr>
      <w:hyperlink w:anchor="_Toc_s005" w:history="1">
        <w:r>
          <w:rPr>
            <w:rFonts w:ascii="Calibri" w:hAnsi="Calibri"/>
            <w:color w:val="333333"/>
            <w:sz w:val="19"/>
          </w:rPr>
          <w:t xml:space="preserve">2.1 Pourquoi l'échéance de septembre est tenable</w:t>
        </w:r>
      </w:hyperlink>
    </w:p>
    <w:p>
      <w:pPr>
        <w:spacing w:before="100" w:after="30"/>
        <w:ind w:left="0"/>
      </w:pPr>
      <w:hyperlink w:anchor="_Toc_s006" w:history="1">
        <w:r>
          <w:rPr>
            <w:rFonts w:ascii="Calibri" w:hAnsi="Calibri"/>
            <w:b/>
            <w:color w:val="1B3A5C"/>
            <w:sz w:val="21"/>
          </w:rPr>
          <w:t xml:space="preserve">3. Architecture globale (niveau 1)</w:t>
        </w:r>
      </w:hyperlink>
    </w:p>
    <w:p>
      <w:pPr>
        <w:spacing w:before="0" w:after="30"/>
        <w:ind w:left="340"/>
      </w:pPr>
      <w:hyperlink w:anchor="_Toc_s007" w:history="1">
        <w:r>
          <w:rPr>
            <w:rFonts w:ascii="Calibri" w:hAnsi="Calibri"/>
            <w:color w:val="333333"/>
            <w:sz w:val="19"/>
          </w:rPr>
          <w:t xml:space="preserve">3.1 Vue de contexte</w:t>
        </w:r>
      </w:hyperlink>
    </w:p>
    <w:p>
      <w:pPr>
        <w:spacing w:before="0" w:after="30"/>
        <w:ind w:left="340"/>
      </w:pPr>
      <w:hyperlink w:anchor="_Toc_s008" w:history="1">
        <w:r>
          <w:rPr>
            <w:rFonts w:ascii="Calibri" w:hAnsi="Calibri"/>
            <w:color w:val="333333"/>
            <w:sz w:val="19"/>
          </w:rPr>
          <w:t xml:space="preserve">3.2 Principes architecturaux</w:t>
        </w:r>
      </w:hyperlink>
    </w:p>
    <w:p>
      <w:pPr>
        <w:spacing w:before="0" w:after="30"/>
        <w:ind w:left="340"/>
      </w:pPr>
      <w:hyperlink w:anchor="_Toc_s009" w:history="1">
        <w:r>
          <w:rPr>
            <w:rFonts w:ascii="Calibri" w:hAnsi="Calibri"/>
            <w:color w:val="333333"/>
            <w:sz w:val="19"/>
          </w:rPr>
          <w:t xml:space="preserve">3.3 Socle technologique</w:t>
        </w:r>
      </w:hyperlink>
    </w:p>
    <w:p>
      <w:pPr>
        <w:spacing w:before="100" w:after="30"/>
        <w:ind w:left="0"/>
      </w:pPr>
      <w:hyperlink w:anchor="_Toc_s010" w:history="1">
        <w:r>
          <w:rPr>
            <w:rFonts w:ascii="Calibri" w:hAnsi="Calibri"/>
            <w:b/>
            <w:color w:val="1B3A5C"/>
            <w:sz w:val="21"/>
          </w:rPr>
          <w:t xml:space="preserve">4. Architecture des composants (niveau 2) — réutiliser, étendre, construire</w:t>
        </w:r>
      </w:hyperlink>
    </w:p>
    <w:p>
      <w:pPr>
        <w:spacing w:before="0" w:after="30"/>
        <w:ind w:left="340"/>
      </w:pPr>
      <w:hyperlink w:anchor="_Toc_s011" w:history="1">
        <w:r>
          <w:rPr>
            <w:rFonts w:ascii="Calibri" w:hAnsi="Calibri"/>
            <w:color w:val="333333"/>
            <w:sz w:val="19"/>
          </w:rPr>
          <w:t xml:space="preserve">4.1 Plateforme back-office</w:t>
        </w:r>
      </w:hyperlink>
    </w:p>
    <w:p>
      <w:pPr>
        <w:spacing w:before="0" w:after="30"/>
        <w:ind w:left="340"/>
      </w:pPr>
      <w:hyperlink w:anchor="_Toc_s012" w:history="1">
        <w:r>
          <w:rPr>
            <w:rFonts w:ascii="Calibri" w:hAnsi="Calibri"/>
            <w:color w:val="333333"/>
            <w:sz w:val="19"/>
          </w:rPr>
          <w:t xml:space="preserve">4.2 Application TPE</w:t>
        </w:r>
      </w:hyperlink>
    </w:p>
    <w:p>
      <w:pPr>
        <w:spacing w:before="0" w:after="30"/>
        <w:ind w:left="340"/>
      </w:pPr>
      <w:hyperlink w:anchor="_Toc_s013" w:history="1">
        <w:r>
          <w:rPr>
            <w:rFonts w:ascii="Calibri" w:hAnsi="Calibri"/>
            <w:color w:val="333333"/>
            <w:sz w:val="19"/>
          </w:rPr>
          <w:t xml:space="preserve">4.3 Concentration de l'effort</w:t>
        </w:r>
      </w:hyperlink>
    </w:p>
    <w:p>
      <w:pPr>
        <w:spacing w:before="100" w:after="30"/>
        <w:ind w:left="0"/>
      </w:pPr>
      <w:hyperlink w:anchor="_Toc_s014" w:history="1">
        <w:r>
          <w:rPr>
            <w:rFonts w:ascii="Calibri" w:hAnsi="Calibri"/>
            <w:b/>
            <w:color w:val="1B3A5C"/>
            <w:sz w:val="21"/>
          </w:rPr>
          <w:t xml:space="preserve">5. Architecture des données</w:t>
        </w:r>
      </w:hyperlink>
    </w:p>
    <w:p>
      <w:pPr>
        <w:spacing w:before="0" w:after="30"/>
        <w:ind w:left="340"/>
      </w:pPr>
      <w:hyperlink w:anchor="_Toc_s015" w:history="1">
        <w:r>
          <w:rPr>
            <w:rFonts w:ascii="Calibri" w:hAnsi="Calibri"/>
            <w:color w:val="333333"/>
            <w:sz w:val="19"/>
          </w:rPr>
          <w:t xml:space="preserve">5.1 Entités principales</w:t>
        </w:r>
      </w:hyperlink>
    </w:p>
    <w:p>
      <w:pPr>
        <w:spacing w:before="0" w:after="30"/>
        <w:ind w:left="340"/>
      </w:pPr>
      <w:hyperlink w:anchor="_Toc_s016" w:history="1">
        <w:r>
          <w:rPr>
            <w:rFonts w:ascii="Calibri" w:hAnsi="Calibri"/>
            <w:color w:val="333333"/>
            <w:sz w:val="19"/>
          </w:rPr>
          <w:t xml:space="preserve">5.2 Principales tables nouvelles ou adaptées</w:t>
        </w:r>
      </w:hyperlink>
    </w:p>
    <w:p>
      <w:pPr>
        <w:spacing w:before="0" w:after="30"/>
        <w:ind w:left="340"/>
      </w:pPr>
      <w:hyperlink w:anchor="_Toc_s017" w:history="1">
        <w:r>
          <w:rPr>
            <w:rFonts w:ascii="Calibri" w:hAnsi="Calibri"/>
            <w:color w:val="333333"/>
            <w:sz w:val="19"/>
          </w:rPr>
          <w:t xml:space="preserve">5.3 Idempotence et génération des références</w:t>
        </w:r>
      </w:hyperlink>
    </w:p>
    <w:p>
      <w:pPr>
        <w:spacing w:before="0" w:after="30"/>
        <w:ind w:left="340"/>
      </w:pPr>
      <w:hyperlink w:anchor="_Toc_s018" w:history="1">
        <w:r>
          <w:rPr>
            <w:rFonts w:ascii="Calibri" w:hAnsi="Calibri"/>
            <w:color w:val="333333"/>
            <w:sz w:val="19"/>
          </w:rPr>
          <w:t xml:space="preserve">5.4 Conservation des données</w:t>
        </w:r>
      </w:hyperlink>
    </w:p>
    <w:p>
      <w:pPr>
        <w:spacing w:before="100" w:after="30"/>
        <w:ind w:left="0"/>
      </w:pPr>
      <w:hyperlink w:anchor="_Toc_s019" w:history="1">
        <w:r>
          <w:rPr>
            <w:rFonts w:ascii="Calibri" w:hAnsi="Calibri"/>
            <w:b/>
            <w:color w:val="1B3A5C"/>
            <w:sz w:val="21"/>
          </w:rPr>
          <w:t xml:space="preserve">6. Flux fonctionnels (niveau 3)</w:t>
        </w:r>
      </w:hyperlink>
    </w:p>
    <w:p>
      <w:pPr>
        <w:spacing w:before="0" w:after="30"/>
        <w:ind w:left="340"/>
      </w:pPr>
      <w:hyperlink w:anchor="_Toc_s020" w:history="1">
        <w:r>
          <w:rPr>
            <w:rFonts w:ascii="Calibri" w:hAnsi="Calibri"/>
            <w:color w:val="333333"/>
            <w:sz w:val="19"/>
          </w:rPr>
          <w:t xml:space="preserve">6.1 Flux A — Souscription et première prime (TdR Besoin 1)</w:t>
        </w:r>
      </w:hyperlink>
    </w:p>
    <w:p>
      <w:pPr>
        <w:spacing w:before="0" w:after="30"/>
        <w:ind w:left="340"/>
      </w:pPr>
      <w:hyperlink w:anchor="_Toc_s021" w:history="1">
        <w:r>
          <w:rPr>
            <w:rFonts w:ascii="Calibri" w:hAnsi="Calibri"/>
            <w:color w:val="333333"/>
            <w:sz w:val="19"/>
          </w:rPr>
          <w:t xml:space="preserve">6.2 Flux B — Encaissement d'une prime récurrente par carte (TdR Besoin 2)</w:t>
        </w:r>
      </w:hyperlink>
    </w:p>
    <w:p>
      <w:pPr>
        <w:spacing w:before="0" w:after="30"/>
        <w:ind w:left="340"/>
      </w:pPr>
      <w:hyperlink w:anchor="_Toc_s022" w:history="1">
        <w:r>
          <w:rPr>
            <w:rFonts w:ascii="Calibri" w:hAnsi="Calibri"/>
            <w:color w:val="333333"/>
            <w:sz w:val="19"/>
          </w:rPr>
          <w:t xml:space="preserve">6.3 Flux C — Plafond du collecteur et versement (TdR Besoin 2)</w:t>
        </w:r>
      </w:hyperlink>
    </w:p>
    <w:p>
      <w:pPr>
        <w:spacing w:before="0" w:after="30"/>
        <w:ind w:left="340"/>
      </w:pPr>
      <w:hyperlink w:anchor="_Toc_s023" w:history="1">
        <w:r>
          <w:rPr>
            <w:rFonts w:ascii="Calibri" w:hAnsi="Calibri"/>
            <w:color w:val="333333"/>
            <w:sz w:val="19"/>
          </w:rPr>
          <w:t xml:space="preserve">6.4 Flux D — Émission de carte (TdR Besoins 1 et 3)</w:t>
        </w:r>
      </w:hyperlink>
    </w:p>
    <w:p>
      <w:pPr>
        <w:spacing w:before="0" w:after="30"/>
        <w:ind w:left="340"/>
      </w:pPr>
      <w:hyperlink w:anchor="_Toc_s024" w:history="1">
        <w:r>
          <w:rPr>
            <w:rFonts w:ascii="Calibri" w:hAnsi="Calibri"/>
            <w:color w:val="333333"/>
            <w:sz w:val="19"/>
          </w:rPr>
          <w:t xml:space="preserve">6.5 Flux E — Synchronisation SUNULIFE</w:t>
        </w:r>
      </w:hyperlink>
    </w:p>
    <w:p>
      <w:pPr>
        <w:spacing w:before="100" w:after="30"/>
        <w:ind w:left="0"/>
      </w:pPr>
      <w:hyperlink w:anchor="_Toc_s025" w:history="1">
        <w:r>
          <w:rPr>
            <w:rFonts w:ascii="Calibri" w:hAnsi="Calibri"/>
            <w:b/>
            <w:color w:val="1B3A5C"/>
            <w:sz w:val="21"/>
          </w:rPr>
          <w:t xml:space="preserve">7. Architecture des cartes (physique et virtuelle)</w:t>
        </w:r>
      </w:hyperlink>
    </w:p>
    <w:p>
      <w:pPr>
        <w:spacing w:before="0" w:after="30"/>
        <w:ind w:left="340"/>
      </w:pPr>
      <w:hyperlink w:anchor="_Toc_s026" w:history="1">
        <w:r>
          <w:rPr>
            <w:rFonts w:ascii="Calibri" w:hAnsi="Calibri"/>
            <w:color w:val="333333"/>
            <w:sz w:val="19"/>
          </w:rPr>
          <w:t xml:space="preserve">7.1 Carte physique</w:t>
        </w:r>
      </w:hyperlink>
    </w:p>
    <w:p>
      <w:pPr>
        <w:spacing w:before="0" w:after="30"/>
        <w:ind w:left="340"/>
      </w:pPr>
      <w:hyperlink w:anchor="_Toc_s027" w:history="1">
        <w:r>
          <w:rPr>
            <w:rFonts w:ascii="Calibri" w:hAnsi="Calibri"/>
            <w:color w:val="333333"/>
            <w:sz w:val="19"/>
          </w:rPr>
          <w:t xml:space="preserve">7.2 Choix de la technologie de carte (point ouvert OP-3)</w:t>
        </w:r>
      </w:hyperlink>
    </w:p>
    <w:p>
      <w:pPr>
        <w:spacing w:before="0" w:after="30"/>
        <w:ind w:left="340"/>
      </w:pPr>
      <w:hyperlink w:anchor="_Toc_s028" w:history="1">
        <w:r>
          <w:rPr>
            <w:rFonts w:ascii="Calibri" w:hAnsi="Calibri"/>
            <w:color w:val="333333"/>
            <w:sz w:val="19"/>
          </w:rPr>
          <w:t xml:space="preserve">7.3 Carte virtuelle — QR Code (courriel §4)</w:t>
        </w:r>
      </w:hyperlink>
    </w:p>
    <w:p>
      <w:pPr>
        <w:spacing w:before="100" w:after="30"/>
        <w:ind w:left="0"/>
      </w:pPr>
      <w:hyperlink w:anchor="_Toc_s029" w:history="1">
        <w:r>
          <w:rPr>
            <w:rFonts w:ascii="Calibri" w:hAnsi="Calibri"/>
            <w:b/>
            <w:color w:val="1B3A5C"/>
            <w:sz w:val="21"/>
          </w:rPr>
          <w:t xml:space="preserve">8. Architecture d'intégration SUNULIFE (courriel §1 — exigence prioritaire)</w:t>
        </w:r>
      </w:hyperlink>
    </w:p>
    <w:p>
      <w:pPr>
        <w:spacing w:before="0" w:after="30"/>
        <w:ind w:left="340"/>
      </w:pPr>
      <w:hyperlink w:anchor="_Toc_s030" w:history="1">
        <w:r>
          <w:rPr>
            <w:rFonts w:ascii="Calibri" w:hAnsi="Calibri"/>
            <w:color w:val="333333"/>
            <w:sz w:val="19"/>
          </w:rPr>
          <w:t xml:space="preserve">8.1 Principes d'intégration</w:t>
        </w:r>
      </w:hyperlink>
    </w:p>
    <w:p>
      <w:pPr>
        <w:spacing w:before="0" w:after="30"/>
        <w:ind w:left="340"/>
      </w:pPr>
      <w:hyperlink w:anchor="_Toc_s031" w:history="1">
        <w:r>
          <w:rPr>
            <w:rFonts w:ascii="Calibri" w:hAnsi="Calibri"/>
            <w:color w:val="333333"/>
            <w:sz w:val="19"/>
          </w:rPr>
          <w:t xml:space="preserve">8.2 Surface d'intégration — ce dont nous avons besoin de SUNULIFE</w:t>
        </w:r>
      </w:hyperlink>
    </w:p>
    <w:p>
      <w:pPr>
        <w:spacing w:before="0" w:after="30"/>
        <w:ind w:left="340"/>
      </w:pPr>
      <w:hyperlink w:anchor="_Toc_s032" w:history="1">
        <w:r>
          <w:rPr>
            <w:rFonts w:ascii="Calibri" w:hAnsi="Calibri"/>
            <w:color w:val="333333"/>
            <w:sz w:val="19"/>
          </w:rPr>
          <w:t xml:space="preserve">8.3 Modèle de synchronisation</w:t>
        </w:r>
      </w:hyperlink>
    </w:p>
    <w:p>
      <w:pPr>
        <w:spacing w:before="0" w:after="30"/>
        <w:ind w:left="340"/>
      </w:pPr>
      <w:hyperlink w:anchor="_Toc_s033" w:history="1">
        <w:r>
          <w:rPr>
            <w:rFonts w:ascii="Calibri" w:hAnsi="Calibri"/>
            <w:color w:val="333333"/>
            <w:sz w:val="19"/>
          </w:rPr>
          <w:t xml:space="preserve">8.4 Phasage (le chemin pragmatique vers l'échéance de septembre)</w:t>
        </w:r>
      </w:hyperlink>
    </w:p>
    <w:p>
      <w:pPr>
        <w:spacing w:before="0" w:after="30"/>
        <w:ind w:left="340"/>
      </w:pPr>
      <w:hyperlink w:anchor="_Toc_s034" w:history="1">
        <w:r>
          <w:rPr>
            <w:rFonts w:ascii="Calibri" w:hAnsi="Calibri"/>
            <w:color w:val="333333"/>
            <w:sz w:val="19"/>
          </w:rPr>
          <w:t xml:space="preserve">8.5 Informations requises de SUNU / de l'éditeur de SUNULIFE</w:t>
        </w:r>
      </w:hyperlink>
    </w:p>
    <w:p>
      <w:pPr>
        <w:spacing w:before="100" w:after="30"/>
        <w:ind w:left="0"/>
      </w:pPr>
      <w:hyperlink w:anchor="_Toc_s035" w:history="1">
        <w:r>
          <w:rPr>
            <w:rFonts w:ascii="Calibri" w:hAnsi="Calibri"/>
            <w:b/>
            <w:color w:val="1B3A5C"/>
            <w:sz w:val="21"/>
          </w:rPr>
          <w:t xml:space="preserve">9. Architecture Mobile Money (courriel §4)</w:t>
        </w:r>
      </w:hyperlink>
    </w:p>
    <w:p>
      <w:pPr>
        <w:spacing w:before="0" w:after="30"/>
        <w:ind w:left="340"/>
      </w:pPr>
      <w:hyperlink w:anchor="_Toc_s036" w:history="1">
        <w:r>
          <w:rPr>
            <w:rFonts w:ascii="Calibri" w:hAnsi="Calibri"/>
            <w:color w:val="333333"/>
            <w:sz w:val="19"/>
          </w:rPr>
          <w:t xml:space="preserve">9.1 Conception indépendante de l'opérateur</w:t>
        </w:r>
      </w:hyperlink>
    </w:p>
    <w:p>
      <w:pPr>
        <w:spacing w:before="0" w:after="30"/>
        <w:ind w:left="340"/>
      </w:pPr>
      <w:hyperlink w:anchor="_Toc_s037" w:history="1">
        <w:r>
          <w:rPr>
            <w:rFonts w:ascii="Calibri" w:hAnsi="Calibri"/>
            <w:color w:val="333333"/>
            <w:sz w:val="19"/>
          </w:rPr>
          <w:t xml:space="preserve">9.2 Flux d'encaissement</w:t>
        </w:r>
      </w:hyperlink>
    </w:p>
    <w:p>
      <w:pPr>
        <w:spacing w:before="0" w:after="30"/>
        <w:ind w:left="340"/>
      </w:pPr>
      <w:hyperlink w:anchor="_Toc_s038" w:history="1">
        <w:r>
          <w:rPr>
            <w:rFonts w:ascii="Calibri" w:hAnsi="Calibri"/>
            <w:color w:val="333333"/>
            <w:sz w:val="19"/>
          </w:rPr>
          <w:t xml:space="preserve">9.3 Direct ou agrégateur</w:t>
        </w:r>
      </w:hyperlink>
    </w:p>
    <w:p>
      <w:pPr>
        <w:spacing w:before="0" w:after="30"/>
        <w:ind w:left="340"/>
      </w:pPr>
      <w:hyperlink w:anchor="_Toc_s039" w:history="1">
        <w:r>
          <w:rPr>
            <w:rFonts w:ascii="Calibri" w:hAnsi="Calibri"/>
            <w:color w:val="333333"/>
            <w:sz w:val="19"/>
          </w:rPr>
          <w:t xml:space="preserve">9.4 Rapprochement</w:t>
        </w:r>
      </w:hyperlink>
    </w:p>
    <w:p>
      <w:pPr>
        <w:spacing w:before="100" w:after="30"/>
        <w:ind w:left="0"/>
      </w:pPr>
      <w:hyperlink w:anchor="_Toc_s040" w:history="1">
        <w:r>
          <w:rPr>
            <w:rFonts w:ascii="Calibri" w:hAnsi="Calibri"/>
            <w:b/>
            <w:color w:val="1B3A5C"/>
            <w:sz w:val="21"/>
          </w:rPr>
          <w:t xml:space="preserve">10. Architecture de déploiement et d'infrastructure</w:t>
        </w:r>
      </w:hyperlink>
    </w:p>
    <w:p>
      <w:pPr>
        <w:spacing w:before="0" w:after="30"/>
        <w:ind w:left="340"/>
      </w:pPr>
      <w:hyperlink w:anchor="_Toc_s041" w:history="1">
        <w:r>
          <w:rPr>
            <w:rFonts w:ascii="Calibri" w:hAnsi="Calibri"/>
            <w:color w:val="333333"/>
            <w:sz w:val="19"/>
          </w:rPr>
          <w:t xml:space="preserve">10.1 Environnements</w:t>
        </w:r>
      </w:hyperlink>
    </w:p>
    <w:p>
      <w:pPr>
        <w:spacing w:before="0" w:after="30"/>
        <w:ind w:left="340"/>
      </w:pPr>
      <w:hyperlink w:anchor="_Toc_s042" w:history="1">
        <w:r>
          <w:rPr>
            <w:rFonts w:ascii="Calibri" w:hAnsi="Calibri"/>
            <w:color w:val="333333"/>
            <w:sz w:val="19"/>
          </w:rPr>
          <w:t xml:space="preserve">10.2 Topologie de production</w:t>
        </w:r>
      </w:hyperlink>
    </w:p>
    <w:p>
      <w:pPr>
        <w:spacing w:before="0" w:after="30"/>
        <w:ind w:left="340"/>
      </w:pPr>
      <w:hyperlink w:anchor="_Toc_s043" w:history="1">
        <w:r>
          <w:rPr>
            <w:rFonts w:ascii="Calibri" w:hAnsi="Calibri"/>
            <w:color w:val="333333"/>
            <w:sz w:val="19"/>
          </w:rPr>
          <w:t xml:space="preserve">10.3 Dimensionnement pour le pilote et la première année</w:t>
        </w:r>
      </w:hyperlink>
    </w:p>
    <w:p>
      <w:pPr>
        <w:spacing w:before="0" w:after="30"/>
        <w:ind w:left="340"/>
      </w:pPr>
      <w:hyperlink w:anchor="_Toc_s044" w:history="1">
        <w:r>
          <w:rPr>
            <w:rFonts w:ascii="Calibri" w:hAnsi="Calibri"/>
            <w:color w:val="333333"/>
            <w:sz w:val="19"/>
          </w:rPr>
          <w:t xml:space="preserve">10.4 Lieu d'hébergement (point ouvert OP-5)</w:t>
        </w:r>
      </w:hyperlink>
    </w:p>
    <w:p>
      <w:pPr>
        <w:spacing w:before="0" w:after="30"/>
        <w:ind w:left="340"/>
      </w:pPr>
      <w:hyperlink w:anchor="_Toc_s045" w:history="1">
        <w:r>
          <w:rPr>
            <w:rFonts w:ascii="Calibri" w:hAnsi="Calibri"/>
            <w:color w:val="333333"/>
            <w:sz w:val="19"/>
          </w:rPr>
          <w:t xml:space="preserve">10.5 Disponibilité, sauvegarde et continuité</w:t>
        </w:r>
      </w:hyperlink>
    </w:p>
    <w:p>
      <w:pPr>
        <w:spacing w:before="100" w:after="30"/>
        <w:ind w:left="0"/>
      </w:pPr>
      <w:hyperlink w:anchor="_Toc_s046" w:history="1">
        <w:r>
          <w:rPr>
            <w:rFonts w:ascii="Calibri" w:hAnsi="Calibri"/>
            <w:b/>
            <w:color w:val="1B3A5C"/>
            <w:sz w:val="21"/>
          </w:rPr>
          <w:t xml:space="preserve">11. Exigences non fonctionnelles</w:t>
        </w:r>
      </w:hyperlink>
    </w:p>
    <w:p>
      <w:pPr>
        <w:spacing w:before="100" w:after="30"/>
        <w:ind w:left="0"/>
      </w:pPr>
      <w:hyperlink w:anchor="_Toc_s047" w:history="1">
        <w:r>
          <w:rPr>
            <w:rFonts w:ascii="Calibri" w:hAnsi="Calibri"/>
            <w:b/>
            <w:color w:val="1B3A5C"/>
            <w:sz w:val="21"/>
          </w:rPr>
          <w:t xml:space="preserve">12. Hypothèses, points ouverts et décisions attendues</w:t>
        </w:r>
      </w:hyperlink>
    </w:p>
    <w:p>
      <w:pPr>
        <w:spacing w:before="0" w:after="30"/>
        <w:ind w:left="340"/>
      </w:pPr>
      <w:hyperlink w:anchor="_Toc_s048" w:history="1">
        <w:r>
          <w:rPr>
            <w:rFonts w:ascii="Calibri" w:hAnsi="Calibri"/>
            <w:color w:val="333333"/>
            <w:sz w:val="19"/>
          </w:rPr>
          <w:t xml:space="preserve">12.1 Hypothèses</w:t>
        </w:r>
      </w:hyperlink>
    </w:p>
    <w:p>
      <w:pPr>
        <w:spacing w:before="0" w:after="30"/>
        <w:ind w:left="340"/>
      </w:pPr>
      <w:hyperlink w:anchor="_Toc_s049" w:history="1">
        <w:r>
          <w:rPr>
            <w:rFonts w:ascii="Calibri" w:hAnsi="Calibri"/>
            <w:color w:val="333333"/>
            <w:sz w:val="19"/>
          </w:rPr>
          <w:t xml:space="preserve">12.2 Points ouverts appelant une décision de SUNU</w:t>
        </w:r>
      </w:hyperlink>
    </w:p>
    <w:p>
      <w:pPr>
        <w:spacing w:before="100" w:after="30"/>
        <w:ind w:left="0"/>
      </w:pPr>
      <w:hyperlink w:anchor="_Toc_s050" w:history="1">
        <w:r>
          <w:rPr>
            <w:rFonts w:ascii="Calibri" w:hAnsi="Calibri"/>
            <w:b/>
            <w:color w:val="1B3A5C"/>
            <w:sz w:val="21"/>
          </w:rPr>
          <w:t xml:space="preserve">13. Traçabilité — des exigences à l'architecture</w:t>
        </w:r>
      </w:hyperlink>
    </w:p>
    <w:p>
      <w:pPr>
        <w:spacing w:before="100" w:after="30"/>
        <w:ind w:left="0"/>
      </w:pPr>
      <w:hyperlink w:anchor="_Toc_s051" w:history="1">
        <w:r>
          <w:rPr>
            <w:rFonts w:ascii="Calibri" w:hAnsi="Calibri"/>
            <w:b/>
            <w:color w:val="1B3A5C"/>
            <w:sz w:val="21"/>
          </w:rPr>
          <w:t xml:space="preserve">14. Mise en œuvre du pilote — état réel (17 septembre 2026)</w:t>
        </w:r>
      </w:hyperlink>
    </w:p>
    <w:p>
      <w:pPr>
        <w:spacing w:before="0" w:after="30"/>
        <w:ind w:left="340"/>
      </w:pPr>
      <w:hyperlink w:anchor="_Toc_s052" w:history="1">
        <w:r>
          <w:rPr>
            <w:rFonts w:ascii="Calibri" w:hAnsi="Calibri"/>
            <w:color w:val="333333"/>
            <w:sz w:val="19"/>
          </w:rPr>
          <w:t xml:space="preserve">14.1 Déploiement du pilote</w:t>
        </w:r>
      </w:hyperlink>
    </w:p>
    <w:p>
      <w:pPr>
        <w:spacing w:before="0" w:after="30"/>
        <w:ind w:left="340"/>
      </w:pPr>
      <w:hyperlink w:anchor="_Toc_s053" w:history="1">
        <w:r>
          <w:rPr>
            <w:rFonts w:ascii="Calibri" w:hAnsi="Calibri"/>
            <w:color w:val="333333"/>
            <w:sz w:val="19"/>
          </w:rPr>
          <w:t xml:space="preserve">14.2 Périmètre livré et périmètre prévu</w:t>
        </w:r>
      </w:hyperlink>
    </w:p>
    <w:p>
      <w:pPr>
        <w:spacing w:before="0" w:after="30"/>
        <w:ind w:left="340"/>
      </w:pPr>
      <w:hyperlink w:anchor="_Toc_s054" w:history="1">
        <w:r>
          <w:rPr>
            <w:rFonts w:ascii="Calibri" w:hAnsi="Calibri"/>
            <w:color w:val="333333"/>
            <w:sz w:val="19"/>
          </w:rPr>
          <w:t xml:space="preserve">14.3 API terminaux du pilote</w:t>
        </w:r>
      </w:hyperlink>
    </w:p>
    <w:p>
      <w:pPr>
        <w:spacing w:before="0" w:after="30"/>
        <w:ind w:left="340"/>
      </w:pPr>
      <w:hyperlink w:anchor="_Toc_s055" w:history="1">
        <w:r>
          <w:rPr>
            <w:rFonts w:ascii="Calibri" w:hAnsi="Calibri"/>
            <w:color w:val="333333"/>
            <w:sz w:val="19"/>
          </w:rPr>
          <w:t xml:space="preserve">14.4 Flux de souscription tel que réalisé</w:t>
        </w:r>
      </w:hyperlink>
    </w:p>
    <w:p>
      <w:pPr>
        <w:spacing w:before="0" w:after="30"/>
        <w:ind w:left="340"/>
      </w:pPr>
      <w:hyperlink w:anchor="_Toc_s056" w:history="1">
        <w:r>
          <w:rPr>
            <w:rFonts w:ascii="Calibri" w:hAnsi="Calibri"/>
            <w:color w:val="333333"/>
            <w:sz w:val="19"/>
          </w:rPr>
          <w:t xml:space="preserve">14.5 Formats d'échange de données</w:t>
        </w:r>
      </w:hyperlink>
    </w:p>
    <w:p>
      <w:pPr>
        <w:spacing w:before="0" w:after="30"/>
        <w:ind w:left="340"/>
      </w:pPr>
      <w:hyperlink w:anchor="_Toc_s057" w:history="1">
        <w:r>
          <w:rPr>
            <w:rFonts w:ascii="Calibri" w:hAnsi="Calibri"/>
            <w:color w:val="333333"/>
            <w:sz w:val="19"/>
          </w:rPr>
          <w:t xml:space="preserve">14.6 Enseignements du pilote et actions avant production</w:t>
        </w:r>
      </w:hyperlink>
      <w:r>
        <w:fldChar w:fldCharType="end"/>
      </w:r>
    </w:p>
    <w:p>
      <w:r>
        <w:br w:type="page"/>
      </w:r>
    </w:p>
    <w:p>
      <w:pPr>
        <w:pStyle w:val="Heading1"/>
        <w:spacing w:before="360" w:after="80"/>
        <w:keepNext/>
        <w:pBdr>
          <w:bottom w:val="single" w:sz="8" w:space="6" w:color="1B3A5C"/>
        </w:pBdr>
      </w:pPr>
      <w:bookmarkStart w:id="101" w:name="_Toc_s000"/>
      <w:r>
        <w:rPr>
          <w:rFonts w:ascii="Calibri" w:hAnsi="Calibri"/>
          <w:b/>
          <w:color w:val="1B3A5C"/>
          <w:sz w:val="30"/>
        </w:rPr>
        <w:t>1. Objet et périmètre</w:t>
      </w:r>
      <w:bookmarkEnd w:id="101"/>
    </w:p>
    <w:p>
      <w:pPr>
        <w:pStyle w:val="Heading2"/>
        <w:spacing w:before="280" w:after="80"/>
        <w:keepNext/>
      </w:pPr>
      <w:bookmarkStart w:id="102" w:name="_Toc_s001"/>
      <w:r>
        <w:rPr>
          <w:rFonts w:ascii="Calibri" w:hAnsi="Calibri"/>
          <w:b/>
          <w:color w:val="1B3A5C"/>
          <w:sz w:val="24"/>
        </w:rPr>
        <w:t>1.1 Objet</w:t>
      </w:r>
      <w:bookmarkEnd w:id="102"/>
    </w:p>
    <w:p>
      <w:r>
        <w:rPr>
          <w:rFonts w:ascii="Calibri" w:hAnsi="Calibri"/>
          <w:b w:val="0"/>
          <w:i w:val="0"/>
          <w:color w:val="333333"/>
          <w:sz w:val="20"/>
        </w:rPr>
        <w:t>Le présent document décrit l'architecture technique globale et détaillée de la solution mobile de collecte de primes destinée à SUNU Assurances Vie Burkina Faso. Il constitue l'architecture de référence sur laquelle la solution est construite, testée, auditée sur le plan de la sécurité et réceptionnée.</w:t>
      </w:r>
    </w:p>
    <w:p>
      <w:r>
        <w:rPr>
          <w:rFonts w:ascii="Calibri" w:hAnsi="Calibri"/>
          <w:b w:val="0"/>
          <w:i w:val="0"/>
          <w:color w:val="333333"/>
          <w:sz w:val="20"/>
        </w:rPr>
        <w:t>Il répond au point 2 du courriel d'exigences de SUNU (« un document présentant l'architecture technique globale et détaillée de la solution ») et au point 1 (« intégration avec SUNULIFE et récupération des données existantes »), traité ici comme une préoccupation architecturale de premier rang et non comme un ajout ultérieur.</w:t>
      </w:r>
    </w:p>
    <w:p>
      <w:r>
        <w:rPr>
          <w:rFonts w:ascii="Calibri" w:hAnsi="Calibri"/>
          <w:b w:val="0"/>
          <w:i w:val="0"/>
          <w:color w:val="333333"/>
          <w:sz w:val="20"/>
        </w:rPr>
        <w:t>La version 1.1 ajoute la section 14, qui décrit ce que le pilote en service depuis septembre 2026 met réellement en œuvre. Les sections 1 à 13 restent l'architecture cible. Les formats de fichiers et de données pour l'import des clients existants sont décrits dans le Document 5.</w:t>
      </w:r>
    </w:p>
    <w:p>
      <w:pPr>
        <w:pStyle w:val="Heading2"/>
        <w:spacing w:before="280" w:after="80"/>
        <w:keepNext/>
      </w:pPr>
      <w:bookmarkStart w:id="103" w:name="_Toc_s002"/>
      <w:r>
        <w:rPr>
          <w:rFonts w:ascii="Calibri" w:hAnsi="Calibri"/>
          <w:b/>
          <w:color w:val="1B3A5C"/>
          <w:sz w:val="24"/>
        </w:rPr>
        <w:t>1.2 Périmètre</w:t>
      </w:r>
      <w:bookmarkEnd w:id="103"/>
    </w:p>
    <w:p>
      <w:r>
        <w:rPr>
          <w:rFonts w:ascii="Calibri" w:hAnsi="Calibri"/>
          <w:b/>
          <w:i w:val="0"/>
          <w:color w:val="333333"/>
          <w:sz w:val="20"/>
        </w:rPr>
        <w:t>Dans le périmètre</w:t>
      </w:r>
    </w:p>
    <w:p>
      <w:pPr>
        <w:spacing w:after="40"/>
        <w:ind w:left="312" w:hanging="198"/>
      </w:pPr>
      <w:r>
        <w:rPr>
          <w:rFonts w:ascii="Calibri" w:hAnsi="Calibri"/>
          <w:b w:val="0"/>
          <w:color w:val="2C5F8A"/>
          <w:sz w:val="20"/>
        </w:rPr>
        <w:t xml:space="preserve">•  </w:t>
      </w:r>
      <w:r>
        <w:rPr>
          <w:rFonts w:ascii="Calibri" w:hAnsi="Calibri"/>
          <w:b w:val="0"/>
          <w:i w:val="0"/>
          <w:color w:val="333333"/>
          <w:sz w:val="20"/>
        </w:rPr>
        <w:t>L'application TPE Android exécutée sur les terminaux de terrain (saisie de souscription, encaissement de primes, impression de reçus, lecture/écriture de carte, lecture de QR, initiation Mobile Money).</w:t>
      </w:r>
    </w:p>
    <w:p>
      <w:pPr>
        <w:spacing w:after="40"/>
        <w:ind w:left="312" w:hanging="198"/>
      </w:pPr>
      <w:r>
        <w:rPr>
          <w:rFonts w:ascii="Calibri" w:hAnsi="Calibri"/>
          <w:b w:val="0"/>
          <w:color w:val="2C5F8A"/>
          <w:sz w:val="20"/>
        </w:rPr>
        <w:t xml:space="preserve">•  </w:t>
      </w:r>
      <w:r>
        <w:rPr>
          <w:rFonts w:ascii="Calibri" w:hAnsi="Calibri"/>
          <w:b w:val="0"/>
          <w:i w:val="0"/>
          <w:color w:val="333333"/>
          <w:sz w:val="20"/>
        </w:rPr>
        <w:t>La plateforme back-office web (gestion des utilisateurs et des profils, gestion des assurés et des polices, suivi des encaissements, plafonds et versements des collecteurs, restitutions et export Excel).</w:t>
      </w:r>
    </w:p>
    <w:p>
      <w:pPr>
        <w:spacing w:after="40"/>
        <w:ind w:left="312" w:hanging="198"/>
      </w:pPr>
      <w:r>
        <w:rPr>
          <w:rFonts w:ascii="Calibri" w:hAnsi="Calibri"/>
          <w:b w:val="0"/>
          <w:color w:val="2C5F8A"/>
          <w:sz w:val="20"/>
        </w:rPr>
        <w:t xml:space="preserve">•  </w:t>
      </w:r>
      <w:r>
        <w:rPr>
          <w:rFonts w:ascii="Calibri" w:hAnsi="Calibri"/>
          <w:b w:val="0"/>
          <w:i w:val="0"/>
          <w:color w:val="333333"/>
          <w:sz w:val="20"/>
        </w:rPr>
        <w:t>La chaîne d'émission et de personnalisation des cartes (carte physique et carte virtuelle QR).</w:t>
      </w:r>
    </w:p>
    <w:p>
      <w:pPr>
        <w:spacing w:after="40"/>
        <w:ind w:left="312" w:hanging="198"/>
      </w:pPr>
      <w:r>
        <w:rPr>
          <w:rFonts w:ascii="Calibri" w:hAnsi="Calibri"/>
          <w:b w:val="0"/>
          <w:color w:val="2C5F8A"/>
          <w:sz w:val="20"/>
        </w:rPr>
        <w:t xml:space="preserve">•  </w:t>
      </w:r>
      <w:r>
        <w:rPr>
          <w:rFonts w:ascii="Calibri" w:hAnsi="Calibri"/>
          <w:b w:val="0"/>
          <w:i w:val="0"/>
          <w:color w:val="333333"/>
          <w:sz w:val="20"/>
        </w:rPr>
        <w:t>La couche d'intégration vers SUNULIFE, les opérateurs Mobile Money et le SMS.</w:t>
      </w:r>
    </w:p>
    <w:p>
      <w:pPr>
        <w:spacing w:after="40"/>
        <w:ind w:left="312" w:hanging="198"/>
      </w:pPr>
      <w:r>
        <w:rPr>
          <w:rFonts w:ascii="Calibri" w:hAnsi="Calibri"/>
          <w:b w:val="0"/>
          <w:color w:val="2C5F8A"/>
          <w:sz w:val="20"/>
        </w:rPr>
        <w:t xml:space="preserve">•  </w:t>
      </w:r>
      <w:r>
        <w:rPr>
          <w:rFonts w:ascii="Calibri" w:hAnsi="Calibri"/>
          <w:b w:val="0"/>
          <w:i w:val="0"/>
          <w:color w:val="333333"/>
          <w:sz w:val="20"/>
        </w:rPr>
        <w:t>L'hébergement, le réseau et la topologie de déploiement.</w:t>
      </w:r>
    </w:p>
    <w:p>
      <w:r>
        <w:rPr>
          <w:rFonts w:ascii="Calibri" w:hAnsi="Calibri"/>
          <w:b/>
          <w:i w:val="0"/>
          <w:color w:val="333333"/>
          <w:sz w:val="20"/>
        </w:rPr>
        <w:t>Hors périmètre du présent document</w:t>
      </w:r>
      <w:r>
        <w:rPr>
          <w:rFonts w:ascii="Calibri" w:hAnsi="Calibri"/>
          <w:b w:val="0"/>
          <w:i w:val="0"/>
          <w:color w:val="333333"/>
          <w:sz w:val="20"/>
        </w:rPr>
        <w:t xml:space="preserve"> (traité ailleurs)</w:t>
      </w:r>
    </w:p>
    <w:p>
      <w:pPr>
        <w:spacing w:after="40"/>
        <w:ind w:left="312" w:hanging="198"/>
      </w:pPr>
      <w:r>
        <w:rPr>
          <w:rFonts w:ascii="Calibri" w:hAnsi="Calibri"/>
          <w:b w:val="0"/>
          <w:color w:val="2C5F8A"/>
          <w:sz w:val="20"/>
        </w:rPr>
        <w:t xml:space="preserve">•  </w:t>
      </w:r>
      <w:r>
        <w:rPr>
          <w:rFonts w:ascii="Calibri" w:hAnsi="Calibri"/>
          <w:b w:val="0"/>
          <w:i w:val="0"/>
          <w:color w:val="333333"/>
          <w:sz w:val="20"/>
        </w:rPr>
        <w:t>Les contrôles et procédures de sécurité — Document 2.</w:t>
      </w:r>
    </w:p>
    <w:p>
      <w:pPr>
        <w:spacing w:after="40"/>
        <w:ind w:left="312" w:hanging="198"/>
      </w:pPr>
      <w:r>
        <w:rPr>
          <w:rFonts w:ascii="Calibri" w:hAnsi="Calibri"/>
          <w:b w:val="0"/>
          <w:color w:val="2C5F8A"/>
          <w:sz w:val="20"/>
        </w:rPr>
        <w:t xml:space="preserve">•  </w:t>
      </w:r>
      <w:r>
        <w:rPr>
          <w:rFonts w:ascii="Calibri" w:hAnsi="Calibri"/>
          <w:b w:val="0"/>
          <w:i w:val="0"/>
          <w:color w:val="333333"/>
          <w:sz w:val="20"/>
        </w:rPr>
        <w:t>Les procédures d'exploitation pour les utilisateurs finaux — Document 3.</w:t>
      </w:r>
    </w:p>
    <w:p>
      <w:pPr>
        <w:spacing w:after="40"/>
        <w:ind w:left="312" w:hanging="198"/>
      </w:pPr>
      <w:r>
        <w:rPr>
          <w:rFonts w:ascii="Calibri" w:hAnsi="Calibri"/>
          <w:b w:val="0"/>
          <w:color w:val="2C5F8A"/>
          <w:sz w:val="20"/>
        </w:rPr>
        <w:t xml:space="preserve">•  </w:t>
      </w:r>
      <w:r>
        <w:rPr>
          <w:rFonts w:ascii="Calibri" w:hAnsi="Calibri"/>
          <w:b w:val="0"/>
          <w:i w:val="0"/>
          <w:color w:val="333333"/>
          <w:sz w:val="20"/>
        </w:rPr>
        <w:t>La planification, les jalons et les responsabilités — Document 4.</w:t>
      </w:r>
    </w:p>
    <w:p>
      <w:pPr>
        <w:spacing w:after="40"/>
        <w:ind w:left="312" w:hanging="198"/>
      </w:pPr>
      <w:r>
        <w:rPr>
          <w:rFonts w:ascii="Calibri" w:hAnsi="Calibri"/>
          <w:b w:val="0"/>
          <w:color w:val="2C5F8A"/>
          <w:sz w:val="20"/>
        </w:rPr>
        <w:t xml:space="preserve">•  </w:t>
      </w:r>
      <w:r>
        <w:rPr>
          <w:rFonts w:ascii="Calibri" w:hAnsi="Calibri"/>
          <w:b w:val="0"/>
          <w:i w:val="0"/>
          <w:color w:val="333333"/>
          <w:sz w:val="20"/>
        </w:rPr>
        <w:t>Les conditions commerciales, la fourniture matérielle des terminaux, des cartes et de la station de personnalisation — couvertes par l'offre commerciale.</w:t>
      </w:r>
    </w:p>
    <w:p>
      <w:pPr>
        <w:pStyle w:val="Heading2"/>
        <w:spacing w:before="280" w:after="80"/>
        <w:keepNext/>
      </w:pPr>
      <w:bookmarkStart w:id="104" w:name="_Toc_s003"/>
      <w:r>
        <w:rPr>
          <w:rFonts w:ascii="Calibri" w:hAnsi="Calibri"/>
          <w:b/>
          <w:color w:val="1B3A5C"/>
          <w:sz w:val="24"/>
        </w:rPr>
        <w:t>1.3 Public visé</w:t>
      </w:r>
      <w:bookmarkEnd w:id="104"/>
    </w:p>
    <w:p>
      <w:r>
        <w:rPr>
          <w:rFonts w:ascii="Calibri" w:hAnsi="Calibri"/>
          <w:b w:val="0"/>
          <w:i w:val="0"/>
          <w:color w:val="333333"/>
          <w:sz w:val="20"/>
        </w:rPr>
        <w:t>La DSI et les Opérations de SUNU, la Direction Générale de SUNU (sections 2 et 3), l'éditeur ou l'équipe de maintenance de SUNULIFE (section 8), et l'équipe de réalisation.</w:t>
      </w:r>
    </w:p>
    <w:p>
      <w:pPr>
        <w:pStyle w:val="Heading1"/>
        <w:pageBreakBefore/>
        <w:spacing w:before="360" w:after="80"/>
        <w:keepNext/>
        <w:pBdr>
          <w:bottom w:val="single" w:sz="8" w:space="6" w:color="1B3A5C"/>
        </w:pBdr>
      </w:pPr>
      <w:bookmarkStart w:id="105" w:name="_Toc_s004"/>
      <w:r>
        <w:rPr>
          <w:rFonts w:ascii="Calibri" w:hAnsi="Calibri"/>
          <w:b/>
          <w:color w:val="1B3A5C"/>
          <w:sz w:val="30"/>
        </w:rPr>
        <w:t>2. Contexte métier — ce que le système doit faire</w:t>
      </w:r>
      <w:bookmarkEnd w:id="105"/>
    </w:p>
    <w:p>
      <w:r>
        <w:rPr>
          <w:rFonts w:ascii="Calibri" w:hAnsi="Calibri"/>
          <w:b w:val="0"/>
          <w:i w:val="0"/>
          <w:color w:val="333333"/>
          <w:sz w:val="20"/>
        </w:rPr>
        <w:t>L'architecture découle directement des quatre besoins énoncés dans le TdR, complétés par les quatre ajouts fonctionnels demandés dans le courriel du 21 août.</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907"/>
            <w:shd w:val="clear" w:fill="1B3A5C"/>
          </w:tcPr>
          <w:p>
            <w:pPr>
              <w:spacing w:before="60" w:after="60"/>
            </w:pPr>
            <w:r>
              <w:rPr>
                <w:rFonts w:ascii="Calibri" w:hAnsi="Calibri"/>
                <w:b/>
                <w:color w:val="FFFFFF"/>
                <w:sz w:val="17"/>
              </w:rPr>
              <w:t>Réf.</w:t>
            </w:r>
          </w:p>
        </w:tc>
        <w:tc>
          <w:tcPr>
            <w:tcW w:type="dxa" w:w="2835"/>
            <w:shd w:val="clear" w:fill="1B3A5C"/>
          </w:tcPr>
          <w:p>
            <w:pPr>
              <w:spacing w:before="60" w:after="60"/>
            </w:pPr>
            <w:r>
              <w:rPr>
                <w:rFonts w:ascii="Calibri" w:hAnsi="Calibri"/>
                <w:b/>
                <w:color w:val="FFFFFF"/>
                <w:sz w:val="17"/>
              </w:rPr>
              <w:t>Exigence</w:t>
            </w:r>
          </w:p>
        </w:tc>
        <w:tc>
          <w:tcPr>
            <w:tcW w:type="dxa" w:w="2835"/>
            <w:shd w:val="clear" w:fill="1B3A5C"/>
          </w:tcPr>
          <w:p>
            <w:pPr>
              <w:spacing w:before="60" w:after="60"/>
            </w:pPr>
            <w:r>
              <w:rPr>
                <w:rFonts w:ascii="Calibri" w:hAnsi="Calibri"/>
                <w:b/>
                <w:color w:val="FFFFFF"/>
                <w:sz w:val="17"/>
              </w:rPr>
              <w:t>Origine</w:t>
            </w:r>
          </w:p>
        </w:tc>
        <w:tc>
          <w:tcPr>
            <w:tcW w:type="dxa" w:w="2835"/>
            <w:shd w:val="clear" w:fill="1B3A5C"/>
          </w:tcPr>
          <w:p>
            <w:pPr>
              <w:spacing w:before="60" w:after="60"/>
            </w:pPr>
            <w:r>
              <w:rPr>
                <w:rFonts w:ascii="Calibri" w:hAnsi="Calibri"/>
                <w:b/>
                <w:color w:val="FFFFFF"/>
                <w:sz w:val="17"/>
              </w:rPr>
              <w:t>Conséquence architecturale</w:t>
            </w:r>
          </w:p>
        </w:tc>
      </w:tr>
      <w:tr>
        <w:tc>
          <w:tcPr>
            <w:tcW w:type="dxa" w:w="907"/>
          </w:tcPr>
          <w:p>
            <w:pPr>
              <w:spacing w:before="40" w:after="40"/>
            </w:pPr>
            <w:r>
              <w:rPr>
                <w:rFonts w:ascii="Calibri" w:hAnsi="Calibri"/>
                <w:b w:val="0"/>
                <w:i w:val="0"/>
                <w:color w:val="333333"/>
                <w:sz w:val="17"/>
              </w:rPr>
              <w:t>R1</w:t>
            </w:r>
          </w:p>
        </w:tc>
        <w:tc>
          <w:tcPr>
            <w:tcW w:type="dxa" w:w="2835"/>
          </w:tcPr>
          <w:p>
            <w:pPr>
              <w:spacing w:before="40" w:after="40"/>
            </w:pPr>
            <w:r>
              <w:rPr>
                <w:rFonts w:ascii="Calibri" w:hAnsi="Calibri"/>
                <w:b w:val="0"/>
                <w:i w:val="0"/>
                <w:color w:val="333333"/>
                <w:sz w:val="17"/>
              </w:rPr>
              <w:t>Souscrire un prospect à une police de micro-assurance et encaisser la première prime ainsi que les frais de police sur le terrain</w:t>
            </w:r>
          </w:p>
        </w:tc>
        <w:tc>
          <w:tcPr>
            <w:tcW w:type="dxa" w:w="2835"/>
          </w:tcPr>
          <w:p>
            <w:pPr>
              <w:spacing w:before="40" w:after="40"/>
            </w:pPr>
            <w:r>
              <w:rPr>
                <w:rFonts w:ascii="Calibri" w:hAnsi="Calibri"/>
                <w:b w:val="0"/>
                <w:i w:val="0"/>
                <w:color w:val="333333"/>
                <w:sz w:val="17"/>
              </w:rPr>
              <w:t>TdR Besoin 1</w:t>
            </w:r>
          </w:p>
        </w:tc>
        <w:tc>
          <w:tcPr>
            <w:tcW w:type="dxa" w:w="2835"/>
          </w:tcPr>
          <w:p>
            <w:pPr>
              <w:spacing w:before="40" w:after="40"/>
            </w:pPr>
            <w:r>
              <w:rPr>
                <w:rFonts w:ascii="Calibri" w:hAnsi="Calibri"/>
                <w:b w:val="0"/>
                <w:i w:val="0"/>
                <w:color w:val="333333"/>
                <w:sz w:val="17"/>
              </w:rPr>
              <w:t>Module de saisie de souscription sur TPE ; capture de documents/photos ; géolocalisation ; deux reçus distincts</w:t>
            </w:r>
          </w:p>
        </w:tc>
      </w:tr>
      <w:tr>
        <w:tc>
          <w:tcPr>
            <w:tcW w:type="dxa" w:w="907"/>
            <w:shd w:val="clear" w:fill="F2F6FA"/>
          </w:tcPr>
          <w:p>
            <w:pPr>
              <w:spacing w:before="40" w:after="40"/>
            </w:pPr>
            <w:r>
              <w:rPr>
                <w:rFonts w:ascii="Calibri" w:hAnsi="Calibri"/>
                <w:b w:val="0"/>
                <w:i w:val="0"/>
                <w:color w:val="333333"/>
                <w:sz w:val="17"/>
              </w:rPr>
              <w:t>R2</w:t>
            </w:r>
          </w:p>
        </w:tc>
        <w:tc>
          <w:tcPr>
            <w:tcW w:type="dxa" w:w="2835"/>
            <w:shd w:val="clear" w:fill="F2F6FA"/>
          </w:tcPr>
          <w:p>
            <w:pPr>
              <w:spacing w:before="40" w:after="40"/>
            </w:pPr>
            <w:r>
              <w:rPr>
                <w:rFonts w:ascii="Calibri" w:hAnsi="Calibri"/>
                <w:b w:val="0"/>
                <w:i w:val="0"/>
                <w:color w:val="333333"/>
                <w:sz w:val="17"/>
              </w:rPr>
              <w:t>Photographier la proposition signée et la CNIB, transmettre au back-office avec la référence de l'agent, le produit, le numéro de proposition, le nom de l'assuré et les coordonnées GPS</w:t>
            </w:r>
          </w:p>
        </w:tc>
        <w:tc>
          <w:tcPr>
            <w:tcW w:type="dxa" w:w="2835"/>
            <w:shd w:val="clear" w:fill="F2F6FA"/>
          </w:tcPr>
          <w:p>
            <w:pPr>
              <w:spacing w:before="40" w:after="40"/>
            </w:pPr>
            <w:r>
              <w:rPr>
                <w:rFonts w:ascii="Calibri" w:hAnsi="Calibri"/>
                <w:b w:val="0"/>
                <w:i w:val="0"/>
                <w:color w:val="333333"/>
                <w:sz w:val="17"/>
              </w:rPr>
              <w:t>TdR Besoin 1</w:t>
            </w:r>
          </w:p>
        </w:tc>
        <w:tc>
          <w:tcPr>
            <w:tcW w:type="dxa" w:w="2835"/>
            <w:shd w:val="clear" w:fill="F2F6FA"/>
          </w:tcPr>
          <w:p>
            <w:pPr>
              <w:spacing w:before="40" w:after="40"/>
            </w:pPr>
            <w:r>
              <w:rPr>
                <w:rFonts w:ascii="Calibri" w:hAnsi="Calibri"/>
                <w:b w:val="0"/>
                <w:i w:val="0"/>
                <w:color w:val="333333"/>
                <w:sz w:val="17"/>
              </w:rPr>
              <w:t>Chaîne de traitement des images, file hors ligne, rattachement des métadonnées, file de revue back-office</w:t>
            </w:r>
          </w:p>
        </w:tc>
      </w:tr>
      <w:tr>
        <w:tc>
          <w:tcPr>
            <w:tcW w:type="dxa" w:w="907"/>
          </w:tcPr>
          <w:p>
            <w:pPr>
              <w:spacing w:before="40" w:after="40"/>
            </w:pPr>
            <w:r>
              <w:rPr>
                <w:rFonts w:ascii="Calibri" w:hAnsi="Calibri"/>
                <w:b w:val="0"/>
                <w:i w:val="0"/>
                <w:color w:val="333333"/>
                <w:sz w:val="17"/>
              </w:rPr>
              <w:t>R3</w:t>
            </w:r>
          </w:p>
        </w:tc>
        <w:tc>
          <w:tcPr>
            <w:tcW w:type="dxa" w:w="2835"/>
          </w:tcPr>
          <w:p>
            <w:pPr>
              <w:spacing w:before="40" w:after="40"/>
            </w:pPr>
            <w:r>
              <w:rPr>
                <w:rFonts w:ascii="Calibri" w:hAnsi="Calibri"/>
                <w:b w:val="0"/>
                <w:i w:val="0"/>
                <w:color w:val="333333"/>
                <w:sz w:val="17"/>
              </w:rPr>
              <w:t>Émettre une carte portant l'identité de l'assuré et la liste de ses polices ; prendre en charge plusieurs polices par assuré</w:t>
            </w:r>
          </w:p>
        </w:tc>
        <w:tc>
          <w:tcPr>
            <w:tcW w:type="dxa" w:w="2835"/>
          </w:tcPr>
          <w:p>
            <w:pPr>
              <w:spacing w:before="40" w:after="40"/>
            </w:pPr>
            <w:r>
              <w:rPr>
                <w:rFonts w:ascii="Calibri" w:hAnsi="Calibri"/>
                <w:b w:val="0"/>
                <w:i w:val="0"/>
                <w:color w:val="333333"/>
                <w:sz w:val="17"/>
              </w:rPr>
              <w:t>TdR Besoin 1</w:t>
            </w:r>
          </w:p>
        </w:tc>
        <w:tc>
          <w:tcPr>
            <w:tcW w:type="dxa" w:w="2835"/>
          </w:tcPr>
          <w:p>
            <w:pPr>
              <w:spacing w:before="40" w:after="40"/>
            </w:pPr>
            <w:r>
              <w:rPr>
                <w:rFonts w:ascii="Calibri" w:hAnsi="Calibri"/>
                <w:b w:val="0"/>
                <w:i w:val="0"/>
                <w:color w:val="333333"/>
                <w:sz w:val="17"/>
              </w:rPr>
              <w:t>Processus d'émission de carte ; modèle de données multi-polices ; export de personnalisation vers l'imprimante/encodeur</w:t>
            </w:r>
          </w:p>
        </w:tc>
      </w:tr>
      <w:tr>
        <w:tc>
          <w:tcPr>
            <w:tcW w:type="dxa" w:w="907"/>
            <w:shd w:val="clear" w:fill="F2F6FA"/>
          </w:tcPr>
          <w:p>
            <w:pPr>
              <w:spacing w:before="40" w:after="40"/>
            </w:pPr>
            <w:r>
              <w:rPr>
                <w:rFonts w:ascii="Calibri" w:hAnsi="Calibri"/>
                <w:b w:val="0"/>
                <w:i w:val="0"/>
                <w:color w:val="333333"/>
                <w:sz w:val="17"/>
              </w:rPr>
              <w:t>R4</w:t>
            </w:r>
          </w:p>
        </w:tc>
        <w:tc>
          <w:tcPr>
            <w:tcW w:type="dxa" w:w="2835"/>
            <w:shd w:val="clear" w:fill="F2F6FA"/>
          </w:tcPr>
          <w:p>
            <w:pPr>
              <w:spacing w:before="40" w:after="40"/>
            </w:pPr>
            <w:r>
              <w:rPr>
                <w:rFonts w:ascii="Calibri" w:hAnsi="Calibri"/>
                <w:b w:val="0"/>
                <w:i w:val="0"/>
                <w:color w:val="333333"/>
                <w:sz w:val="17"/>
              </w:rPr>
              <w:t>Encaisser les primes récurrentes : lire la carte → lister les polices actives → sélectionner la police → encaisser → imprimer le reçu</w:t>
            </w:r>
          </w:p>
        </w:tc>
        <w:tc>
          <w:tcPr>
            <w:tcW w:type="dxa" w:w="2835"/>
            <w:shd w:val="clear" w:fill="F2F6FA"/>
          </w:tcPr>
          <w:p>
            <w:pPr>
              <w:spacing w:before="40" w:after="40"/>
            </w:pPr>
            <w:r>
              <w:rPr>
                <w:rFonts w:ascii="Calibri" w:hAnsi="Calibri"/>
                <w:b w:val="0"/>
                <w:i w:val="0"/>
                <w:color w:val="333333"/>
                <w:sz w:val="17"/>
              </w:rPr>
              <w:t>TdR Besoin 2</w:t>
            </w:r>
          </w:p>
        </w:tc>
        <w:tc>
          <w:tcPr>
            <w:tcW w:type="dxa" w:w="2835"/>
            <w:shd w:val="clear" w:fill="F2F6FA"/>
          </w:tcPr>
          <w:p>
            <w:pPr>
              <w:spacing w:before="40" w:after="40"/>
            </w:pPr>
            <w:r>
              <w:rPr>
                <w:rFonts w:ascii="Calibri" w:hAnsi="Calibri"/>
                <w:b w:val="0"/>
                <w:i w:val="0"/>
                <w:color w:val="333333"/>
                <w:sz w:val="17"/>
              </w:rPr>
              <w:t>Flux de lecture de carte sur TPE ; écran de sélection de police ; modèle de reçu ; cache local pour le fonctionnement hors ligne</w:t>
            </w:r>
          </w:p>
        </w:tc>
      </w:tr>
      <w:tr>
        <w:tc>
          <w:tcPr>
            <w:tcW w:type="dxa" w:w="907"/>
          </w:tcPr>
          <w:p>
            <w:pPr>
              <w:spacing w:before="40" w:after="40"/>
            </w:pPr>
            <w:r>
              <w:rPr>
                <w:rFonts w:ascii="Calibri" w:hAnsi="Calibri"/>
                <w:b w:val="0"/>
                <w:i w:val="0"/>
                <w:color w:val="333333"/>
                <w:sz w:val="17"/>
              </w:rPr>
              <w:t>R5</w:t>
            </w:r>
          </w:p>
        </w:tc>
        <w:tc>
          <w:tcPr>
            <w:tcW w:type="dxa" w:w="2835"/>
          </w:tcPr>
          <w:p>
            <w:pPr>
              <w:spacing w:before="40" w:after="40"/>
            </w:pPr>
            <w:r>
              <w:rPr>
                <w:rFonts w:ascii="Calibri" w:hAnsi="Calibri"/>
                <w:b w:val="0"/>
                <w:i w:val="0"/>
                <w:color w:val="333333"/>
                <w:sz w:val="17"/>
              </w:rPr>
              <w:t>Plafond d'encaisse par collecteur (montant non versé) ; à l'atteinte du plafond, le collecteur verse sur un compte bancaire SUNU ou à la caisse ; le back-office confirme et libère le terminal</w:t>
            </w:r>
          </w:p>
        </w:tc>
        <w:tc>
          <w:tcPr>
            <w:tcW w:type="dxa" w:w="2835"/>
          </w:tcPr>
          <w:p>
            <w:pPr>
              <w:spacing w:before="40" w:after="40"/>
            </w:pPr>
            <w:r>
              <w:rPr>
                <w:rFonts w:ascii="Calibri" w:hAnsi="Calibri"/>
                <w:b w:val="0"/>
                <w:i w:val="0"/>
                <w:color w:val="333333"/>
                <w:sz w:val="17"/>
              </w:rPr>
              <w:t>TdR Besoin 2</w:t>
            </w:r>
          </w:p>
        </w:tc>
        <w:tc>
          <w:tcPr>
            <w:tcW w:type="dxa" w:w="2835"/>
          </w:tcPr>
          <w:p>
            <w:pPr>
              <w:spacing w:before="40" w:after="40"/>
            </w:pPr>
            <w:r>
              <w:rPr>
                <w:rFonts w:ascii="Calibri" w:hAnsi="Calibri"/>
                <w:b w:val="0"/>
                <w:i w:val="0"/>
                <w:color w:val="333333"/>
                <w:sz w:val="17"/>
              </w:rPr>
              <w:t>Grand livre de l'encaisse du collecteur ; moteur de plafond ; déclaration de versement + confirmation back-office ; libération du terminal</w:t>
            </w:r>
          </w:p>
        </w:tc>
      </w:tr>
      <w:tr>
        <w:tc>
          <w:tcPr>
            <w:tcW w:type="dxa" w:w="907"/>
            <w:shd w:val="clear" w:fill="F2F6FA"/>
          </w:tcPr>
          <w:p>
            <w:pPr>
              <w:spacing w:before="40" w:after="40"/>
            </w:pPr>
            <w:r>
              <w:rPr>
                <w:rFonts w:ascii="Calibri" w:hAnsi="Calibri"/>
                <w:b w:val="0"/>
                <w:i w:val="0"/>
                <w:color w:val="333333"/>
                <w:sz w:val="17"/>
              </w:rPr>
              <w:t>R6</w:t>
            </w:r>
          </w:p>
        </w:tc>
        <w:tc>
          <w:tcPr>
            <w:tcW w:type="dxa" w:w="2835"/>
            <w:shd w:val="clear" w:fill="F2F6FA"/>
          </w:tcPr>
          <w:p>
            <w:pPr>
              <w:spacing w:before="40" w:after="40"/>
            </w:pPr>
            <w:r>
              <w:rPr>
                <w:rFonts w:ascii="Calibri" w:hAnsi="Calibri"/>
                <w:b w:val="0"/>
                <w:i w:val="0"/>
                <w:color w:val="333333"/>
                <w:sz w:val="17"/>
              </w:rPr>
              <w:t>Tous les paiements visibles au back-office et téléchargeables en Excel pour saisie dans SUNULIFE</w:t>
            </w:r>
          </w:p>
        </w:tc>
        <w:tc>
          <w:tcPr>
            <w:tcW w:type="dxa" w:w="2835"/>
            <w:shd w:val="clear" w:fill="F2F6FA"/>
          </w:tcPr>
          <w:p>
            <w:pPr>
              <w:spacing w:before="40" w:after="40"/>
            </w:pPr>
            <w:r>
              <w:rPr>
                <w:rFonts w:ascii="Calibri" w:hAnsi="Calibri"/>
                <w:b w:val="0"/>
                <w:i w:val="0"/>
                <w:color w:val="333333"/>
                <w:sz w:val="17"/>
              </w:rPr>
              <w:t>TdR Besoin 2</w:t>
            </w:r>
          </w:p>
        </w:tc>
        <w:tc>
          <w:tcPr>
            <w:tcW w:type="dxa" w:w="2835"/>
            <w:shd w:val="clear" w:fill="F2F6FA"/>
          </w:tcPr>
          <w:p>
            <w:pPr>
              <w:spacing w:before="40" w:after="40"/>
            </w:pPr>
            <w:r>
              <w:rPr>
                <w:rFonts w:ascii="Calibri" w:hAnsi="Calibri"/>
                <w:b w:val="0"/>
                <w:i w:val="0"/>
                <w:color w:val="333333"/>
                <w:sz w:val="17"/>
              </w:rPr>
              <w:t xml:space="preserve">Module de restitution des encaissements et export ; il s'agit du chemin </w:t>
            </w:r>
            <w:r>
              <w:rPr>
                <w:rFonts w:ascii="Calibri" w:hAnsi="Calibri"/>
                <w:b w:val="0"/>
                <w:i/>
                <w:color w:val="333333"/>
                <w:sz w:val="17"/>
              </w:rPr>
              <w:t>manuel</w:t>
            </w:r>
            <w:r>
              <w:rPr>
                <w:rFonts w:ascii="Calibri" w:hAnsi="Calibri"/>
                <w:b w:val="0"/>
                <w:i w:val="0"/>
                <w:color w:val="333333"/>
                <w:sz w:val="17"/>
              </w:rPr>
              <w:t xml:space="preserve"> de repli vers SUNULIFE</w:t>
            </w:r>
          </w:p>
        </w:tc>
      </w:tr>
      <w:tr>
        <w:tc>
          <w:tcPr>
            <w:tcW w:type="dxa" w:w="907"/>
          </w:tcPr>
          <w:p>
            <w:pPr>
              <w:spacing w:before="40" w:after="40"/>
            </w:pPr>
            <w:r>
              <w:rPr>
                <w:rFonts w:ascii="Calibri" w:hAnsi="Calibri"/>
                <w:b w:val="0"/>
                <w:i w:val="0"/>
                <w:color w:val="333333"/>
                <w:sz w:val="17"/>
              </w:rPr>
              <w:t>R7</w:t>
            </w:r>
          </w:p>
        </w:tc>
        <w:tc>
          <w:tcPr>
            <w:tcW w:type="dxa" w:w="2835"/>
          </w:tcPr>
          <w:p>
            <w:pPr>
              <w:spacing w:before="40" w:after="40"/>
            </w:pPr>
            <w:r>
              <w:rPr>
                <w:rFonts w:ascii="Calibri" w:hAnsi="Calibri"/>
                <w:b w:val="0"/>
                <w:i w:val="0"/>
                <w:color w:val="333333"/>
                <w:sz w:val="17"/>
              </w:rPr>
              <w:t>15 terminaux TPE, back-office avec profils et habilitations, 5 000 cartes, un dispositif de personnalisation des cartes</w:t>
            </w:r>
          </w:p>
        </w:tc>
        <w:tc>
          <w:tcPr>
            <w:tcW w:type="dxa" w:w="2835"/>
          </w:tcPr>
          <w:p>
            <w:pPr>
              <w:spacing w:before="40" w:after="40"/>
            </w:pPr>
            <w:r>
              <w:rPr>
                <w:rFonts w:ascii="Calibri" w:hAnsi="Calibri"/>
                <w:b w:val="0"/>
                <w:i w:val="0"/>
                <w:color w:val="333333"/>
                <w:sz w:val="17"/>
              </w:rPr>
              <w:t>TdR Besoin 3</w:t>
            </w:r>
          </w:p>
        </w:tc>
        <w:tc>
          <w:tcPr>
            <w:tcW w:type="dxa" w:w="2835"/>
          </w:tcPr>
          <w:p>
            <w:pPr>
              <w:spacing w:before="40" w:after="40"/>
            </w:pPr>
            <w:r>
              <w:rPr>
                <w:rFonts w:ascii="Calibri" w:hAnsi="Calibri"/>
                <w:b w:val="0"/>
                <w:i w:val="0"/>
                <w:color w:val="333333"/>
                <w:sz w:val="17"/>
              </w:rPr>
              <w:t>Parc de terminaux, gestion des habilitations, gestion du stock de cartes, intégration de la station de personnalisation</w:t>
            </w:r>
          </w:p>
        </w:tc>
      </w:tr>
      <w:tr>
        <w:tc>
          <w:tcPr>
            <w:tcW w:type="dxa" w:w="907"/>
            <w:shd w:val="clear" w:fill="F2F6FA"/>
          </w:tcPr>
          <w:p>
            <w:pPr>
              <w:spacing w:before="40" w:after="40"/>
            </w:pPr>
            <w:r>
              <w:rPr>
                <w:rFonts w:ascii="Calibri" w:hAnsi="Calibri"/>
                <w:b w:val="0"/>
                <w:i w:val="0"/>
                <w:color w:val="333333"/>
                <w:sz w:val="17"/>
              </w:rPr>
              <w:t>R8</w:t>
            </w:r>
          </w:p>
        </w:tc>
        <w:tc>
          <w:tcPr>
            <w:tcW w:type="dxa" w:w="2835"/>
            <w:shd w:val="clear" w:fill="F2F6FA"/>
          </w:tcPr>
          <w:p>
            <w:pPr>
              <w:spacing w:before="40" w:after="40"/>
            </w:pPr>
            <w:r>
              <w:rPr>
                <w:rFonts w:ascii="Calibri" w:hAnsi="Calibri"/>
                <w:b w:val="0"/>
                <w:i w:val="0"/>
                <w:color w:val="333333"/>
                <w:sz w:val="17"/>
              </w:rPr>
              <w:t>API pour la mise à jour automatique des encaissements dans le logiciel métier</w:t>
            </w:r>
          </w:p>
        </w:tc>
        <w:tc>
          <w:tcPr>
            <w:tcW w:type="dxa" w:w="2835"/>
            <w:shd w:val="clear" w:fill="F2F6FA"/>
          </w:tcPr>
          <w:p>
            <w:pPr>
              <w:spacing w:before="40" w:after="40"/>
            </w:pPr>
            <w:r>
              <w:rPr>
                <w:rFonts w:ascii="Calibri" w:hAnsi="Calibri"/>
                <w:b w:val="0"/>
                <w:i w:val="0"/>
                <w:color w:val="333333"/>
                <w:sz w:val="17"/>
              </w:rPr>
              <w:t>TdR Besoin 4</w:t>
            </w:r>
          </w:p>
        </w:tc>
        <w:tc>
          <w:tcPr>
            <w:tcW w:type="dxa" w:w="2835"/>
            <w:shd w:val="clear" w:fill="F2F6FA"/>
          </w:tcPr>
          <w:p>
            <w:pPr>
              <w:spacing w:before="40" w:after="40"/>
            </w:pPr>
            <w:r>
              <w:rPr>
                <w:rFonts w:ascii="Calibri" w:hAnsi="Calibri"/>
                <w:b w:val="0"/>
                <w:i w:val="0"/>
                <w:color w:val="333333"/>
                <w:sz w:val="17"/>
              </w:rPr>
              <w:t>Intégration SUNULIFE — voir section 8</w:t>
            </w:r>
          </w:p>
        </w:tc>
      </w:tr>
      <w:tr>
        <w:tc>
          <w:tcPr>
            <w:tcW w:type="dxa" w:w="907"/>
          </w:tcPr>
          <w:p>
            <w:pPr>
              <w:spacing w:before="40" w:after="40"/>
            </w:pPr>
            <w:r>
              <w:rPr>
                <w:rFonts w:ascii="Calibri" w:hAnsi="Calibri"/>
                <w:b w:val="0"/>
                <w:i w:val="0"/>
                <w:color w:val="333333"/>
                <w:sz w:val="17"/>
              </w:rPr>
              <w:t>R9</w:t>
            </w:r>
          </w:p>
        </w:tc>
        <w:tc>
          <w:tcPr>
            <w:tcW w:type="dxa" w:w="2835"/>
          </w:tcPr>
          <w:p>
            <w:pPr>
              <w:spacing w:before="40" w:after="40"/>
            </w:pPr>
            <w:r>
              <w:rPr>
                <w:rFonts w:ascii="Calibri" w:hAnsi="Calibri"/>
                <w:b/>
                <w:i w:val="0"/>
                <w:color w:val="333333"/>
                <w:sz w:val="17"/>
              </w:rPr>
              <w:t>Récupérer régulièrement les données clients à jour et les informations de polices depuis SUNULIFE via API</w:t>
            </w:r>
          </w:p>
        </w:tc>
        <w:tc>
          <w:tcPr>
            <w:tcW w:type="dxa" w:w="2835"/>
          </w:tcPr>
          <w:p>
            <w:pPr>
              <w:spacing w:before="40" w:after="40"/>
            </w:pPr>
            <w:r>
              <w:rPr>
                <w:rFonts w:ascii="Calibri" w:hAnsi="Calibri"/>
                <w:b w:val="0"/>
                <w:i w:val="0"/>
                <w:color w:val="333333"/>
                <w:sz w:val="17"/>
              </w:rPr>
              <w:t>Courriel §1</w:t>
            </w:r>
          </w:p>
        </w:tc>
        <w:tc>
          <w:tcPr>
            <w:tcW w:type="dxa" w:w="2835"/>
          </w:tcPr>
          <w:p>
            <w:pPr>
              <w:spacing w:before="40" w:after="40"/>
            </w:pPr>
            <w:r>
              <w:rPr>
                <w:rFonts w:ascii="Calibri" w:hAnsi="Calibri"/>
                <w:b w:val="0"/>
                <w:i w:val="0"/>
                <w:color w:val="333333"/>
                <w:sz w:val="17"/>
              </w:rPr>
              <w:t>L'intégration SUNULIFE est bidirectionnelle et fait partie de l'architecture de base, non de la phase 2</w:t>
            </w:r>
          </w:p>
        </w:tc>
      </w:tr>
      <w:tr>
        <w:tc>
          <w:tcPr>
            <w:tcW w:type="dxa" w:w="907"/>
            <w:shd w:val="clear" w:fill="F2F6FA"/>
          </w:tcPr>
          <w:p>
            <w:pPr>
              <w:spacing w:before="40" w:after="40"/>
            </w:pPr>
            <w:r>
              <w:rPr>
                <w:rFonts w:ascii="Calibri" w:hAnsi="Calibri"/>
                <w:b w:val="0"/>
                <w:i w:val="0"/>
                <w:color w:val="333333"/>
                <w:sz w:val="17"/>
              </w:rPr>
              <w:t>R10</w:t>
            </w:r>
          </w:p>
        </w:tc>
        <w:tc>
          <w:tcPr>
            <w:tcW w:type="dxa" w:w="2835"/>
            <w:shd w:val="clear" w:fill="F2F6FA"/>
          </w:tcPr>
          <w:p>
            <w:pPr>
              <w:spacing w:before="40" w:after="40"/>
            </w:pPr>
            <w:r>
              <w:rPr>
                <w:rFonts w:ascii="Calibri" w:hAnsi="Calibri"/>
                <w:b/>
                <w:i w:val="0"/>
                <w:color w:val="333333"/>
                <w:sz w:val="17"/>
              </w:rPr>
              <w:t>Carte physique</w:t>
            </w:r>
          </w:p>
        </w:tc>
        <w:tc>
          <w:tcPr>
            <w:tcW w:type="dxa" w:w="2835"/>
            <w:shd w:val="clear" w:fill="F2F6FA"/>
          </w:tcPr>
          <w:p>
            <w:pPr>
              <w:spacing w:before="40" w:after="40"/>
            </w:pPr>
            <w:r>
              <w:rPr>
                <w:rFonts w:ascii="Calibri" w:hAnsi="Calibri"/>
                <w:b w:val="0"/>
                <w:i w:val="0"/>
                <w:color w:val="333333"/>
                <w:sz w:val="17"/>
              </w:rPr>
              <w:t>Courriel §4</w:t>
            </w:r>
          </w:p>
        </w:tc>
        <w:tc>
          <w:tcPr>
            <w:tcW w:type="dxa" w:w="2835"/>
            <w:shd w:val="clear" w:fill="F2F6FA"/>
          </w:tcPr>
          <w:p>
            <w:pPr>
              <w:spacing w:before="40" w:after="40"/>
            </w:pPr>
            <w:r>
              <w:rPr>
                <w:rFonts w:ascii="Calibri" w:hAnsi="Calibri"/>
                <w:b w:val="0"/>
                <w:i w:val="0"/>
                <w:color w:val="333333"/>
                <w:sz w:val="17"/>
              </w:rPr>
              <w:t>Comme R3</w:t>
            </w:r>
          </w:p>
        </w:tc>
      </w:tr>
      <w:tr>
        <w:tc>
          <w:tcPr>
            <w:tcW w:type="dxa" w:w="907"/>
          </w:tcPr>
          <w:p>
            <w:pPr>
              <w:spacing w:before="40" w:after="40"/>
            </w:pPr>
            <w:r>
              <w:rPr>
                <w:rFonts w:ascii="Calibri" w:hAnsi="Calibri"/>
                <w:b w:val="0"/>
                <w:i w:val="0"/>
                <w:color w:val="333333"/>
                <w:sz w:val="17"/>
              </w:rPr>
              <w:t>R11</w:t>
            </w:r>
          </w:p>
        </w:tc>
        <w:tc>
          <w:tcPr>
            <w:tcW w:type="dxa" w:w="2835"/>
          </w:tcPr>
          <w:p>
            <w:pPr>
              <w:spacing w:before="40" w:after="40"/>
            </w:pPr>
            <w:r>
              <w:rPr>
                <w:rFonts w:ascii="Calibri" w:hAnsi="Calibri"/>
                <w:b/>
                <w:i w:val="0"/>
                <w:color w:val="333333"/>
                <w:sz w:val="17"/>
              </w:rPr>
              <w:t>Carte virtuelle sous forme de QR Code</w:t>
            </w:r>
          </w:p>
        </w:tc>
        <w:tc>
          <w:tcPr>
            <w:tcW w:type="dxa" w:w="2835"/>
          </w:tcPr>
          <w:p>
            <w:pPr>
              <w:spacing w:before="40" w:after="40"/>
            </w:pPr>
            <w:r>
              <w:rPr>
                <w:rFonts w:ascii="Calibri" w:hAnsi="Calibri"/>
                <w:b w:val="0"/>
                <w:i w:val="0"/>
                <w:color w:val="333333"/>
                <w:sz w:val="17"/>
              </w:rPr>
              <w:t>Courriel §4</w:t>
            </w:r>
          </w:p>
        </w:tc>
        <w:tc>
          <w:tcPr>
            <w:tcW w:type="dxa" w:w="2835"/>
          </w:tcPr>
          <w:p>
            <w:pPr>
              <w:spacing w:before="40" w:after="40"/>
            </w:pPr>
            <w:r>
              <w:rPr>
                <w:rFonts w:ascii="Calibri" w:hAnsi="Calibri"/>
                <w:b w:val="0"/>
                <w:i w:val="0"/>
                <w:color w:val="333333"/>
                <w:sz w:val="17"/>
              </w:rPr>
              <w:t>Justificatif QR signé, imprimable/transmissible, vérifiable hors ligne sur le TPE</w:t>
            </w:r>
          </w:p>
        </w:tc>
      </w:tr>
      <w:tr>
        <w:tc>
          <w:tcPr>
            <w:tcW w:type="dxa" w:w="907"/>
            <w:shd w:val="clear" w:fill="F2F6FA"/>
          </w:tcPr>
          <w:p>
            <w:pPr>
              <w:spacing w:before="40" w:after="40"/>
            </w:pPr>
            <w:r>
              <w:rPr>
                <w:rFonts w:ascii="Calibri" w:hAnsi="Calibri"/>
                <w:b w:val="0"/>
                <w:i w:val="0"/>
                <w:color w:val="333333"/>
                <w:sz w:val="17"/>
              </w:rPr>
              <w:t>R12</w:t>
            </w:r>
          </w:p>
        </w:tc>
        <w:tc>
          <w:tcPr>
            <w:tcW w:type="dxa" w:w="2835"/>
            <w:shd w:val="clear" w:fill="F2F6FA"/>
          </w:tcPr>
          <w:p>
            <w:pPr>
              <w:spacing w:before="40" w:after="40"/>
            </w:pPr>
            <w:r>
              <w:rPr>
                <w:rFonts w:ascii="Calibri" w:hAnsi="Calibri"/>
                <w:b/>
                <w:i w:val="0"/>
                <w:color w:val="333333"/>
                <w:sz w:val="17"/>
              </w:rPr>
              <w:t>Paiements Mobile Money</w:t>
            </w:r>
          </w:p>
        </w:tc>
        <w:tc>
          <w:tcPr>
            <w:tcW w:type="dxa" w:w="2835"/>
            <w:shd w:val="clear" w:fill="F2F6FA"/>
          </w:tcPr>
          <w:p>
            <w:pPr>
              <w:spacing w:before="40" w:after="40"/>
            </w:pPr>
            <w:r>
              <w:rPr>
                <w:rFonts w:ascii="Calibri" w:hAnsi="Calibri"/>
                <w:b w:val="0"/>
                <w:i w:val="0"/>
                <w:color w:val="333333"/>
                <w:sz w:val="17"/>
              </w:rPr>
              <w:t>Courriel §4</w:t>
            </w:r>
          </w:p>
        </w:tc>
        <w:tc>
          <w:tcPr>
            <w:tcW w:type="dxa" w:w="2835"/>
            <w:shd w:val="clear" w:fill="F2F6FA"/>
          </w:tcPr>
          <w:p>
            <w:pPr>
              <w:spacing w:before="40" w:after="40"/>
            </w:pPr>
            <w:r>
              <w:rPr>
                <w:rFonts w:ascii="Calibri" w:hAnsi="Calibri"/>
                <w:b w:val="0"/>
                <w:i w:val="0"/>
                <w:color w:val="333333"/>
                <w:sz w:val="17"/>
              </w:rPr>
              <w:t>Abstraction de passerelle de paiement ; Orange Money / Moov Money, en direct ou via un agrégateur</w:t>
            </w:r>
          </w:p>
        </w:tc>
      </w:tr>
      <w:tr>
        <w:tc>
          <w:tcPr>
            <w:tcW w:type="dxa" w:w="907"/>
          </w:tcPr>
          <w:p>
            <w:pPr>
              <w:spacing w:before="40" w:after="40"/>
            </w:pPr>
            <w:r>
              <w:rPr>
                <w:rFonts w:ascii="Calibri" w:hAnsi="Calibri"/>
                <w:b w:val="0"/>
                <w:i w:val="0"/>
                <w:color w:val="333333"/>
                <w:sz w:val="17"/>
              </w:rPr>
              <w:t>R13</w:t>
            </w:r>
          </w:p>
        </w:tc>
        <w:tc>
          <w:tcPr>
            <w:tcW w:type="dxa" w:w="2835"/>
          </w:tcPr>
          <w:p>
            <w:pPr>
              <w:spacing w:before="40" w:after="40"/>
            </w:pPr>
            <w:r>
              <w:rPr>
                <w:rFonts w:ascii="Calibri" w:hAnsi="Calibri"/>
                <w:b w:val="0"/>
                <w:i w:val="0"/>
                <w:color w:val="333333"/>
                <w:sz w:val="17"/>
              </w:rPr>
              <w:t>Documentation d'architecture technique</w:t>
            </w:r>
          </w:p>
        </w:tc>
        <w:tc>
          <w:tcPr>
            <w:tcW w:type="dxa" w:w="2835"/>
          </w:tcPr>
          <w:p>
            <w:pPr>
              <w:spacing w:before="40" w:after="40"/>
            </w:pPr>
            <w:r>
              <w:rPr>
                <w:rFonts w:ascii="Calibri" w:hAnsi="Calibri"/>
                <w:b w:val="0"/>
                <w:i w:val="0"/>
                <w:color w:val="333333"/>
                <w:sz w:val="17"/>
              </w:rPr>
              <w:t>Courriel §2</w:t>
            </w:r>
          </w:p>
        </w:tc>
        <w:tc>
          <w:tcPr>
            <w:tcW w:type="dxa" w:w="2835"/>
          </w:tcPr>
          <w:p>
            <w:pPr>
              <w:spacing w:before="40" w:after="40"/>
            </w:pPr>
            <w:r>
              <w:rPr>
                <w:rFonts w:ascii="Calibri" w:hAnsi="Calibri"/>
                <w:b w:val="0"/>
                <w:i w:val="0"/>
                <w:color w:val="333333"/>
                <w:sz w:val="17"/>
              </w:rPr>
              <w:t>Le présent document</w:t>
            </w:r>
          </w:p>
        </w:tc>
      </w:tr>
      <w:tr>
        <w:tc>
          <w:tcPr>
            <w:tcW w:type="dxa" w:w="907"/>
            <w:shd w:val="clear" w:fill="F2F6FA"/>
          </w:tcPr>
          <w:p>
            <w:pPr>
              <w:spacing w:before="40" w:after="40"/>
            </w:pPr>
            <w:r>
              <w:rPr>
                <w:rFonts w:ascii="Calibri" w:hAnsi="Calibri"/>
                <w:b w:val="0"/>
                <w:i w:val="0"/>
                <w:color w:val="333333"/>
                <w:sz w:val="17"/>
              </w:rPr>
              <w:t>R14</w:t>
            </w:r>
          </w:p>
        </w:tc>
        <w:tc>
          <w:tcPr>
            <w:tcW w:type="dxa" w:w="2835"/>
            <w:shd w:val="clear" w:fill="F2F6FA"/>
          </w:tcPr>
          <w:p>
            <w:pPr>
              <w:spacing w:before="40" w:after="40"/>
            </w:pPr>
            <w:r>
              <w:rPr>
                <w:rFonts w:ascii="Calibri" w:hAnsi="Calibri"/>
                <w:b w:val="0"/>
                <w:i w:val="0"/>
                <w:color w:val="333333"/>
                <w:sz w:val="17"/>
              </w:rPr>
              <w:t>Documentation de sécurité</w:t>
            </w:r>
          </w:p>
        </w:tc>
        <w:tc>
          <w:tcPr>
            <w:tcW w:type="dxa" w:w="2835"/>
            <w:shd w:val="clear" w:fill="F2F6FA"/>
          </w:tcPr>
          <w:p>
            <w:pPr>
              <w:spacing w:before="40" w:after="40"/>
            </w:pPr>
            <w:r>
              <w:rPr>
                <w:rFonts w:ascii="Calibri" w:hAnsi="Calibri"/>
                <w:b w:val="0"/>
                <w:i w:val="0"/>
                <w:color w:val="333333"/>
                <w:sz w:val="17"/>
              </w:rPr>
              <w:t>Courriel §2</w:t>
            </w:r>
          </w:p>
        </w:tc>
        <w:tc>
          <w:tcPr>
            <w:tcW w:type="dxa" w:w="2835"/>
            <w:shd w:val="clear" w:fill="F2F6FA"/>
          </w:tcPr>
          <w:p>
            <w:pPr>
              <w:spacing w:before="40" w:after="40"/>
            </w:pPr>
            <w:r>
              <w:rPr>
                <w:rFonts w:ascii="Calibri" w:hAnsi="Calibri"/>
                <w:b w:val="0"/>
                <w:i w:val="0"/>
                <w:color w:val="333333"/>
                <w:sz w:val="17"/>
              </w:rPr>
              <w:t>Document 2</w:t>
            </w:r>
          </w:p>
        </w:tc>
      </w:tr>
      <w:tr>
        <w:tc>
          <w:tcPr>
            <w:tcW w:type="dxa" w:w="907"/>
          </w:tcPr>
          <w:p>
            <w:pPr>
              <w:spacing w:before="40" w:after="40"/>
            </w:pPr>
            <w:r>
              <w:rPr>
                <w:rFonts w:ascii="Calibri" w:hAnsi="Calibri"/>
                <w:b w:val="0"/>
                <w:i w:val="0"/>
                <w:color w:val="333333"/>
                <w:sz w:val="17"/>
              </w:rPr>
              <w:t>R15</w:t>
            </w:r>
          </w:p>
        </w:tc>
        <w:tc>
          <w:tcPr>
            <w:tcW w:type="dxa" w:w="2835"/>
          </w:tcPr>
          <w:p>
            <w:pPr>
              <w:spacing w:before="40" w:after="40"/>
            </w:pPr>
            <w:r>
              <w:rPr>
                <w:rFonts w:ascii="Calibri" w:hAnsi="Calibri"/>
                <w:b w:val="0"/>
                <w:i w:val="0"/>
                <w:color w:val="333333"/>
                <w:sz w:val="17"/>
              </w:rPr>
              <w:t>Guide utilisateur par profil</w:t>
            </w:r>
          </w:p>
        </w:tc>
        <w:tc>
          <w:tcPr>
            <w:tcW w:type="dxa" w:w="2835"/>
          </w:tcPr>
          <w:p>
            <w:pPr>
              <w:spacing w:before="40" w:after="40"/>
            </w:pPr>
            <w:r>
              <w:rPr>
                <w:rFonts w:ascii="Calibri" w:hAnsi="Calibri"/>
                <w:b w:val="0"/>
                <w:i w:val="0"/>
                <w:color w:val="333333"/>
                <w:sz w:val="17"/>
              </w:rPr>
              <w:t>Courriel §3</w:t>
            </w:r>
          </w:p>
        </w:tc>
        <w:tc>
          <w:tcPr>
            <w:tcW w:type="dxa" w:w="2835"/>
          </w:tcPr>
          <w:p>
            <w:pPr>
              <w:spacing w:before="40" w:after="40"/>
            </w:pPr>
            <w:r>
              <w:rPr>
                <w:rFonts w:ascii="Calibri" w:hAnsi="Calibri"/>
                <w:b w:val="0"/>
                <w:i w:val="0"/>
                <w:color w:val="333333"/>
                <w:sz w:val="17"/>
              </w:rPr>
              <w:t>Document 3</w:t>
            </w:r>
          </w:p>
        </w:tc>
      </w:tr>
      <w:tr>
        <w:tc>
          <w:tcPr>
            <w:tcW w:type="dxa" w:w="907"/>
            <w:shd w:val="clear" w:fill="F2F6FA"/>
          </w:tcPr>
          <w:p>
            <w:pPr>
              <w:spacing w:before="40" w:after="40"/>
            </w:pPr>
            <w:r>
              <w:rPr>
                <w:rFonts w:ascii="Calibri" w:hAnsi="Calibri"/>
                <w:b w:val="0"/>
                <w:i w:val="0"/>
                <w:color w:val="333333"/>
                <w:sz w:val="17"/>
              </w:rPr>
              <w:t>R16</w:t>
            </w:r>
          </w:p>
        </w:tc>
        <w:tc>
          <w:tcPr>
            <w:tcW w:type="dxa" w:w="2835"/>
            <w:shd w:val="clear" w:fill="F2F6FA"/>
          </w:tcPr>
          <w:p>
            <w:pPr>
              <w:spacing w:before="40" w:after="40"/>
            </w:pPr>
            <w:r>
              <w:rPr>
                <w:rFonts w:ascii="Calibri" w:hAnsi="Calibri"/>
                <w:b w:val="0"/>
                <w:i w:val="0"/>
                <w:color w:val="333333"/>
                <w:sz w:val="17"/>
              </w:rPr>
              <w:t>Déploiement initial avant fin septembre 2026 ; mise en production d'ici novembre 2026</w:t>
            </w:r>
          </w:p>
        </w:tc>
        <w:tc>
          <w:tcPr>
            <w:tcW w:type="dxa" w:w="2835"/>
            <w:shd w:val="clear" w:fill="F2F6FA"/>
          </w:tcPr>
          <w:p>
            <w:pPr>
              <w:spacing w:before="40" w:after="40"/>
            </w:pPr>
            <w:r>
              <w:rPr>
                <w:rFonts w:ascii="Calibri" w:hAnsi="Calibri"/>
                <w:b w:val="0"/>
                <w:i w:val="0"/>
                <w:color w:val="333333"/>
                <w:sz w:val="17"/>
              </w:rPr>
              <w:t>Courriel §5</w:t>
            </w:r>
          </w:p>
        </w:tc>
        <w:tc>
          <w:tcPr>
            <w:tcW w:type="dxa" w:w="2835"/>
            <w:shd w:val="clear" w:fill="F2F6FA"/>
          </w:tcPr>
          <w:p>
            <w:pPr>
              <w:spacing w:before="40" w:after="40"/>
            </w:pPr>
            <w:r>
              <w:rPr>
                <w:rFonts w:ascii="Calibri" w:hAnsi="Calibri"/>
                <w:b w:val="0"/>
                <w:i w:val="0"/>
                <w:color w:val="333333"/>
                <w:sz w:val="17"/>
              </w:rPr>
              <w:t>Plan de déploiement et phasage — Document 4 ; justifie la posture architecturale « réutiliser d'abord » de la section 4</w:t>
            </w:r>
          </w:p>
        </w:tc>
      </w:tr>
    </w:tbl>
    <w:p>
      <w:pPr>
        <w:spacing w:after="40"/>
      </w:pPr>
    </w:p>
    <w:p>
      <w:pPr>
        <w:pStyle w:val="Heading2"/>
        <w:spacing w:before="280" w:after="80"/>
        <w:keepNext/>
      </w:pPr>
      <w:bookmarkStart w:id="106" w:name="_Toc_s005"/>
      <w:r>
        <w:rPr>
          <w:rFonts w:ascii="Calibri" w:hAnsi="Calibri"/>
          <w:b/>
          <w:color w:val="1B3A5C"/>
          <w:sz w:val="24"/>
        </w:rPr>
        <w:t>2.1 Pourquoi l'échéance de septembre est tenable</w:t>
      </w:r>
      <w:bookmarkEnd w:id="106"/>
    </w:p>
    <w:p>
      <w:r>
        <w:rPr>
          <w:rFonts w:ascii="Calibri" w:hAnsi="Calibri"/>
          <w:b w:val="0"/>
          <w:i w:val="0"/>
          <w:color w:val="333333"/>
          <w:sz w:val="20"/>
        </w:rPr>
        <w:t xml:space="preserve">La solution n'est </w:t>
      </w:r>
      <w:r>
        <w:rPr>
          <w:rFonts w:ascii="Calibri" w:hAnsi="Calibri"/>
          <w:b/>
          <w:i w:val="0"/>
          <w:color w:val="333333"/>
          <w:sz w:val="20"/>
        </w:rPr>
        <w:t>pas construite à partir de zéro</w:t>
      </w:r>
      <w:r>
        <w:rPr>
          <w:rFonts w:ascii="Calibri" w:hAnsi="Calibri"/>
          <w:b w:val="0"/>
          <w:i w:val="0"/>
          <w:color w:val="333333"/>
          <w:sz w:val="20"/>
        </w:rPr>
        <w:t>. Il s'agit de la personnalisation d'une plateforme d'agency banking existante et déjà en production (application TPE Android + back-office web Laravel) qui met déjà en œuvre : les agents, les terminaux, l'affectation terminal-agent, les unités d'exploitation, les rôles et habilitations, les clients, les comptes, les cartes avec leur cycle d'émission et de statut, les transactions avec frais et commissions, la journalisation d'activité et d'audit, le SMS, les restitutions avec export Excel, et une couche d'intégration configurable vers les systèmes bancaires centraux.</w:t>
      </w:r>
    </w:p>
    <w:p>
      <w:r>
        <w:rPr>
          <w:rFonts w:ascii="Calibri" w:hAnsi="Calibri"/>
          <w:b w:val="0"/>
          <w:i w:val="0"/>
          <w:color w:val="333333"/>
          <w:sz w:val="20"/>
        </w:rPr>
        <w:t xml:space="preserve">Point déterminant : la plateforme comporte déjà un </w:t>
      </w:r>
      <w:r>
        <w:rPr>
          <w:rFonts w:ascii="Calibri" w:hAnsi="Calibri"/>
          <w:b/>
          <w:i w:val="0"/>
          <w:color w:val="333333"/>
          <w:sz w:val="20"/>
        </w:rPr>
        <w:t>module d'assurance sociale volontaire</w:t>
      </w:r>
      <w:r>
        <w:rPr>
          <w:rFonts w:ascii="Calibri" w:hAnsi="Calibri"/>
          <w:b w:val="0"/>
          <w:i w:val="0"/>
          <w:color w:val="333333"/>
          <w:sz w:val="20"/>
        </w:rPr>
        <w:t xml:space="preserve"> (affiliation d'assurés volontaires CNSS et encaissement de cotisations périodiques) dont le modèle de données est structurellement identique à celui dont SUNU a besoin — un enregistrement d'affiliation portant l'agent, le terminal, le statut, les données d'identité, une charge utile de formulaire JSON souple et les pièces jointes, plus un enregistrement de cotisation portant le montant, la période de référence, la périodicité et un lien vers l'affiliation et la transaction financière. Le triptyque « proposition d'assurance → police → prime » de SUNU a exactement la même forme que « affiliation → adhésion → cotisation ».</w:t>
      </w:r>
    </w:p>
    <w:p>
      <w:r>
        <w:rPr>
          <w:rFonts w:ascii="Calibri" w:hAnsi="Calibri"/>
          <w:b w:val="0"/>
          <w:i w:val="0"/>
          <w:color w:val="333333"/>
          <w:sz w:val="20"/>
        </w:rPr>
        <w:t xml:space="preserve">Le pilote de septembre est donc une </w:t>
      </w:r>
      <w:r>
        <w:rPr>
          <w:rFonts w:ascii="Calibri" w:hAnsi="Calibri"/>
          <w:b/>
          <w:i w:val="0"/>
          <w:color w:val="333333"/>
          <w:sz w:val="20"/>
        </w:rPr>
        <w:t>adaptation métier de code éprouvé</w:t>
      </w:r>
      <w:r>
        <w:rPr>
          <w:rFonts w:ascii="Calibri" w:hAnsi="Calibri"/>
          <w:b w:val="0"/>
          <w:i w:val="0"/>
          <w:color w:val="333333"/>
          <w:sz w:val="20"/>
        </w:rPr>
        <w:t>, et non une construction nouvelle. La section 4 énonce explicitement, composant par composant, ce qui est réutilisé, ce qui est étendu et ce qui est neuf.</w:t>
      </w:r>
    </w:p>
    <w:p>
      <w:pPr>
        <w:pStyle w:val="Heading1"/>
        <w:pageBreakBefore/>
        <w:spacing w:before="360" w:after="80"/>
        <w:keepNext/>
        <w:pBdr>
          <w:bottom w:val="single" w:sz="8" w:space="6" w:color="1B3A5C"/>
        </w:pBdr>
      </w:pPr>
      <w:bookmarkStart w:id="107" w:name="_Toc_s006"/>
      <w:r>
        <w:rPr>
          <w:rFonts w:ascii="Calibri" w:hAnsi="Calibri"/>
          <w:b/>
          <w:color w:val="1B3A5C"/>
          <w:sz w:val="30"/>
        </w:rPr>
        <w:t>3. Architecture globale (niveau 1)</w:t>
      </w:r>
      <w:bookmarkEnd w:id="107"/>
    </w:p>
    <w:p>
      <w:pPr>
        <w:pStyle w:val="Heading2"/>
        <w:spacing w:before="280" w:after="80"/>
        <w:keepNext/>
      </w:pPr>
      <w:bookmarkStart w:id="108" w:name="_Toc_s007"/>
      <w:r>
        <w:rPr>
          <w:rFonts w:ascii="Calibri" w:hAnsi="Calibri"/>
          <w:b/>
          <w:color w:val="1B3A5C"/>
          <w:sz w:val="24"/>
        </w:rPr>
        <w:t>3.1 Vue de contexte</w:t>
      </w:r>
      <w:bookmarkEnd w:id="108"/>
    </w:p>
    <w:p>
      <w:pPr>
        <w:spacing w:before="200" w:after="80"/>
        <w:jc w:val="center"/>
      </w:pPr>
      <w:r>
        <w:drawing>
          <wp:inline xmlns:a="http://schemas.openxmlformats.org/drawingml/2006/main" xmlns:pic="http://schemas.openxmlformats.org/drawingml/2006/picture">
            <wp:extent cx="5903999" cy="4031999"/>
            <wp:docPr id="2" name="Picture 2"/>
            <wp:cNvGraphicFramePr>
              <a:graphicFrameLocks noChangeAspect="1"/>
            </wp:cNvGraphicFramePr>
            <a:graphic>
              <a:graphicData uri="http://schemas.openxmlformats.org/drawingml/2006/picture">
                <pic:pic>
                  <pic:nvPicPr>
                    <pic:cNvPr id="0" name="01-system-context-fr.png"/>
                    <pic:cNvPicPr/>
                  </pic:nvPicPr>
                  <pic:blipFill>
                    <a:blip r:embed="rId12"/>
                    <a:stretch>
                      <a:fillRect/>
                    </a:stretch>
                  </pic:blipFill>
                  <pic:spPr>
                    <a:xfrm>
                      <a:off x="0" y="0"/>
                      <a:ext cx="5903999" cy="4031999"/>
                    </a:xfrm>
                    <a:prstGeom prst="rect"/>
                  </pic:spPr>
                </pic:pic>
              </a:graphicData>
            </a:graphic>
          </wp:inline>
        </w:drawing>
      </w:r>
    </w:p>
    <w:p>
      <w:pPr>
        <w:spacing w:after="240"/>
        <w:ind w:left="113"/>
        <w:jc w:val="left"/>
        <w:pBdr>
          <w:top w:val="single" w:sz="6" w:space="6" w:color="C9D4E0"/>
        </w:pBdr>
      </w:pPr>
      <w:r>
        <w:rPr>
          <w:rFonts w:ascii="Calibri" w:hAnsi="Calibri"/>
          <w:i/>
          <w:color w:val="666666"/>
          <w:sz w:val="17"/>
        </w:rPr>
        <w:t>Figure 1 — Contexte du système. Les liaisons pleines portent l'encaissement terrain ; les liaisons en pointillés sont non bloquantes : une panne sur l'une d'elles arrête ce canal, jamais l'encaissement des primes.</w:t>
      </w:r>
    </w:p>
    <w:p>
      <w:pPr>
        <w:pStyle w:val="Heading2"/>
        <w:spacing w:before="280" w:after="80"/>
        <w:keepNext/>
      </w:pPr>
      <w:bookmarkStart w:id="109" w:name="_Toc_s008"/>
      <w:r>
        <w:rPr>
          <w:rFonts w:ascii="Calibri" w:hAnsi="Calibri"/>
          <w:b/>
          <w:color w:val="1B3A5C"/>
          <w:sz w:val="24"/>
        </w:rPr>
        <w:t>3.2 Principes architecturaux</w:t>
      </w:r>
      <w:bookmarkEnd w:id="109"/>
    </w:p>
    <w:p>
      <w:pPr>
        <w:spacing w:after="40"/>
        <w:ind w:left="312" w:hanging="198"/>
      </w:pPr>
      <w:r>
        <w:rPr>
          <w:rFonts w:ascii="Calibri" w:hAnsi="Calibri"/>
          <w:b/>
          <w:color w:val="2C5F8A"/>
          <w:sz w:val="20"/>
        </w:rPr>
        <w:t xml:space="preserve">1.  </w:t>
      </w:r>
      <w:r>
        <w:rPr>
          <w:rFonts w:ascii="Calibri" w:hAnsi="Calibri"/>
          <w:b/>
          <w:i w:val="0"/>
          <w:color w:val="333333"/>
          <w:sz w:val="20"/>
        </w:rPr>
        <w:t>Le terrain d'abord, tolérant au hors-ligne.</w:t>
      </w:r>
      <w:r>
        <w:rPr>
          <w:rFonts w:ascii="Calibri" w:hAnsi="Calibri"/>
          <w:b w:val="0"/>
          <w:i w:val="0"/>
          <w:color w:val="333333"/>
          <w:sz w:val="20"/>
        </w:rPr>
        <w:t xml:space="preserve"> Un collecteur sur un marché ou dans un village doit pouvoir travailler quand le réseau est mauvais. Toute opération de terrain écrit d'abord localement, produit immédiatement un reçu imprimé, puis se synchronise. Une perte de connectivité ne fait jamais perdre un encaissement.</w:t>
      </w:r>
    </w:p>
    <w:p>
      <w:pPr>
        <w:spacing w:after="40"/>
        <w:ind w:left="312" w:hanging="198"/>
      </w:pPr>
      <w:r>
        <w:rPr>
          <w:rFonts w:ascii="Calibri" w:hAnsi="Calibri"/>
          <w:b/>
          <w:color w:val="2C5F8A"/>
          <w:sz w:val="20"/>
        </w:rPr>
        <w:t xml:space="preserve">2.  </w:t>
      </w:r>
      <w:r>
        <w:rPr>
          <w:rFonts w:ascii="Calibri" w:hAnsi="Calibri"/>
          <w:b/>
          <w:i w:val="0"/>
          <w:color w:val="333333"/>
          <w:sz w:val="20"/>
        </w:rPr>
        <w:t>Le back-office est le référentiel de l'encaissement ; SUNULIFE demeure le référentiel du contrat.</w:t>
      </w:r>
      <w:r>
        <w:rPr>
          <w:rFonts w:ascii="Calibri" w:hAnsi="Calibri"/>
          <w:b w:val="0"/>
          <w:i w:val="0"/>
          <w:color w:val="333333"/>
          <w:sz w:val="20"/>
        </w:rPr>
        <w:t xml:space="preserve"> La solution n'invente jamais une police. Soit elle la reçoit de SUNULIFE (R9), soit elle crée une </w:t>
      </w:r>
      <w:r>
        <w:rPr>
          <w:rFonts w:ascii="Calibri" w:hAnsi="Calibri"/>
          <w:b w:val="0"/>
          <w:i/>
          <w:color w:val="333333"/>
          <w:sz w:val="20"/>
        </w:rPr>
        <w:t>proposition</w:t>
      </w:r>
      <w:r>
        <w:rPr>
          <w:rFonts w:ascii="Calibri" w:hAnsi="Calibri"/>
          <w:b w:val="0"/>
          <w:i w:val="0"/>
          <w:color w:val="333333"/>
          <w:sz w:val="20"/>
        </w:rPr>
        <w:t xml:space="preserve"> qui devient une police une fois confirmée par SUNULIFE. On évite ainsi deux vérités contradictoires sur le contrat d'un client.</w:t>
      </w:r>
    </w:p>
    <w:p>
      <w:pPr>
        <w:spacing w:after="40"/>
        <w:ind w:left="312" w:hanging="198"/>
      </w:pPr>
      <w:r>
        <w:rPr>
          <w:rFonts w:ascii="Calibri" w:hAnsi="Calibri"/>
          <w:b/>
          <w:color w:val="2C5F8A"/>
          <w:sz w:val="20"/>
        </w:rPr>
        <w:t xml:space="preserve">3.  </w:t>
      </w:r>
      <w:r>
        <w:rPr>
          <w:rFonts w:ascii="Calibri" w:hAnsi="Calibri"/>
          <w:b/>
          <w:i w:val="0"/>
          <w:color w:val="333333"/>
          <w:sz w:val="20"/>
        </w:rPr>
        <w:t>Une colonne vertébrale financière unique.</w:t>
      </w:r>
      <w:r>
        <w:rPr>
          <w:rFonts w:ascii="Calibri" w:hAnsi="Calibri"/>
          <w:b w:val="0"/>
          <w:i w:val="0"/>
          <w:color w:val="333333"/>
          <w:sz w:val="20"/>
        </w:rPr>
        <w:t xml:space="preserve"> Les encaissements en espèces, par Mobile Money et identifiés par carte produisent tous le même enregistrement de </w:t>
      </w:r>
      <w:r>
        <w:rPr>
          <w:rFonts w:ascii="Consolas" w:hAnsi="Consolas"/>
          <w:b w:val="0"/>
          <w:i w:val="0"/>
          <w:color w:val="1B3A5C"/>
          <w:sz w:val="19"/>
        </w:rPr>
        <w:t>transaction</w:t>
      </w:r>
      <w:r>
        <w:rPr>
          <w:rFonts w:ascii="Calibri" w:hAnsi="Calibri"/>
          <w:b w:val="0"/>
          <w:i w:val="0"/>
          <w:color w:val="333333"/>
          <w:sz w:val="20"/>
        </w:rPr>
        <w:t>, ne différant que par l'instrument de paiement. Les restitutions, les plafonds, les commissions et la remontée vers SUNULIFE n'ont ainsi qu'un seul chemin de code.</w:t>
      </w:r>
    </w:p>
    <w:p>
      <w:pPr>
        <w:spacing w:after="40"/>
        <w:ind w:left="312" w:hanging="198"/>
      </w:pPr>
      <w:r>
        <w:rPr>
          <w:rFonts w:ascii="Calibri" w:hAnsi="Calibri"/>
          <w:b/>
          <w:color w:val="2C5F8A"/>
          <w:sz w:val="20"/>
        </w:rPr>
        <w:t xml:space="preserve">4.  </w:t>
      </w:r>
      <w:r>
        <w:rPr>
          <w:rFonts w:ascii="Calibri" w:hAnsi="Calibri"/>
          <w:b/>
          <w:i w:val="0"/>
          <w:color w:val="333333"/>
          <w:sz w:val="20"/>
        </w:rPr>
        <w:t>L'intégration derrière des adaptateurs.</w:t>
      </w:r>
      <w:r>
        <w:rPr>
          <w:rFonts w:ascii="Calibri" w:hAnsi="Calibri"/>
          <w:b w:val="0"/>
          <w:i w:val="0"/>
          <w:color w:val="333333"/>
          <w:sz w:val="20"/>
        </w:rPr>
        <w:t xml:space="preserve"> SUNULIFE, chaque opérateur Mobile Money et la passerelle SMS se placent derrière une interface interne. Changer d'opérateur, ou voir SUNULIFE modifier son API, relève de la configuration et de l'adaptateur, non d'une refonte. La plateforme applique déjà ce schéma pour les systèmes bancaires centraux (pilote configurable + identifiants par institution + mapping des champs) ; SUNULIFE le réutilise.</w:t>
      </w:r>
    </w:p>
    <w:p>
      <w:pPr>
        <w:spacing w:after="40"/>
        <w:ind w:left="312" w:hanging="198"/>
      </w:pPr>
      <w:r>
        <w:rPr>
          <w:rFonts w:ascii="Calibri" w:hAnsi="Calibri"/>
          <w:b/>
          <w:color w:val="2C5F8A"/>
          <w:sz w:val="20"/>
        </w:rPr>
        <w:t xml:space="preserve">5.  </w:t>
      </w:r>
      <w:r>
        <w:rPr>
          <w:rFonts w:ascii="Calibri" w:hAnsi="Calibri"/>
          <w:b/>
          <w:i w:val="0"/>
          <w:color w:val="333333"/>
          <w:sz w:val="20"/>
        </w:rPr>
        <w:t>Tout est imputable.</w:t>
      </w:r>
      <w:r>
        <w:rPr>
          <w:rFonts w:ascii="Calibri" w:hAnsi="Calibri"/>
          <w:b w:val="0"/>
          <w:i w:val="0"/>
          <w:color w:val="333333"/>
          <w:sz w:val="20"/>
        </w:rPr>
        <w:t xml:space="preserve"> Chaque souscription, encaissement, versement et émission de carte porte l'agent, le terminal, l'horodatage et — lorsque l'appareil le permet — les coordonnées GPS. C'est à la fois une exigence du TdR et le socle de la maîtrise de la fraude.</w:t>
      </w:r>
    </w:p>
    <w:p>
      <w:pPr>
        <w:spacing w:after="40"/>
        <w:ind w:left="312" w:hanging="198"/>
      </w:pPr>
      <w:r>
        <w:rPr>
          <w:rFonts w:ascii="Calibri" w:hAnsi="Calibri"/>
          <w:b/>
          <w:color w:val="2C5F8A"/>
          <w:sz w:val="20"/>
        </w:rPr>
        <w:t xml:space="preserve">6.  </w:t>
      </w:r>
      <w:r>
        <w:rPr>
          <w:rFonts w:ascii="Calibri" w:hAnsi="Calibri"/>
          <w:b/>
          <w:i w:val="0"/>
          <w:color w:val="333333"/>
          <w:sz w:val="20"/>
        </w:rPr>
        <w:t>Dégrader, pas arrêter.</w:t>
      </w:r>
      <w:r>
        <w:rPr>
          <w:rFonts w:ascii="Calibri" w:hAnsi="Calibri"/>
          <w:b w:val="0"/>
          <w:i w:val="0"/>
          <w:color w:val="333333"/>
          <w:sz w:val="20"/>
        </w:rPr>
        <w:t xml:space="preserve"> Si SUNULIFE est injoignable, l'encaissement continue et l'export Excel du Besoin 2 du TdR reste disponible. Si le Mobile Money est en panne, l'encaissement en espèces continue. Aucune dépendance externe ne peut interrompre la collecte des primes.</w:t>
      </w:r>
    </w:p>
    <w:p>
      <w:pPr>
        <w:pStyle w:val="Heading2"/>
        <w:spacing w:before="280" w:after="80"/>
        <w:keepNext/>
      </w:pPr>
      <w:bookmarkStart w:id="110" w:name="_Toc_s009"/>
      <w:r>
        <w:rPr>
          <w:rFonts w:ascii="Calibri" w:hAnsi="Calibri"/>
          <w:b/>
          <w:color w:val="1B3A5C"/>
          <w:sz w:val="24"/>
        </w:rPr>
        <w:t>3.3 Socle technologique</w:t>
      </w:r>
      <w:bookmarkEnd w:id="11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Couche</w:t>
            </w:r>
          </w:p>
        </w:tc>
        <w:tc>
          <w:tcPr>
            <w:tcW w:type="dxa" w:w="3249"/>
            <w:shd w:val="clear" w:fill="1B3A5C"/>
          </w:tcPr>
          <w:p>
            <w:pPr>
              <w:spacing w:before="60" w:after="60"/>
            </w:pPr>
            <w:r>
              <w:rPr>
                <w:rFonts w:ascii="Calibri" w:hAnsi="Calibri"/>
                <w:b/>
                <w:color w:val="FFFFFF"/>
                <w:sz w:val="17"/>
              </w:rPr>
              <w:t>Technologie</w:t>
            </w:r>
          </w:p>
        </w:tc>
        <w:tc>
          <w:tcPr>
            <w:tcW w:type="dxa" w:w="3249"/>
            <w:shd w:val="clear" w:fill="1B3A5C"/>
          </w:tcPr>
          <w:p>
            <w:pPr>
              <w:spacing w:before="60" w:after="60"/>
            </w:pPr>
            <w:r>
              <w:rPr>
                <w:rFonts w:ascii="Calibri" w:hAnsi="Calibri"/>
                <w:b/>
                <w:color w:val="FFFFFF"/>
                <w:sz w:val="17"/>
              </w:rPr>
              <w:t>Justification</w:t>
            </w:r>
          </w:p>
        </w:tc>
      </w:tr>
      <w:tr>
        <w:tc>
          <w:tcPr>
            <w:tcW w:type="dxa" w:w="3249"/>
          </w:tcPr>
          <w:p>
            <w:pPr>
              <w:spacing w:before="40" w:after="40"/>
            </w:pPr>
            <w:r>
              <w:rPr>
                <w:rFonts w:ascii="Calibri" w:hAnsi="Calibri"/>
                <w:b w:val="0"/>
                <w:i w:val="0"/>
                <w:color w:val="333333"/>
                <w:sz w:val="17"/>
              </w:rPr>
              <w:t>Application TPE</w:t>
            </w:r>
          </w:p>
        </w:tc>
        <w:tc>
          <w:tcPr>
            <w:tcW w:type="dxa" w:w="3249"/>
          </w:tcPr>
          <w:p>
            <w:pPr>
              <w:spacing w:before="40" w:after="40"/>
            </w:pPr>
            <w:r>
              <w:rPr>
                <w:rFonts w:ascii="Calibri" w:hAnsi="Calibri"/>
                <w:b w:val="0"/>
                <w:i w:val="0"/>
                <w:color w:val="333333"/>
                <w:sz w:val="17"/>
              </w:rPr>
              <w:t>Android (Java), SDK min. 21 ; terminal pilote Telpo F20 (matériel Telpo / Feitian)</w:t>
            </w:r>
          </w:p>
        </w:tc>
        <w:tc>
          <w:tcPr>
            <w:tcW w:type="dxa" w:w="3249"/>
          </w:tcPr>
          <w:p>
            <w:pPr>
              <w:spacing w:before="40" w:after="40"/>
            </w:pPr>
            <w:r>
              <w:rPr>
                <w:rFonts w:ascii="Calibri" w:hAnsi="Calibri"/>
                <w:b w:val="0"/>
                <w:i w:val="0"/>
                <w:color w:val="333333"/>
                <w:sz w:val="17"/>
              </w:rPr>
              <w:t>Correspond aux terminaux du TdR ; base de code déjà en production ; accès natif au lecteur NFC, à l'imprimante thermique, à l'appareil photo et au GPS</w:t>
            </w:r>
          </w:p>
        </w:tc>
      </w:tr>
      <w:tr>
        <w:tc>
          <w:tcPr>
            <w:tcW w:type="dxa" w:w="3249"/>
            <w:shd w:val="clear" w:fill="F2F6FA"/>
          </w:tcPr>
          <w:p>
            <w:pPr>
              <w:spacing w:before="40" w:after="40"/>
            </w:pPr>
            <w:r>
              <w:rPr>
                <w:rFonts w:ascii="Calibri" w:hAnsi="Calibri"/>
                <w:b w:val="0"/>
                <w:i w:val="0"/>
                <w:color w:val="333333"/>
                <w:sz w:val="17"/>
              </w:rPr>
              <w:t>Stockage local TPE</w:t>
            </w:r>
          </w:p>
        </w:tc>
        <w:tc>
          <w:tcPr>
            <w:tcW w:type="dxa" w:w="3249"/>
            <w:shd w:val="clear" w:fill="F2F6FA"/>
          </w:tcPr>
          <w:p>
            <w:pPr>
              <w:spacing w:before="40" w:after="40"/>
            </w:pPr>
            <w:r>
              <w:rPr>
                <w:rFonts w:ascii="Calibri" w:hAnsi="Calibri"/>
                <w:b w:val="0"/>
                <w:i w:val="0"/>
                <w:color w:val="333333"/>
                <w:sz w:val="17"/>
              </w:rPr>
              <w:t>SQLite</w:t>
            </w:r>
          </w:p>
        </w:tc>
        <w:tc>
          <w:tcPr>
            <w:tcW w:type="dxa" w:w="3249"/>
            <w:shd w:val="clear" w:fill="F2F6FA"/>
          </w:tcPr>
          <w:p>
            <w:pPr>
              <w:spacing w:before="40" w:after="40"/>
            </w:pPr>
            <w:r>
              <w:rPr>
                <w:rFonts w:ascii="Calibri" w:hAnsi="Calibri"/>
                <w:b w:val="0"/>
                <w:i w:val="0"/>
                <w:color w:val="333333"/>
                <w:sz w:val="17"/>
              </w:rPr>
              <w:t>File hors ligne et caches locaux</w:t>
            </w:r>
          </w:p>
        </w:tc>
      </w:tr>
      <w:tr>
        <w:tc>
          <w:tcPr>
            <w:tcW w:type="dxa" w:w="3249"/>
          </w:tcPr>
          <w:p>
            <w:pPr>
              <w:spacing w:before="40" w:after="40"/>
            </w:pPr>
            <w:r>
              <w:rPr>
                <w:rFonts w:ascii="Calibri" w:hAnsi="Calibri"/>
                <w:b w:val="0"/>
                <w:i w:val="0"/>
                <w:color w:val="333333"/>
                <w:sz w:val="17"/>
              </w:rPr>
              <w:t>Application back-office</w:t>
            </w:r>
          </w:p>
        </w:tc>
        <w:tc>
          <w:tcPr>
            <w:tcW w:type="dxa" w:w="3249"/>
          </w:tcPr>
          <w:p>
            <w:pPr>
              <w:spacing w:before="40" w:after="40"/>
            </w:pPr>
            <w:r>
              <w:rPr>
                <w:rFonts w:ascii="Calibri" w:hAnsi="Calibri"/>
                <w:b w:val="0"/>
                <w:i w:val="0"/>
                <w:color w:val="333333"/>
                <w:sz w:val="17"/>
              </w:rPr>
              <w:t>PHP 8 / Laravel 9, interface Blade</w:t>
            </w:r>
          </w:p>
        </w:tc>
        <w:tc>
          <w:tcPr>
            <w:tcW w:type="dxa" w:w="3249"/>
          </w:tcPr>
          <w:p>
            <w:pPr>
              <w:spacing w:before="40" w:after="40"/>
            </w:pPr>
            <w:r>
              <w:rPr>
                <w:rFonts w:ascii="Calibri" w:hAnsi="Calibri"/>
                <w:b w:val="0"/>
                <w:i w:val="0"/>
                <w:color w:val="333333"/>
                <w:sz w:val="17"/>
              </w:rPr>
              <w:t>Base de code déjà en production ; personnalisation rapide ; large vivier de maintenance dans la région</w:t>
            </w:r>
          </w:p>
        </w:tc>
      </w:tr>
      <w:tr>
        <w:tc>
          <w:tcPr>
            <w:tcW w:type="dxa" w:w="3249"/>
            <w:shd w:val="clear" w:fill="F2F6FA"/>
          </w:tcPr>
          <w:p>
            <w:pPr>
              <w:spacing w:before="40" w:after="40"/>
            </w:pPr>
            <w:r>
              <w:rPr>
                <w:rFonts w:ascii="Calibri" w:hAnsi="Calibri"/>
                <w:b w:val="0"/>
                <w:i w:val="0"/>
                <w:color w:val="333333"/>
                <w:sz w:val="17"/>
              </w:rPr>
              <w:t>Base de données</w:t>
            </w:r>
          </w:p>
        </w:tc>
        <w:tc>
          <w:tcPr>
            <w:tcW w:type="dxa" w:w="3249"/>
            <w:shd w:val="clear" w:fill="F2F6FA"/>
          </w:tcPr>
          <w:p>
            <w:pPr>
              <w:spacing w:before="40" w:after="40"/>
            </w:pPr>
            <w:r>
              <w:rPr>
                <w:rFonts w:ascii="Calibri" w:hAnsi="Calibri"/>
                <w:b w:val="0"/>
                <w:i w:val="0"/>
                <w:color w:val="333333"/>
                <w:sz w:val="17"/>
              </w:rPr>
              <w:t>MySQL 8 (InnoDB)</w:t>
            </w:r>
          </w:p>
        </w:tc>
        <w:tc>
          <w:tcPr>
            <w:tcW w:type="dxa" w:w="3249"/>
            <w:shd w:val="clear" w:fill="F2F6FA"/>
          </w:tcPr>
          <w:p>
            <w:pPr>
              <w:spacing w:before="40" w:after="40"/>
            </w:pPr>
            <w:r>
              <w:rPr>
                <w:rFonts w:ascii="Calibri" w:hAnsi="Calibri"/>
                <w:b w:val="0"/>
                <w:i w:val="0"/>
                <w:color w:val="333333"/>
                <w:sz w:val="17"/>
              </w:rPr>
              <w:t>Intégrité transactionnelle, éprouvée à cette échelle</w:t>
            </w:r>
          </w:p>
        </w:tc>
      </w:tr>
      <w:tr>
        <w:tc>
          <w:tcPr>
            <w:tcW w:type="dxa" w:w="3249"/>
          </w:tcPr>
          <w:p>
            <w:pPr>
              <w:spacing w:before="40" w:after="40"/>
            </w:pPr>
            <w:r>
              <w:rPr>
                <w:rFonts w:ascii="Calibri" w:hAnsi="Calibri"/>
                <w:b w:val="0"/>
                <w:i w:val="0"/>
                <w:color w:val="333333"/>
                <w:sz w:val="17"/>
              </w:rPr>
              <w:t>Style d'API</w:t>
            </w:r>
          </w:p>
        </w:tc>
        <w:tc>
          <w:tcPr>
            <w:tcW w:type="dxa" w:w="3249"/>
          </w:tcPr>
          <w:p>
            <w:pPr>
              <w:spacing w:before="40" w:after="40"/>
            </w:pPr>
            <w:r>
              <w:rPr>
                <w:rFonts w:ascii="Calibri" w:hAnsi="Calibri"/>
                <w:b w:val="0"/>
                <w:i w:val="0"/>
                <w:color w:val="333333"/>
                <w:sz w:val="17"/>
              </w:rPr>
              <w:t>REST / JSON sur HTTPS</w:t>
            </w:r>
          </w:p>
        </w:tc>
        <w:tc>
          <w:tcPr>
            <w:tcW w:type="dxa" w:w="3249"/>
          </w:tcPr>
          <w:p>
            <w:pPr>
              <w:spacing w:before="40" w:after="40"/>
            </w:pPr>
            <w:r>
              <w:rPr>
                <w:rFonts w:ascii="Calibri" w:hAnsi="Calibri"/>
                <w:b w:val="0"/>
                <w:i w:val="0"/>
                <w:color w:val="333333"/>
                <w:sz w:val="17"/>
              </w:rPr>
              <w:t>Simplicité, facilité de diagnostic, adaptée au TPE</w:t>
            </w:r>
          </w:p>
        </w:tc>
      </w:tr>
      <w:tr>
        <w:tc>
          <w:tcPr>
            <w:tcW w:type="dxa" w:w="3249"/>
            <w:shd w:val="clear" w:fill="F2F6FA"/>
          </w:tcPr>
          <w:p>
            <w:pPr>
              <w:spacing w:before="40" w:after="40"/>
            </w:pPr>
            <w:r>
              <w:rPr>
                <w:rFonts w:ascii="Calibri" w:hAnsi="Calibri"/>
                <w:b w:val="0"/>
                <w:i w:val="0"/>
                <w:color w:val="333333"/>
                <w:sz w:val="17"/>
              </w:rPr>
              <w:t>Traitements asynchrones</w:t>
            </w:r>
          </w:p>
        </w:tc>
        <w:tc>
          <w:tcPr>
            <w:tcW w:type="dxa" w:w="3249"/>
            <w:shd w:val="clear" w:fill="F2F6FA"/>
          </w:tcPr>
          <w:p>
            <w:pPr>
              <w:spacing w:before="40" w:after="40"/>
            </w:pPr>
            <w:r>
              <w:rPr>
                <w:rFonts w:ascii="Calibri" w:hAnsi="Calibri"/>
                <w:b w:val="0"/>
                <w:i w:val="0"/>
                <w:color w:val="333333"/>
                <w:sz w:val="17"/>
              </w:rPr>
              <w:t>Files Laravel (pilote base de données, Redis en option)</w:t>
            </w:r>
          </w:p>
        </w:tc>
        <w:tc>
          <w:tcPr>
            <w:tcW w:type="dxa" w:w="3249"/>
            <w:shd w:val="clear" w:fill="F2F6FA"/>
          </w:tcPr>
          <w:p>
            <w:pPr>
              <w:spacing w:before="40" w:after="40"/>
            </w:pPr>
            <w:r>
              <w:rPr>
                <w:rFonts w:ascii="Calibri" w:hAnsi="Calibri"/>
                <w:b w:val="0"/>
                <w:i w:val="0"/>
                <w:color w:val="333333"/>
                <w:sz w:val="17"/>
              </w:rPr>
              <w:t>Synchronisation SUNULIFE, SMS, exports et traitement d'images hors du chemin de requête</w:t>
            </w:r>
          </w:p>
        </w:tc>
      </w:tr>
      <w:tr>
        <w:tc>
          <w:tcPr>
            <w:tcW w:type="dxa" w:w="3249"/>
          </w:tcPr>
          <w:p>
            <w:pPr>
              <w:spacing w:before="40" w:after="40"/>
            </w:pPr>
            <w:r>
              <w:rPr>
                <w:rFonts w:ascii="Calibri" w:hAnsi="Calibri"/>
                <w:b w:val="0"/>
                <w:i w:val="0"/>
                <w:color w:val="333333"/>
                <w:sz w:val="17"/>
              </w:rPr>
              <w:t>Restitutions/export</w:t>
            </w:r>
          </w:p>
        </w:tc>
        <w:tc>
          <w:tcPr>
            <w:tcW w:type="dxa" w:w="3249"/>
          </w:tcPr>
          <w:p>
            <w:pPr>
              <w:spacing w:before="40" w:after="40"/>
            </w:pPr>
            <w:r>
              <w:rPr>
                <w:rFonts w:ascii="Calibri" w:hAnsi="Calibri"/>
                <w:b w:val="0"/>
                <w:i w:val="0"/>
                <w:color w:val="333333"/>
                <w:sz w:val="17"/>
              </w:rPr>
              <w:t>Génération serveur en XLSX/CSV</w:t>
            </w:r>
          </w:p>
        </w:tc>
        <w:tc>
          <w:tcPr>
            <w:tcW w:type="dxa" w:w="3249"/>
          </w:tcPr>
          <w:p>
            <w:pPr>
              <w:spacing w:before="40" w:after="40"/>
            </w:pPr>
            <w:r>
              <w:rPr>
                <w:rFonts w:ascii="Calibri" w:hAnsi="Calibri"/>
                <w:b w:val="0"/>
                <w:i w:val="0"/>
                <w:color w:val="333333"/>
                <w:sz w:val="17"/>
              </w:rPr>
              <w:t>Le Besoin 2 du TdR exige explicitement Excel</w:t>
            </w:r>
          </w:p>
        </w:tc>
      </w:tr>
      <w:tr>
        <w:tc>
          <w:tcPr>
            <w:tcW w:type="dxa" w:w="3249"/>
            <w:shd w:val="clear" w:fill="F2F6FA"/>
          </w:tcPr>
          <w:p>
            <w:pPr>
              <w:spacing w:before="40" w:after="40"/>
            </w:pPr>
            <w:r>
              <w:rPr>
                <w:rFonts w:ascii="Calibri" w:hAnsi="Calibri"/>
                <w:b w:val="0"/>
                <w:i w:val="0"/>
                <w:color w:val="333333"/>
                <w:sz w:val="17"/>
              </w:rPr>
              <w:t>Carte</w:t>
            </w:r>
          </w:p>
        </w:tc>
        <w:tc>
          <w:tcPr>
            <w:tcW w:type="dxa" w:w="3249"/>
            <w:shd w:val="clear" w:fill="F2F6FA"/>
          </w:tcPr>
          <w:p>
            <w:pPr>
              <w:spacing w:before="40" w:after="40"/>
            </w:pPr>
            <w:r>
              <w:rPr>
                <w:rFonts w:ascii="Calibri" w:hAnsi="Calibri"/>
                <w:b w:val="0"/>
                <w:i w:val="0"/>
                <w:color w:val="333333"/>
                <w:sz w:val="17"/>
              </w:rPr>
              <w:t>Carte sans contact/NFC, et personnalisation à piste magnétique telle que spécifiée par le TdR</w:t>
            </w:r>
          </w:p>
        </w:tc>
        <w:tc>
          <w:tcPr>
            <w:tcW w:type="dxa" w:w="3249"/>
            <w:shd w:val="clear" w:fill="F2F6FA"/>
          </w:tcPr>
          <w:p>
            <w:pPr>
              <w:spacing w:before="40" w:after="40"/>
            </w:pPr>
            <w:r>
              <w:rPr>
                <w:rFonts w:ascii="Calibri" w:hAnsi="Calibri"/>
                <w:b w:val="0"/>
                <w:i w:val="0"/>
                <w:color w:val="333333"/>
                <w:sz w:val="17"/>
              </w:rPr>
              <w:t>Section 7</w:t>
            </w:r>
          </w:p>
        </w:tc>
      </w:tr>
      <w:tr>
        <w:tc>
          <w:tcPr>
            <w:tcW w:type="dxa" w:w="3249"/>
          </w:tcPr>
          <w:p>
            <w:pPr>
              <w:spacing w:before="40" w:after="40"/>
            </w:pPr>
            <w:r>
              <w:rPr>
                <w:rFonts w:ascii="Calibri" w:hAnsi="Calibri"/>
                <w:b w:val="0"/>
                <w:i w:val="0"/>
                <w:color w:val="333333"/>
                <w:sz w:val="17"/>
              </w:rPr>
              <w:t>Carte virtuelle</w:t>
            </w:r>
          </w:p>
        </w:tc>
        <w:tc>
          <w:tcPr>
            <w:tcW w:type="dxa" w:w="3249"/>
          </w:tcPr>
          <w:p>
            <w:pPr>
              <w:spacing w:before="40" w:after="40"/>
            </w:pPr>
            <w:r>
              <w:rPr>
                <w:rFonts w:ascii="Calibri" w:hAnsi="Calibri"/>
                <w:b w:val="0"/>
                <w:i w:val="0"/>
                <w:color w:val="333333"/>
                <w:sz w:val="17"/>
              </w:rPr>
              <w:t>Justificatif QR signé (JWS/HMAC)</w:t>
            </w:r>
          </w:p>
        </w:tc>
        <w:tc>
          <w:tcPr>
            <w:tcW w:type="dxa" w:w="3249"/>
          </w:tcPr>
          <w:p>
            <w:pPr>
              <w:spacing w:before="40" w:after="40"/>
            </w:pPr>
            <w:r>
              <w:rPr>
                <w:rFonts w:ascii="Calibri" w:hAnsi="Calibri"/>
                <w:b w:val="0"/>
                <w:i w:val="0"/>
                <w:color w:val="333333"/>
                <w:sz w:val="17"/>
              </w:rPr>
              <w:t>Section 7.3</w:t>
            </w:r>
          </w:p>
        </w:tc>
      </w:tr>
      <w:tr>
        <w:tc>
          <w:tcPr>
            <w:tcW w:type="dxa" w:w="3249"/>
            <w:shd w:val="clear" w:fill="F2F6FA"/>
          </w:tcPr>
          <w:p>
            <w:pPr>
              <w:spacing w:before="40" w:after="40"/>
            </w:pPr>
            <w:r>
              <w:rPr>
                <w:rFonts w:ascii="Calibri" w:hAnsi="Calibri"/>
                <w:b w:val="0"/>
                <w:i w:val="0"/>
                <w:color w:val="333333"/>
                <w:sz w:val="17"/>
              </w:rPr>
              <w:t>Hébergement</w:t>
            </w:r>
          </w:p>
        </w:tc>
        <w:tc>
          <w:tcPr>
            <w:tcW w:type="dxa" w:w="3249"/>
            <w:shd w:val="clear" w:fill="F2F6FA"/>
          </w:tcPr>
          <w:p>
            <w:pPr>
              <w:spacing w:before="40" w:after="40"/>
            </w:pPr>
            <w:r>
              <w:rPr>
                <w:rFonts w:ascii="Calibri" w:hAnsi="Calibri"/>
                <w:b w:val="0"/>
                <w:i w:val="0"/>
                <w:color w:val="333333"/>
                <w:sz w:val="17"/>
              </w:rPr>
              <w:t>VPS/VM Linux. Pilote : Apache HTTP Server + PHP. Cible production : Nginx + PHP-FPM derrière TLS</w:t>
            </w:r>
          </w:p>
        </w:tc>
        <w:tc>
          <w:tcPr>
            <w:tcW w:type="dxa" w:w="3249"/>
            <w:shd w:val="clear" w:fill="F2F6FA"/>
          </w:tcPr>
          <w:p>
            <w:pPr>
              <w:spacing w:before="40" w:after="40"/>
            </w:pPr>
            <w:r>
              <w:rPr>
                <w:rFonts w:ascii="Calibri" w:hAnsi="Calibri"/>
                <w:b w:val="0"/>
                <w:i w:val="0"/>
                <w:color w:val="333333"/>
                <w:sz w:val="17"/>
              </w:rPr>
              <w:t>Sections 10 et 14</w:t>
            </w:r>
          </w:p>
        </w:tc>
      </w:tr>
    </w:tbl>
    <w:p>
      <w:pPr>
        <w:spacing w:after="40"/>
      </w:pPr>
    </w:p>
    <w:p>
      <w:pPr>
        <w:pStyle w:val="Heading1"/>
        <w:pageBreakBefore/>
        <w:spacing w:before="360" w:after="80"/>
        <w:keepNext/>
        <w:pBdr>
          <w:bottom w:val="single" w:sz="8" w:space="6" w:color="1B3A5C"/>
        </w:pBdr>
      </w:pPr>
      <w:bookmarkStart w:id="111" w:name="_Toc_s010"/>
      <w:r>
        <w:rPr>
          <w:rFonts w:ascii="Calibri" w:hAnsi="Calibri"/>
          <w:b/>
          <w:color w:val="1B3A5C"/>
          <w:sz w:val="30"/>
        </w:rPr>
        <w:t>4. Architecture des composants (niveau 2) — réutiliser, étendre, construire</w:t>
      </w:r>
      <w:bookmarkEnd w:id="111"/>
    </w:p>
    <w:p>
      <w:r>
        <w:rPr>
          <w:rFonts w:ascii="Calibri" w:hAnsi="Calibri"/>
          <w:b w:val="0"/>
          <w:i w:val="0"/>
          <w:color w:val="333333"/>
          <w:sz w:val="20"/>
        </w:rPr>
        <w:t>C'est le cœur du plan de réalisation : il énonce honnêtement, composant par composant, ce qui existe déjà.</w:t>
      </w:r>
    </w:p>
    <w:p>
      <w:pPr>
        <w:spacing w:before="200" w:after="80"/>
        <w:jc w:val="center"/>
      </w:pPr>
      <w:r>
        <w:drawing>
          <wp:inline xmlns:a="http://schemas.openxmlformats.org/drawingml/2006/main" xmlns:pic="http://schemas.openxmlformats.org/drawingml/2006/picture">
            <wp:extent cx="5903999" cy="4708799"/>
            <wp:docPr id="3" name="Picture 3"/>
            <wp:cNvGraphicFramePr>
              <a:graphicFrameLocks noChangeAspect="1"/>
            </wp:cNvGraphicFramePr>
            <a:graphic>
              <a:graphicData uri="http://schemas.openxmlformats.org/drawingml/2006/picture">
                <pic:pic>
                  <pic:nvPicPr>
                    <pic:cNvPr id="0" name="02-component-map-fr.png"/>
                    <pic:cNvPicPr/>
                  </pic:nvPicPr>
                  <pic:blipFill>
                    <a:blip r:embed="rId13"/>
                    <a:stretch>
                      <a:fillRect/>
                    </a:stretch>
                  </pic:blipFill>
                  <pic:spPr>
                    <a:xfrm>
                      <a:off x="0" y="0"/>
                      <a:ext cx="5903999" cy="4708799"/>
                    </a:xfrm>
                    <a:prstGeom prst="rect"/>
                  </pic:spPr>
                </pic:pic>
              </a:graphicData>
            </a:graphic>
          </wp:inline>
        </w:drawing>
      </w:r>
    </w:p>
    <w:p>
      <w:pPr>
        <w:spacing w:after="240"/>
        <w:ind w:left="113"/>
        <w:jc w:val="left"/>
        <w:pBdr>
          <w:top w:val="single" w:sz="6" w:space="6" w:color="C9D4E0"/>
        </w:pBdr>
      </w:pPr>
      <w:r>
        <w:rPr>
          <w:rFonts w:ascii="Calibri" w:hAnsi="Calibri"/>
          <w:i/>
          <w:color w:val="666666"/>
          <w:sz w:val="17"/>
        </w:rPr>
        <w:t>Figure 2 — Cartographie des composants. Le turquoise est réutilisé sans modification, l'ambre est étendu, le rouille est du développement neuf. Le neuf représente 9 composants sur 33.</w:t>
      </w:r>
    </w:p>
    <w:p>
      <w:r>
        <w:rPr>
          <w:rFonts w:ascii="Calibri" w:hAnsi="Calibri"/>
          <w:b w:val="0"/>
          <w:i w:val="0"/>
          <w:color w:val="333333"/>
          <w:sz w:val="20"/>
        </w:rPr>
        <w:t xml:space="preserve">Légende : </w:t>
      </w:r>
      <w:r>
        <w:rPr>
          <w:rFonts w:ascii="Calibri" w:hAnsi="Calibri"/>
          <w:b/>
          <w:i w:val="0"/>
          <w:color w:val="333333"/>
          <w:sz w:val="20"/>
        </w:rPr>
        <w:t>[R]</w:t>
      </w:r>
      <w:r>
        <w:rPr>
          <w:rFonts w:ascii="Calibri" w:hAnsi="Calibri"/>
          <w:b w:val="0"/>
          <w:i w:val="0"/>
          <w:color w:val="333333"/>
          <w:sz w:val="20"/>
        </w:rPr>
        <w:t xml:space="preserve"> réutilisé tel quel · </w:t>
      </w:r>
      <w:r>
        <w:rPr>
          <w:rFonts w:ascii="Calibri" w:hAnsi="Calibri"/>
          <w:b/>
          <w:i w:val="0"/>
          <w:color w:val="333333"/>
          <w:sz w:val="20"/>
        </w:rPr>
        <w:t>[E]</w:t>
      </w:r>
      <w:r>
        <w:rPr>
          <w:rFonts w:ascii="Calibri" w:hAnsi="Calibri"/>
          <w:b w:val="0"/>
          <w:i w:val="0"/>
          <w:color w:val="333333"/>
          <w:sz w:val="20"/>
        </w:rPr>
        <w:t xml:space="preserve"> composant existant étendu · </w:t>
      </w:r>
      <w:r>
        <w:rPr>
          <w:rFonts w:ascii="Calibri" w:hAnsi="Calibri"/>
          <w:b/>
          <w:i w:val="0"/>
          <w:color w:val="333333"/>
          <w:sz w:val="20"/>
        </w:rPr>
        <w:t>[N]</w:t>
      </w:r>
      <w:r>
        <w:rPr>
          <w:rFonts w:ascii="Calibri" w:hAnsi="Calibri"/>
          <w:b w:val="0"/>
          <w:i w:val="0"/>
          <w:color w:val="333333"/>
          <w:sz w:val="20"/>
        </w:rPr>
        <w:t xml:space="preserve"> développement neuf</w:t>
      </w:r>
    </w:p>
    <w:p>
      <w:pPr>
        <w:pStyle w:val="Heading2"/>
        <w:spacing w:before="280" w:after="80"/>
        <w:keepNext/>
      </w:pPr>
      <w:bookmarkStart w:id="112" w:name="_Toc_s011"/>
      <w:r>
        <w:rPr>
          <w:rFonts w:ascii="Calibri" w:hAnsi="Calibri"/>
          <w:b/>
          <w:color w:val="1B3A5C"/>
          <w:sz w:val="24"/>
        </w:rPr>
        <w:t>4.1 Plateforme back-office</w:t>
      </w:r>
      <w:bookmarkEnd w:id="11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907"/>
            <w:shd w:val="clear" w:fill="1B3A5C"/>
          </w:tcPr>
          <w:p>
            <w:pPr>
              <w:spacing w:before="60" w:after="60"/>
            </w:pPr>
            <w:r>
              <w:rPr>
                <w:rFonts w:ascii="Calibri" w:hAnsi="Calibri"/>
                <w:b/>
                <w:color w:val="FFFFFF"/>
                <w:sz w:val="17"/>
              </w:rPr>
              <w:t>#</w:t>
            </w:r>
          </w:p>
        </w:tc>
        <w:tc>
          <w:tcPr>
            <w:tcW w:type="dxa" w:w="2835"/>
            <w:shd w:val="clear" w:fill="1B3A5C"/>
          </w:tcPr>
          <w:p>
            <w:pPr>
              <w:spacing w:before="60" w:after="60"/>
            </w:pPr>
            <w:r>
              <w:rPr>
                <w:rFonts w:ascii="Calibri" w:hAnsi="Calibri"/>
                <w:b/>
                <w:color w:val="FFFFFF"/>
                <w:sz w:val="17"/>
              </w:rPr>
              <w:t>Composant</w:t>
            </w:r>
          </w:p>
        </w:tc>
        <w:tc>
          <w:tcPr>
            <w:tcW w:type="dxa" w:w="2835"/>
            <w:shd w:val="clear" w:fill="1B3A5C"/>
          </w:tcPr>
          <w:p>
            <w:pPr>
              <w:spacing w:before="60" w:after="60"/>
            </w:pPr>
            <w:r>
              <w:rPr>
                <w:rFonts w:ascii="Calibri" w:hAnsi="Calibri"/>
                <w:b/>
                <w:color w:val="FFFFFF"/>
                <w:sz w:val="17"/>
              </w:rPr>
              <w:t>Statut</w:t>
            </w:r>
          </w:p>
        </w:tc>
        <w:tc>
          <w:tcPr>
            <w:tcW w:type="dxa" w:w="2835"/>
            <w:shd w:val="clear" w:fill="1B3A5C"/>
          </w:tcPr>
          <w:p>
            <w:pPr>
              <w:spacing w:before="60" w:after="60"/>
            </w:pPr>
            <w:r>
              <w:rPr>
                <w:rFonts w:ascii="Calibri" w:hAnsi="Calibri"/>
                <w:b/>
                <w:color w:val="FFFFFF"/>
                <w:sz w:val="17"/>
              </w:rPr>
              <w:t>Détail</w:t>
            </w:r>
          </w:p>
        </w:tc>
      </w:tr>
      <w:tr>
        <w:tc>
          <w:tcPr>
            <w:tcW w:type="dxa" w:w="907"/>
          </w:tcPr>
          <w:p>
            <w:pPr>
              <w:spacing w:before="40" w:after="40"/>
            </w:pPr>
            <w:r>
              <w:rPr>
                <w:rFonts w:ascii="Calibri" w:hAnsi="Calibri"/>
                <w:b w:val="0"/>
                <w:i w:val="0"/>
                <w:color w:val="333333"/>
                <w:sz w:val="17"/>
              </w:rPr>
              <w:t>B1</w:t>
            </w:r>
          </w:p>
        </w:tc>
        <w:tc>
          <w:tcPr>
            <w:tcW w:type="dxa" w:w="2835"/>
          </w:tcPr>
          <w:p>
            <w:pPr>
              <w:spacing w:before="40" w:after="40"/>
            </w:pPr>
            <w:r>
              <w:rPr>
                <w:rFonts w:ascii="Calibri" w:hAnsi="Calibri"/>
                <w:b w:val="0"/>
                <w:i w:val="0"/>
                <w:color w:val="333333"/>
                <w:sz w:val="17"/>
              </w:rPr>
              <w:t>Authentification et gestion de session</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Connexion web, durée de session, hachage des mots de passe</w:t>
            </w:r>
          </w:p>
        </w:tc>
      </w:tr>
      <w:tr>
        <w:tc>
          <w:tcPr>
            <w:tcW w:type="dxa" w:w="907"/>
            <w:shd w:val="clear" w:fill="F2F6FA"/>
          </w:tcPr>
          <w:p>
            <w:pPr>
              <w:spacing w:before="40" w:after="40"/>
            </w:pPr>
            <w:r>
              <w:rPr>
                <w:rFonts w:ascii="Calibri" w:hAnsi="Calibri"/>
                <w:b w:val="0"/>
                <w:i w:val="0"/>
                <w:color w:val="333333"/>
                <w:sz w:val="17"/>
              </w:rPr>
              <w:t>B2</w:t>
            </w:r>
          </w:p>
        </w:tc>
        <w:tc>
          <w:tcPr>
            <w:tcW w:type="dxa" w:w="2835"/>
            <w:shd w:val="clear" w:fill="F2F6FA"/>
          </w:tcPr>
          <w:p>
            <w:pPr>
              <w:spacing w:before="40" w:after="40"/>
            </w:pPr>
            <w:r>
              <w:rPr>
                <w:rFonts w:ascii="Calibri" w:hAnsi="Calibri"/>
                <w:b w:val="0"/>
                <w:i w:val="0"/>
                <w:color w:val="333333"/>
                <w:sz w:val="17"/>
              </w:rPr>
              <w:t>Organisation et unités d'exploitation</w:t>
            </w:r>
          </w:p>
        </w:tc>
        <w:tc>
          <w:tcPr>
            <w:tcW w:type="dxa" w:w="2835"/>
            <w:shd w:val="clear" w:fill="F2F6FA"/>
          </w:tcPr>
          <w:p>
            <w:pPr>
              <w:spacing w:before="40" w:after="40"/>
            </w:pPr>
            <w:r>
              <w:rPr>
                <w:rFonts w:ascii="Calibri" w:hAnsi="Calibri"/>
                <w:b w:val="0"/>
                <w:i w:val="0"/>
                <w:color w:val="333333"/>
                <w:sz w:val="17"/>
              </w:rPr>
              <w:t>[R]</w:t>
            </w:r>
          </w:p>
        </w:tc>
        <w:tc>
          <w:tcPr>
            <w:tcW w:type="dxa" w:w="2835"/>
            <w:shd w:val="clear" w:fill="F2F6FA"/>
          </w:tcPr>
          <w:p>
            <w:pPr>
              <w:spacing w:before="40" w:after="40"/>
            </w:pPr>
            <w:r>
              <w:rPr>
                <w:rFonts w:ascii="Calibri" w:hAnsi="Calibri"/>
                <w:b w:val="0"/>
                <w:i w:val="0"/>
                <w:color w:val="333333"/>
                <w:sz w:val="17"/>
              </w:rPr>
              <w:t>Modèle multi-entités ; SUNU Vie Burkina Faso est une unité d'exploitation ; les agences sont modélisées comme des unités</w:t>
            </w:r>
          </w:p>
        </w:tc>
      </w:tr>
      <w:tr>
        <w:tc>
          <w:tcPr>
            <w:tcW w:type="dxa" w:w="907"/>
          </w:tcPr>
          <w:p>
            <w:pPr>
              <w:spacing w:before="40" w:after="40"/>
            </w:pPr>
            <w:r>
              <w:rPr>
                <w:rFonts w:ascii="Calibri" w:hAnsi="Calibri"/>
                <w:b w:val="0"/>
                <w:i w:val="0"/>
                <w:color w:val="333333"/>
                <w:sz w:val="17"/>
              </w:rPr>
              <w:t>B3</w:t>
            </w:r>
          </w:p>
        </w:tc>
        <w:tc>
          <w:tcPr>
            <w:tcW w:type="dxa" w:w="2835"/>
          </w:tcPr>
          <w:p>
            <w:pPr>
              <w:spacing w:before="40" w:after="40"/>
            </w:pPr>
            <w:r>
              <w:rPr>
                <w:rFonts w:ascii="Calibri" w:hAnsi="Calibri"/>
                <w:b w:val="0"/>
                <w:i w:val="0"/>
                <w:color w:val="333333"/>
                <w:sz w:val="17"/>
              </w:rPr>
              <w:t>Utilisateurs, rôles, habilitations</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Modèle d'habilitations granulaire avec rôles globaux et par unité. Répond au Besoin 3 du TdR : « créer des profils pour les collecteurs et autres utilisateurs et gérer les habilitations »</w:t>
            </w:r>
          </w:p>
        </w:tc>
      </w:tr>
      <w:tr>
        <w:tc>
          <w:tcPr>
            <w:tcW w:type="dxa" w:w="907"/>
            <w:shd w:val="clear" w:fill="F2F6FA"/>
          </w:tcPr>
          <w:p>
            <w:pPr>
              <w:spacing w:before="40" w:after="40"/>
            </w:pPr>
            <w:r>
              <w:rPr>
                <w:rFonts w:ascii="Calibri" w:hAnsi="Calibri"/>
                <w:b w:val="0"/>
                <w:i w:val="0"/>
                <w:color w:val="333333"/>
                <w:sz w:val="17"/>
              </w:rPr>
              <w:t>B4</w:t>
            </w:r>
          </w:p>
        </w:tc>
        <w:tc>
          <w:tcPr>
            <w:tcW w:type="dxa" w:w="2835"/>
            <w:shd w:val="clear" w:fill="F2F6FA"/>
          </w:tcPr>
          <w:p>
            <w:pPr>
              <w:spacing w:before="40" w:after="40"/>
            </w:pPr>
            <w:r>
              <w:rPr>
                <w:rFonts w:ascii="Calibri" w:hAnsi="Calibri"/>
                <w:b w:val="0"/>
                <w:i w:val="0"/>
                <w:color w:val="333333"/>
                <w:sz w:val="17"/>
              </w:rPr>
              <w:t>Agents collecteurs</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Référentiel des agents avec identité, photo, identifiant, justificatifs, cloisonnement par unité. Étendu avec les paramètres de plafond (R5)</w:t>
            </w:r>
          </w:p>
        </w:tc>
      </w:tr>
      <w:tr>
        <w:tc>
          <w:tcPr>
            <w:tcW w:type="dxa" w:w="907"/>
          </w:tcPr>
          <w:p>
            <w:pPr>
              <w:spacing w:before="40" w:after="40"/>
            </w:pPr>
            <w:r>
              <w:rPr>
                <w:rFonts w:ascii="Calibri" w:hAnsi="Calibri"/>
                <w:b w:val="0"/>
                <w:i w:val="0"/>
                <w:color w:val="333333"/>
                <w:sz w:val="17"/>
              </w:rPr>
              <w:t>B5</w:t>
            </w:r>
          </w:p>
        </w:tc>
        <w:tc>
          <w:tcPr>
            <w:tcW w:type="dxa" w:w="2835"/>
          </w:tcPr>
          <w:p>
            <w:pPr>
              <w:spacing w:before="40" w:after="40"/>
            </w:pPr>
            <w:r>
              <w:rPr>
                <w:rFonts w:ascii="Calibri" w:hAnsi="Calibri"/>
                <w:b w:val="0"/>
                <w:i w:val="0"/>
                <w:color w:val="333333"/>
                <w:sz w:val="17"/>
              </w:rPr>
              <w:t>Parc de terminaux et affectation agent-terminal</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Numéro de série, SIM, alias, modèle, historique d'affectation. Couvre la gestion du parc de 15 terminaux</w:t>
            </w:r>
          </w:p>
        </w:tc>
      </w:tr>
      <w:tr>
        <w:tc>
          <w:tcPr>
            <w:tcW w:type="dxa" w:w="907"/>
            <w:shd w:val="clear" w:fill="F2F6FA"/>
          </w:tcPr>
          <w:p>
            <w:pPr>
              <w:spacing w:before="40" w:after="40"/>
            </w:pPr>
            <w:r>
              <w:rPr>
                <w:rFonts w:ascii="Calibri" w:hAnsi="Calibri"/>
                <w:b w:val="0"/>
                <w:i w:val="0"/>
                <w:color w:val="333333"/>
                <w:sz w:val="17"/>
              </w:rPr>
              <w:t>B6</w:t>
            </w:r>
          </w:p>
        </w:tc>
        <w:tc>
          <w:tcPr>
            <w:tcW w:type="dxa" w:w="2835"/>
            <w:shd w:val="clear" w:fill="F2F6FA"/>
          </w:tcPr>
          <w:p>
            <w:pPr>
              <w:spacing w:before="40" w:after="40"/>
            </w:pPr>
            <w:r>
              <w:rPr>
                <w:rFonts w:ascii="Calibri" w:hAnsi="Calibri"/>
                <w:b w:val="0"/>
                <w:i w:val="0"/>
                <w:color w:val="333333"/>
                <w:sz w:val="17"/>
              </w:rPr>
              <w:t>Référentiel des assurés (clients)</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Entité client existante avec identité, documents, groupes. Étendue avec les identifiants SUNULIFE et les attributs propres à l'assurance</w:t>
            </w:r>
          </w:p>
        </w:tc>
      </w:tr>
      <w:tr>
        <w:tc>
          <w:tcPr>
            <w:tcW w:type="dxa" w:w="907"/>
          </w:tcPr>
          <w:p>
            <w:pPr>
              <w:spacing w:before="40" w:after="40"/>
            </w:pPr>
            <w:r>
              <w:rPr>
                <w:rFonts w:ascii="Calibri" w:hAnsi="Calibri"/>
                <w:b w:val="0"/>
                <w:i w:val="0"/>
                <w:color w:val="333333"/>
                <w:sz w:val="17"/>
              </w:rPr>
              <w:t>B7</w:t>
            </w:r>
          </w:p>
        </w:tc>
        <w:tc>
          <w:tcPr>
            <w:tcW w:type="dxa" w:w="2835"/>
          </w:tcPr>
          <w:p>
            <w:pPr>
              <w:spacing w:before="40" w:after="40"/>
            </w:pPr>
            <w:r>
              <w:rPr>
                <w:rFonts w:ascii="Calibri" w:hAnsi="Calibri"/>
                <w:b w:val="0"/>
                <w:i w:val="0"/>
                <w:color w:val="333333"/>
                <w:sz w:val="17"/>
              </w:rPr>
              <w:t>Catalogue de produits d'assurance</w:t>
            </w:r>
          </w:p>
        </w:tc>
        <w:tc>
          <w:tcPr>
            <w:tcW w:type="dxa" w:w="2835"/>
          </w:tcPr>
          <w:p>
            <w:pPr>
              <w:spacing w:before="40" w:after="40"/>
            </w:pPr>
            <w:r>
              <w:rPr>
                <w:rFonts w:ascii="Calibri" w:hAnsi="Calibri"/>
                <w:b w:val="0"/>
                <w:i w:val="0"/>
                <w:color w:val="333333"/>
                <w:sz w:val="17"/>
              </w:rPr>
              <w:t>[N]</w:t>
            </w:r>
          </w:p>
        </w:tc>
        <w:tc>
          <w:tcPr>
            <w:tcW w:type="dxa" w:w="2835"/>
          </w:tcPr>
          <w:p>
            <w:pPr>
              <w:spacing w:before="40" w:after="40"/>
            </w:pPr>
            <w:r>
              <w:rPr>
                <w:rFonts w:ascii="Calibri" w:hAnsi="Calibri"/>
                <w:b w:val="0"/>
                <w:i w:val="0"/>
                <w:color w:val="333333"/>
                <w:sz w:val="17"/>
              </w:rPr>
              <w:t>Micro-Quiétude, Micro Épargne Retraite et produits futurs : code, libellé, périodicité de prime, règles de frais de police, modèle de reçu</w:t>
            </w:r>
          </w:p>
        </w:tc>
      </w:tr>
      <w:tr>
        <w:tc>
          <w:tcPr>
            <w:tcW w:type="dxa" w:w="907"/>
            <w:shd w:val="clear" w:fill="F2F6FA"/>
          </w:tcPr>
          <w:p>
            <w:pPr>
              <w:spacing w:before="40" w:after="40"/>
            </w:pPr>
            <w:r>
              <w:rPr>
                <w:rFonts w:ascii="Calibri" w:hAnsi="Calibri"/>
                <w:b w:val="0"/>
                <w:i w:val="0"/>
                <w:color w:val="333333"/>
                <w:sz w:val="17"/>
              </w:rPr>
              <w:t>B8</w:t>
            </w:r>
          </w:p>
        </w:tc>
        <w:tc>
          <w:tcPr>
            <w:tcW w:type="dxa" w:w="2835"/>
            <w:shd w:val="clear" w:fill="F2F6FA"/>
          </w:tcPr>
          <w:p>
            <w:pPr>
              <w:spacing w:before="40" w:after="40"/>
            </w:pPr>
            <w:r>
              <w:rPr>
                <w:rFonts w:ascii="Calibri" w:hAnsi="Calibri"/>
                <w:b w:val="0"/>
                <w:i w:val="0"/>
                <w:color w:val="333333"/>
                <w:sz w:val="17"/>
              </w:rPr>
              <w:t>Proposition d'assurance (souscription)</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Adapté du module d'affiliation volontaire existant : numéro de proposition, produit, agent, terminal, GPS, workflow de statut, photographies jointes de la proposition et de la CNIB, charge utile de formulaire JSON souple</w:t>
            </w:r>
          </w:p>
        </w:tc>
      </w:tr>
      <w:tr>
        <w:tc>
          <w:tcPr>
            <w:tcW w:type="dxa" w:w="907"/>
          </w:tcPr>
          <w:p>
            <w:pPr>
              <w:spacing w:before="40" w:after="40"/>
            </w:pPr>
            <w:r>
              <w:rPr>
                <w:rFonts w:ascii="Calibri" w:hAnsi="Calibri"/>
                <w:b w:val="0"/>
                <w:i w:val="0"/>
                <w:color w:val="333333"/>
                <w:sz w:val="17"/>
              </w:rPr>
              <w:t>B9</w:t>
            </w:r>
          </w:p>
        </w:tc>
        <w:tc>
          <w:tcPr>
            <w:tcW w:type="dxa" w:w="2835"/>
          </w:tcPr>
          <w:p>
            <w:pPr>
              <w:spacing w:before="40" w:after="40"/>
            </w:pPr>
            <w:r>
              <w:rPr>
                <w:rFonts w:ascii="Calibri" w:hAnsi="Calibri"/>
                <w:b w:val="0"/>
                <w:i w:val="0"/>
                <w:color w:val="333333"/>
                <w:sz w:val="17"/>
              </w:rPr>
              <w:t>Référentiel des polices (contrats)</w:t>
            </w:r>
          </w:p>
        </w:tc>
        <w:tc>
          <w:tcPr>
            <w:tcW w:type="dxa" w:w="2835"/>
          </w:tcPr>
          <w:p>
            <w:pPr>
              <w:spacing w:before="40" w:after="40"/>
            </w:pPr>
            <w:r>
              <w:rPr>
                <w:rFonts w:ascii="Calibri" w:hAnsi="Calibri"/>
                <w:b w:val="0"/>
                <w:i w:val="0"/>
                <w:color w:val="333333"/>
                <w:sz w:val="17"/>
              </w:rPr>
              <w:t>[N]</w:t>
            </w:r>
          </w:p>
        </w:tc>
        <w:tc>
          <w:tcPr>
            <w:tcW w:type="dxa" w:w="2835"/>
          </w:tcPr>
          <w:p>
            <w:pPr>
              <w:spacing w:before="40" w:after="40"/>
            </w:pPr>
            <w:r>
              <w:rPr>
                <w:rFonts w:ascii="Calibri" w:hAnsi="Calibri"/>
                <w:b w:val="0"/>
                <w:i w:val="0"/>
                <w:color w:val="333333"/>
                <w:sz w:val="17"/>
              </w:rPr>
              <w:t>Numéro de police, produit, assuré, statut, date d'effet, montant et périodicité de prime, référence SUNULIFE. Alimenté depuis SUNULIFE (R9) ou à la confirmation d'une proposition</w:t>
            </w:r>
          </w:p>
        </w:tc>
      </w:tr>
      <w:tr>
        <w:tc>
          <w:tcPr>
            <w:tcW w:type="dxa" w:w="907"/>
            <w:shd w:val="clear" w:fill="F2F6FA"/>
          </w:tcPr>
          <w:p>
            <w:pPr>
              <w:spacing w:before="40" w:after="40"/>
            </w:pPr>
            <w:r>
              <w:rPr>
                <w:rFonts w:ascii="Calibri" w:hAnsi="Calibri"/>
                <w:b w:val="0"/>
                <w:i w:val="0"/>
                <w:color w:val="333333"/>
                <w:sz w:val="17"/>
              </w:rPr>
              <w:t>B10</w:t>
            </w:r>
          </w:p>
        </w:tc>
        <w:tc>
          <w:tcPr>
            <w:tcW w:type="dxa" w:w="2835"/>
            <w:shd w:val="clear" w:fill="F2F6FA"/>
          </w:tcPr>
          <w:p>
            <w:pPr>
              <w:spacing w:before="40" w:after="40"/>
            </w:pPr>
            <w:r>
              <w:rPr>
                <w:rFonts w:ascii="Calibri" w:hAnsi="Calibri"/>
                <w:b w:val="0"/>
                <w:i w:val="0"/>
                <w:color w:val="333333"/>
                <w:sz w:val="17"/>
              </w:rPr>
              <w:t>Moteur d'encaissement des primes</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Adapté du module de cotisations périodiques existant : montant, période de référence, périodicité, référence unique, lien vers la police, l'agent, le terminal et la transaction financière</w:t>
            </w:r>
          </w:p>
        </w:tc>
      </w:tr>
      <w:tr>
        <w:tc>
          <w:tcPr>
            <w:tcW w:type="dxa" w:w="907"/>
          </w:tcPr>
          <w:p>
            <w:pPr>
              <w:spacing w:before="40" w:after="40"/>
            </w:pPr>
            <w:r>
              <w:rPr>
                <w:rFonts w:ascii="Calibri" w:hAnsi="Calibri"/>
                <w:b w:val="0"/>
                <w:i w:val="0"/>
                <w:color w:val="333333"/>
                <w:sz w:val="17"/>
              </w:rPr>
              <w:t>B11</w:t>
            </w:r>
          </w:p>
        </w:tc>
        <w:tc>
          <w:tcPr>
            <w:tcW w:type="dxa" w:w="2835"/>
          </w:tcPr>
          <w:p>
            <w:pPr>
              <w:spacing w:before="40" w:after="40"/>
            </w:pPr>
            <w:r>
              <w:rPr>
                <w:rFonts w:ascii="Calibri" w:hAnsi="Calibri"/>
                <w:b w:val="0"/>
                <w:i w:val="0"/>
                <w:color w:val="333333"/>
                <w:sz w:val="17"/>
              </w:rPr>
              <w:t>Colonne vertébrale transactionnelle</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Montant, frais, commission, quote-part, date, statut, référence unique, métadonnées JSON, imputation complète. Porte déjà la configuration des frais et commissions par transaction avec règles forfaitaires, en pourcentage ou par paliers</w:t>
            </w:r>
          </w:p>
        </w:tc>
      </w:tr>
      <w:tr>
        <w:tc>
          <w:tcPr>
            <w:tcW w:type="dxa" w:w="907"/>
            <w:shd w:val="clear" w:fill="F2F6FA"/>
          </w:tcPr>
          <w:p>
            <w:pPr>
              <w:spacing w:before="40" w:after="40"/>
            </w:pPr>
            <w:r>
              <w:rPr>
                <w:rFonts w:ascii="Calibri" w:hAnsi="Calibri"/>
                <w:b w:val="0"/>
                <w:i w:val="0"/>
                <w:color w:val="333333"/>
                <w:sz w:val="17"/>
              </w:rPr>
              <w:t>B12</w:t>
            </w:r>
          </w:p>
        </w:tc>
        <w:tc>
          <w:tcPr>
            <w:tcW w:type="dxa" w:w="2835"/>
            <w:shd w:val="clear" w:fill="F2F6FA"/>
          </w:tcPr>
          <w:p>
            <w:pPr>
              <w:spacing w:before="40" w:after="40"/>
            </w:pPr>
            <w:r>
              <w:rPr>
                <w:rFonts w:ascii="Calibri" w:hAnsi="Calibri"/>
                <w:b w:val="0"/>
                <w:i w:val="0"/>
                <w:color w:val="333333"/>
                <w:sz w:val="17"/>
              </w:rPr>
              <w:t>Plafond du collecteur et rapprochement des versements</w:t>
            </w:r>
          </w:p>
        </w:tc>
        <w:tc>
          <w:tcPr>
            <w:tcW w:type="dxa" w:w="2835"/>
            <w:shd w:val="clear" w:fill="F2F6FA"/>
          </w:tcPr>
          <w:p>
            <w:pPr>
              <w:spacing w:before="40" w:after="40"/>
            </w:pPr>
            <w:r>
              <w:rPr>
                <w:rFonts w:ascii="Calibri" w:hAnsi="Calibri"/>
                <w:b w:val="0"/>
                <w:i w:val="0"/>
                <w:color w:val="333333"/>
                <w:sz w:val="17"/>
              </w:rPr>
              <w:t>[N]</w:t>
            </w:r>
          </w:p>
        </w:tc>
        <w:tc>
          <w:tcPr>
            <w:tcW w:type="dxa" w:w="2835"/>
            <w:shd w:val="clear" w:fill="F2F6FA"/>
          </w:tcPr>
          <w:p>
            <w:pPr>
              <w:spacing w:before="40" w:after="40"/>
            </w:pPr>
            <w:r>
              <w:rPr>
                <w:rFonts w:ascii="Calibri" w:hAnsi="Calibri"/>
                <w:b w:val="0"/>
                <w:i w:val="0"/>
                <w:color w:val="333333"/>
                <w:sz w:val="17"/>
              </w:rPr>
              <w:t>Plafond par collecteur ; solde non versé courant ; déclaration de versement (dépôt bancaire ou caisse) ; confirmation back-office ; libération du terminal</w:t>
            </w:r>
          </w:p>
        </w:tc>
      </w:tr>
      <w:tr>
        <w:tc>
          <w:tcPr>
            <w:tcW w:type="dxa" w:w="907"/>
          </w:tcPr>
          <w:p>
            <w:pPr>
              <w:spacing w:before="40" w:after="40"/>
            </w:pPr>
            <w:r>
              <w:rPr>
                <w:rFonts w:ascii="Calibri" w:hAnsi="Calibri"/>
                <w:b w:val="0"/>
                <w:i w:val="0"/>
                <w:color w:val="333333"/>
                <w:sz w:val="17"/>
              </w:rPr>
              <w:t>B13</w:t>
            </w:r>
          </w:p>
        </w:tc>
        <w:tc>
          <w:tcPr>
            <w:tcW w:type="dxa" w:w="2835"/>
          </w:tcPr>
          <w:p>
            <w:pPr>
              <w:spacing w:before="40" w:after="40"/>
            </w:pPr>
            <w:r>
              <w:rPr>
                <w:rFonts w:ascii="Calibri" w:hAnsi="Calibri"/>
                <w:b w:val="0"/>
                <w:i w:val="0"/>
                <w:color w:val="333333"/>
                <w:sz w:val="17"/>
              </w:rPr>
              <w:t>Gestion et émission des cartes</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Entité carte avec numéro, préfixe, cycle de statut (active/inactive/bloquée/expirée/remplacée/non affectée), expiration, plafonds, horodatages d'émission et d'activation, motif de blocage et chaîne de remplacement ; paramètres de carte par unité (préfixe, longueur de séquence, validité par défaut). Étendue pour le contenu multi-polices et l'export de personnalisation</w:t>
            </w:r>
          </w:p>
        </w:tc>
      </w:tr>
      <w:tr>
        <w:tc>
          <w:tcPr>
            <w:tcW w:type="dxa" w:w="907"/>
            <w:shd w:val="clear" w:fill="F2F6FA"/>
          </w:tcPr>
          <w:p>
            <w:pPr>
              <w:spacing w:before="40" w:after="40"/>
            </w:pPr>
            <w:r>
              <w:rPr>
                <w:rFonts w:ascii="Calibri" w:hAnsi="Calibri"/>
                <w:b w:val="0"/>
                <w:i w:val="0"/>
                <w:color w:val="333333"/>
                <w:sz w:val="17"/>
              </w:rPr>
              <w:t>B14</w:t>
            </w:r>
          </w:p>
        </w:tc>
        <w:tc>
          <w:tcPr>
            <w:tcW w:type="dxa" w:w="2835"/>
            <w:shd w:val="clear" w:fill="F2F6FA"/>
          </w:tcPr>
          <w:p>
            <w:pPr>
              <w:spacing w:before="40" w:after="40"/>
            </w:pPr>
            <w:r>
              <w:rPr>
                <w:rFonts w:ascii="Calibri" w:hAnsi="Calibri"/>
                <w:b w:val="0"/>
                <w:i w:val="0"/>
                <w:color w:val="333333"/>
                <w:sz w:val="17"/>
              </w:rPr>
              <w:t>Émission de carte virtuelle (QR)</w:t>
            </w:r>
          </w:p>
        </w:tc>
        <w:tc>
          <w:tcPr>
            <w:tcW w:type="dxa" w:w="2835"/>
            <w:shd w:val="clear" w:fill="F2F6FA"/>
          </w:tcPr>
          <w:p>
            <w:pPr>
              <w:spacing w:before="40" w:after="40"/>
            </w:pPr>
            <w:r>
              <w:rPr>
                <w:rFonts w:ascii="Calibri" w:hAnsi="Calibri"/>
                <w:b w:val="0"/>
                <w:i w:val="0"/>
                <w:color w:val="333333"/>
                <w:sz w:val="17"/>
              </w:rPr>
              <w:t>[N]</w:t>
            </w:r>
          </w:p>
        </w:tc>
        <w:tc>
          <w:tcPr>
            <w:tcW w:type="dxa" w:w="2835"/>
            <w:shd w:val="clear" w:fill="F2F6FA"/>
          </w:tcPr>
          <w:p>
            <w:pPr>
              <w:spacing w:before="40" w:after="40"/>
            </w:pPr>
            <w:r>
              <w:rPr>
                <w:rFonts w:ascii="Calibri" w:hAnsi="Calibri"/>
                <w:b w:val="0"/>
                <w:i w:val="0"/>
                <w:color w:val="333333"/>
                <w:sz w:val="17"/>
              </w:rPr>
              <w:t>Section 7.3</w:t>
            </w:r>
          </w:p>
        </w:tc>
      </w:tr>
      <w:tr>
        <w:tc>
          <w:tcPr>
            <w:tcW w:type="dxa" w:w="907"/>
          </w:tcPr>
          <w:p>
            <w:pPr>
              <w:spacing w:before="40" w:after="40"/>
            </w:pPr>
            <w:r>
              <w:rPr>
                <w:rFonts w:ascii="Calibri" w:hAnsi="Calibri"/>
                <w:b w:val="0"/>
                <w:i w:val="0"/>
                <w:color w:val="333333"/>
                <w:sz w:val="17"/>
              </w:rPr>
              <w:t>B15</w:t>
            </w:r>
          </w:p>
        </w:tc>
        <w:tc>
          <w:tcPr>
            <w:tcW w:type="dxa" w:w="2835"/>
          </w:tcPr>
          <w:p>
            <w:pPr>
              <w:spacing w:before="40" w:after="40"/>
            </w:pPr>
            <w:r>
              <w:rPr>
                <w:rFonts w:ascii="Calibri" w:hAnsi="Calibri"/>
                <w:b w:val="0"/>
                <w:i w:val="0"/>
                <w:color w:val="333333"/>
                <w:sz w:val="17"/>
              </w:rPr>
              <w:t>Adaptateur de passerelle Mobile Money</w:t>
            </w:r>
          </w:p>
        </w:tc>
        <w:tc>
          <w:tcPr>
            <w:tcW w:type="dxa" w:w="2835"/>
          </w:tcPr>
          <w:p>
            <w:pPr>
              <w:spacing w:before="40" w:after="40"/>
            </w:pPr>
            <w:r>
              <w:rPr>
                <w:rFonts w:ascii="Calibri" w:hAnsi="Calibri"/>
                <w:b w:val="0"/>
                <w:i w:val="0"/>
                <w:color w:val="333333"/>
                <w:sz w:val="17"/>
              </w:rPr>
              <w:t>[N]</w:t>
            </w:r>
          </w:p>
        </w:tc>
        <w:tc>
          <w:tcPr>
            <w:tcW w:type="dxa" w:w="2835"/>
          </w:tcPr>
          <w:p>
            <w:pPr>
              <w:spacing w:before="40" w:after="40"/>
            </w:pPr>
            <w:r>
              <w:rPr>
                <w:rFonts w:ascii="Calibri" w:hAnsi="Calibri"/>
                <w:b w:val="0"/>
                <w:i w:val="0"/>
                <w:color w:val="333333"/>
                <w:sz w:val="17"/>
              </w:rPr>
              <w:t>Section 9</w:t>
            </w:r>
          </w:p>
        </w:tc>
      </w:tr>
      <w:tr>
        <w:tc>
          <w:tcPr>
            <w:tcW w:type="dxa" w:w="907"/>
            <w:shd w:val="clear" w:fill="F2F6FA"/>
          </w:tcPr>
          <w:p>
            <w:pPr>
              <w:spacing w:before="40" w:after="40"/>
            </w:pPr>
            <w:r>
              <w:rPr>
                <w:rFonts w:ascii="Calibri" w:hAnsi="Calibri"/>
                <w:b w:val="0"/>
                <w:i w:val="0"/>
                <w:color w:val="333333"/>
                <w:sz w:val="17"/>
              </w:rPr>
              <w:t>B16</w:t>
            </w:r>
          </w:p>
        </w:tc>
        <w:tc>
          <w:tcPr>
            <w:tcW w:type="dxa" w:w="2835"/>
            <w:shd w:val="clear" w:fill="F2F6FA"/>
          </w:tcPr>
          <w:p>
            <w:pPr>
              <w:spacing w:before="40" w:after="40"/>
            </w:pPr>
            <w:r>
              <w:rPr>
                <w:rFonts w:ascii="Calibri" w:hAnsi="Calibri"/>
                <w:b w:val="0"/>
                <w:i w:val="0"/>
                <w:color w:val="333333"/>
                <w:sz w:val="17"/>
              </w:rPr>
              <w:t>Hub d'intégration SUNULIFE</w:t>
            </w:r>
          </w:p>
        </w:tc>
        <w:tc>
          <w:tcPr>
            <w:tcW w:type="dxa" w:w="2835"/>
            <w:shd w:val="clear" w:fill="F2F6FA"/>
          </w:tcPr>
          <w:p>
            <w:pPr>
              <w:spacing w:before="40" w:after="40"/>
            </w:pPr>
            <w:r>
              <w:rPr>
                <w:rFonts w:ascii="Calibri" w:hAnsi="Calibri"/>
                <w:b w:val="0"/>
                <w:i w:val="0"/>
                <w:color w:val="333333"/>
                <w:sz w:val="17"/>
              </w:rPr>
              <w:t>[N]</w:t>
            </w:r>
          </w:p>
        </w:tc>
        <w:tc>
          <w:tcPr>
            <w:tcW w:type="dxa" w:w="2835"/>
            <w:shd w:val="clear" w:fill="F2F6FA"/>
          </w:tcPr>
          <w:p>
            <w:pPr>
              <w:spacing w:before="40" w:after="40"/>
            </w:pPr>
            <w:r>
              <w:rPr>
                <w:rFonts w:ascii="Calibri" w:hAnsi="Calibri"/>
                <w:b w:val="0"/>
                <w:i w:val="0"/>
                <w:color w:val="333333"/>
                <w:sz w:val="17"/>
              </w:rPr>
              <w:t>Section 8. Construit sur le schéma de pilote de système externe configurable existant (définition du pilote + identifiants par unité + mapping des champs requête/réponse + stratégies d'authentification dont JWT bearer, basic et OAuth password)</w:t>
            </w:r>
          </w:p>
        </w:tc>
      </w:tr>
      <w:tr>
        <w:tc>
          <w:tcPr>
            <w:tcW w:type="dxa" w:w="907"/>
          </w:tcPr>
          <w:p>
            <w:pPr>
              <w:spacing w:before="40" w:after="40"/>
            </w:pPr>
            <w:r>
              <w:rPr>
                <w:rFonts w:ascii="Calibri" w:hAnsi="Calibri"/>
                <w:b w:val="0"/>
                <w:i w:val="0"/>
                <w:color w:val="333333"/>
                <w:sz w:val="17"/>
              </w:rPr>
              <w:t>B17</w:t>
            </w:r>
          </w:p>
        </w:tc>
        <w:tc>
          <w:tcPr>
            <w:tcW w:type="dxa" w:w="2835"/>
          </w:tcPr>
          <w:p>
            <w:pPr>
              <w:spacing w:before="40" w:after="40"/>
            </w:pPr>
            <w:r>
              <w:rPr>
                <w:rFonts w:ascii="Calibri" w:hAnsi="Calibri"/>
                <w:b w:val="0"/>
                <w:i w:val="0"/>
                <w:color w:val="333333"/>
                <w:sz w:val="17"/>
              </w:rPr>
              <w:t>Restitution des encaissements et export Excel</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Génération asynchrone de rapports existante avec suivi de statut, téléchargement et reprise. Étendue avec le rapport d'encaissements propre à l'assurance exigé par le Besoin 2 du TdR</w:t>
            </w:r>
          </w:p>
        </w:tc>
      </w:tr>
      <w:tr>
        <w:tc>
          <w:tcPr>
            <w:tcW w:type="dxa" w:w="907"/>
            <w:shd w:val="clear" w:fill="F2F6FA"/>
          </w:tcPr>
          <w:p>
            <w:pPr>
              <w:spacing w:before="40" w:after="40"/>
            </w:pPr>
            <w:r>
              <w:rPr>
                <w:rFonts w:ascii="Calibri" w:hAnsi="Calibri"/>
                <w:b w:val="0"/>
                <w:i w:val="0"/>
                <w:color w:val="333333"/>
                <w:sz w:val="17"/>
              </w:rPr>
              <w:t>B18</w:t>
            </w:r>
          </w:p>
        </w:tc>
        <w:tc>
          <w:tcPr>
            <w:tcW w:type="dxa" w:w="2835"/>
            <w:shd w:val="clear" w:fill="F2F6FA"/>
          </w:tcPr>
          <w:p>
            <w:pPr>
              <w:spacing w:before="40" w:after="40"/>
            </w:pPr>
            <w:r>
              <w:rPr>
                <w:rFonts w:ascii="Calibri" w:hAnsi="Calibri"/>
                <w:b w:val="0"/>
                <w:i w:val="0"/>
                <w:color w:val="333333"/>
                <w:sz w:val="17"/>
              </w:rPr>
              <w:t>Tableaux de bord</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Tableaux de bord par unité existants, étendus avec les indicateurs d'encaissement, l'utilisation des plafonds et la carte d'activité terrain</w:t>
            </w:r>
          </w:p>
        </w:tc>
      </w:tr>
      <w:tr>
        <w:tc>
          <w:tcPr>
            <w:tcW w:type="dxa" w:w="907"/>
          </w:tcPr>
          <w:p>
            <w:pPr>
              <w:spacing w:before="40" w:after="40"/>
            </w:pPr>
            <w:r>
              <w:rPr>
                <w:rFonts w:ascii="Calibri" w:hAnsi="Calibri"/>
                <w:b w:val="0"/>
                <w:i w:val="0"/>
                <w:color w:val="333333"/>
                <w:sz w:val="17"/>
              </w:rPr>
              <w:t>B19</w:t>
            </w:r>
          </w:p>
        </w:tc>
        <w:tc>
          <w:tcPr>
            <w:tcW w:type="dxa" w:w="2835"/>
          </w:tcPr>
          <w:p>
            <w:pPr>
              <w:spacing w:before="40" w:after="40"/>
            </w:pPr>
            <w:r>
              <w:rPr>
                <w:rFonts w:ascii="Calibri" w:hAnsi="Calibri"/>
                <w:b w:val="0"/>
                <w:i w:val="0"/>
                <w:color w:val="333333"/>
                <w:sz w:val="17"/>
              </w:rPr>
              <w:t>Piste d'audit / journal d'activité</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Enregistre l'acteur, l'événement, l'objet, les valeurs avant/après, le regroupement par lot</w:t>
            </w:r>
          </w:p>
        </w:tc>
      </w:tr>
      <w:tr>
        <w:tc>
          <w:tcPr>
            <w:tcW w:type="dxa" w:w="907"/>
            <w:shd w:val="clear" w:fill="F2F6FA"/>
          </w:tcPr>
          <w:p>
            <w:pPr>
              <w:spacing w:before="40" w:after="40"/>
            </w:pPr>
            <w:r>
              <w:rPr>
                <w:rFonts w:ascii="Calibri" w:hAnsi="Calibri"/>
                <w:b w:val="0"/>
                <w:i w:val="0"/>
                <w:color w:val="333333"/>
                <w:sz w:val="17"/>
              </w:rPr>
              <w:t>B20</w:t>
            </w:r>
          </w:p>
        </w:tc>
        <w:tc>
          <w:tcPr>
            <w:tcW w:type="dxa" w:w="2835"/>
            <w:shd w:val="clear" w:fill="F2F6FA"/>
          </w:tcPr>
          <w:p>
            <w:pPr>
              <w:spacing w:before="40" w:after="40"/>
            </w:pPr>
            <w:r>
              <w:rPr>
                <w:rFonts w:ascii="Calibri" w:hAnsi="Calibri"/>
                <w:b w:val="0"/>
                <w:i w:val="0"/>
                <w:color w:val="333333"/>
                <w:sz w:val="17"/>
              </w:rPr>
              <w:t>Journalisation des requêtes API</w:t>
            </w:r>
          </w:p>
        </w:tc>
        <w:tc>
          <w:tcPr>
            <w:tcW w:type="dxa" w:w="2835"/>
            <w:shd w:val="clear" w:fill="F2F6FA"/>
          </w:tcPr>
          <w:p>
            <w:pPr>
              <w:spacing w:before="40" w:after="40"/>
            </w:pPr>
            <w:r>
              <w:rPr>
                <w:rFonts w:ascii="Calibri" w:hAnsi="Calibri"/>
                <w:b w:val="0"/>
                <w:i w:val="0"/>
                <w:color w:val="333333"/>
                <w:sz w:val="17"/>
              </w:rPr>
              <w:t>[R]</w:t>
            </w:r>
          </w:p>
        </w:tc>
        <w:tc>
          <w:tcPr>
            <w:tcW w:type="dxa" w:w="2835"/>
            <w:shd w:val="clear" w:fill="F2F6FA"/>
          </w:tcPr>
          <w:p>
            <w:pPr>
              <w:spacing w:before="40" w:after="40"/>
            </w:pPr>
            <w:r>
              <w:rPr>
                <w:rFonts w:ascii="Calibri" w:hAnsi="Calibri"/>
                <w:b w:val="0"/>
                <w:i w:val="0"/>
                <w:color w:val="333333"/>
                <w:sz w:val="17"/>
              </w:rPr>
              <w:t>Un middleware de journalisation dédié existe déjà pour le trafic API des transactions, des cartes et des OTP</w:t>
            </w:r>
          </w:p>
        </w:tc>
      </w:tr>
      <w:tr>
        <w:tc>
          <w:tcPr>
            <w:tcW w:type="dxa" w:w="907"/>
          </w:tcPr>
          <w:p>
            <w:pPr>
              <w:spacing w:before="40" w:after="40"/>
            </w:pPr>
            <w:r>
              <w:rPr>
                <w:rFonts w:ascii="Calibri" w:hAnsi="Calibri"/>
                <w:b w:val="0"/>
                <w:i w:val="0"/>
                <w:color w:val="333333"/>
                <w:sz w:val="17"/>
              </w:rPr>
              <w:t>B21</w:t>
            </w:r>
          </w:p>
        </w:tc>
        <w:tc>
          <w:tcPr>
            <w:tcW w:type="dxa" w:w="2835"/>
          </w:tcPr>
          <w:p>
            <w:pPr>
              <w:spacing w:before="40" w:after="40"/>
            </w:pPr>
            <w:r>
              <w:rPr>
                <w:rFonts w:ascii="Calibri" w:hAnsi="Calibri"/>
                <w:b w:val="0"/>
                <w:i w:val="0"/>
                <w:color w:val="333333"/>
                <w:sz w:val="17"/>
              </w:rPr>
              <w:t>Notifications SMS</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Opérateur configurable, expéditeur par unité, gestion des crédits, journal des messages</w:t>
            </w:r>
          </w:p>
        </w:tc>
      </w:tr>
      <w:tr>
        <w:tc>
          <w:tcPr>
            <w:tcW w:type="dxa" w:w="907"/>
            <w:shd w:val="clear" w:fill="F2F6FA"/>
          </w:tcPr>
          <w:p>
            <w:pPr>
              <w:spacing w:before="40" w:after="40"/>
            </w:pPr>
            <w:r>
              <w:rPr>
                <w:rFonts w:ascii="Calibri" w:hAnsi="Calibri"/>
                <w:b w:val="0"/>
                <w:i w:val="0"/>
                <w:color w:val="333333"/>
                <w:sz w:val="17"/>
              </w:rPr>
              <w:t>B22</w:t>
            </w:r>
          </w:p>
        </w:tc>
        <w:tc>
          <w:tcPr>
            <w:tcW w:type="dxa" w:w="2835"/>
            <w:shd w:val="clear" w:fill="F2F6FA"/>
          </w:tcPr>
          <w:p>
            <w:pPr>
              <w:spacing w:before="40" w:after="40"/>
            </w:pPr>
            <w:r>
              <w:rPr>
                <w:rFonts w:ascii="Calibri" w:hAnsi="Calibri"/>
                <w:b w:val="0"/>
                <w:i w:val="0"/>
                <w:color w:val="333333"/>
                <w:sz w:val="17"/>
              </w:rPr>
              <w:t>Interface bilingue (FR/EN)</w:t>
            </w:r>
          </w:p>
        </w:tc>
        <w:tc>
          <w:tcPr>
            <w:tcW w:type="dxa" w:w="2835"/>
            <w:shd w:val="clear" w:fill="F2F6FA"/>
          </w:tcPr>
          <w:p>
            <w:pPr>
              <w:spacing w:before="40" w:after="40"/>
            </w:pPr>
            <w:r>
              <w:rPr>
                <w:rFonts w:ascii="Calibri" w:hAnsi="Calibri"/>
                <w:b w:val="0"/>
                <w:i w:val="0"/>
                <w:color w:val="333333"/>
                <w:sz w:val="17"/>
              </w:rPr>
              <w:t>[R]</w:t>
            </w:r>
          </w:p>
        </w:tc>
        <w:tc>
          <w:tcPr>
            <w:tcW w:type="dxa" w:w="2835"/>
            <w:shd w:val="clear" w:fill="F2F6FA"/>
          </w:tcPr>
          <w:p>
            <w:pPr>
              <w:spacing w:before="40" w:after="40"/>
            </w:pPr>
            <w:r>
              <w:rPr>
                <w:rFonts w:ascii="Calibri" w:hAnsi="Calibri"/>
                <w:b w:val="0"/>
                <w:i w:val="0"/>
                <w:color w:val="333333"/>
                <w:sz w:val="17"/>
              </w:rPr>
              <w:t>Bascule de langue à l'exécution avec traductions françaises déjà en place — indispensable au Burkina Faso</w:t>
            </w:r>
          </w:p>
        </w:tc>
      </w:tr>
    </w:tbl>
    <w:p>
      <w:pPr>
        <w:spacing w:after="40"/>
      </w:pPr>
    </w:p>
    <w:p>
      <w:pPr>
        <w:pStyle w:val="Heading2"/>
        <w:spacing w:before="280" w:after="80"/>
        <w:keepNext/>
      </w:pPr>
      <w:bookmarkStart w:id="113" w:name="_Toc_s012"/>
      <w:r>
        <w:rPr>
          <w:rFonts w:ascii="Calibri" w:hAnsi="Calibri"/>
          <w:b/>
          <w:color w:val="1B3A5C"/>
          <w:sz w:val="24"/>
        </w:rPr>
        <w:t>4.2 Application TPE</w:t>
      </w:r>
      <w:bookmarkEnd w:id="113"/>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907"/>
            <w:shd w:val="clear" w:fill="1B3A5C"/>
          </w:tcPr>
          <w:p>
            <w:pPr>
              <w:spacing w:before="60" w:after="60"/>
            </w:pPr>
            <w:r>
              <w:rPr>
                <w:rFonts w:ascii="Calibri" w:hAnsi="Calibri"/>
                <w:b/>
                <w:color w:val="FFFFFF"/>
                <w:sz w:val="17"/>
              </w:rPr>
              <w:t>#</w:t>
            </w:r>
          </w:p>
        </w:tc>
        <w:tc>
          <w:tcPr>
            <w:tcW w:type="dxa" w:w="2835"/>
            <w:shd w:val="clear" w:fill="1B3A5C"/>
          </w:tcPr>
          <w:p>
            <w:pPr>
              <w:spacing w:before="60" w:after="60"/>
            </w:pPr>
            <w:r>
              <w:rPr>
                <w:rFonts w:ascii="Calibri" w:hAnsi="Calibri"/>
                <w:b/>
                <w:color w:val="FFFFFF"/>
                <w:sz w:val="17"/>
              </w:rPr>
              <w:t>Composant</w:t>
            </w:r>
          </w:p>
        </w:tc>
        <w:tc>
          <w:tcPr>
            <w:tcW w:type="dxa" w:w="2835"/>
            <w:shd w:val="clear" w:fill="1B3A5C"/>
          </w:tcPr>
          <w:p>
            <w:pPr>
              <w:spacing w:before="60" w:after="60"/>
            </w:pPr>
            <w:r>
              <w:rPr>
                <w:rFonts w:ascii="Calibri" w:hAnsi="Calibri"/>
                <w:b/>
                <w:color w:val="FFFFFF"/>
                <w:sz w:val="17"/>
              </w:rPr>
              <w:t>Statut</w:t>
            </w:r>
          </w:p>
        </w:tc>
        <w:tc>
          <w:tcPr>
            <w:tcW w:type="dxa" w:w="2835"/>
            <w:shd w:val="clear" w:fill="1B3A5C"/>
          </w:tcPr>
          <w:p>
            <w:pPr>
              <w:spacing w:before="60" w:after="60"/>
            </w:pPr>
            <w:r>
              <w:rPr>
                <w:rFonts w:ascii="Calibri" w:hAnsi="Calibri"/>
                <w:b/>
                <w:color w:val="FFFFFF"/>
                <w:sz w:val="17"/>
              </w:rPr>
              <w:t>Détail</w:t>
            </w:r>
          </w:p>
        </w:tc>
      </w:tr>
      <w:tr>
        <w:tc>
          <w:tcPr>
            <w:tcW w:type="dxa" w:w="907"/>
          </w:tcPr>
          <w:p>
            <w:pPr>
              <w:spacing w:before="40" w:after="40"/>
            </w:pPr>
            <w:r>
              <w:rPr>
                <w:rFonts w:ascii="Calibri" w:hAnsi="Calibri"/>
                <w:b w:val="0"/>
                <w:i w:val="0"/>
                <w:color w:val="333333"/>
                <w:sz w:val="17"/>
              </w:rPr>
              <w:t>P1</w:t>
            </w:r>
          </w:p>
        </w:tc>
        <w:tc>
          <w:tcPr>
            <w:tcW w:type="dxa" w:w="2835"/>
          </w:tcPr>
          <w:p>
            <w:pPr>
              <w:spacing w:before="40" w:after="40"/>
            </w:pPr>
            <w:r>
              <w:rPr>
                <w:rFonts w:ascii="Calibri" w:hAnsi="Calibri"/>
                <w:b w:val="0"/>
                <w:i w:val="0"/>
                <w:color w:val="333333"/>
                <w:sz w:val="17"/>
              </w:rPr>
              <w:t>Écran de démarrage, connexion, session</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Authentification de l'agent auprès du back-office ; expiration sur inactivité</w:t>
            </w:r>
          </w:p>
        </w:tc>
      </w:tr>
      <w:tr>
        <w:tc>
          <w:tcPr>
            <w:tcW w:type="dxa" w:w="907"/>
            <w:shd w:val="clear" w:fill="F2F6FA"/>
          </w:tcPr>
          <w:p>
            <w:pPr>
              <w:spacing w:before="40" w:after="40"/>
            </w:pPr>
            <w:r>
              <w:rPr>
                <w:rFonts w:ascii="Calibri" w:hAnsi="Calibri"/>
                <w:b w:val="0"/>
                <w:i w:val="0"/>
                <w:color w:val="333333"/>
                <w:sz w:val="17"/>
              </w:rPr>
              <w:t>P2</w:t>
            </w:r>
          </w:p>
        </w:tc>
        <w:tc>
          <w:tcPr>
            <w:tcW w:type="dxa" w:w="2835"/>
            <w:shd w:val="clear" w:fill="F2F6FA"/>
          </w:tcPr>
          <w:p>
            <w:pPr>
              <w:spacing w:before="40" w:after="40"/>
            </w:pPr>
            <w:r>
              <w:rPr>
                <w:rFonts w:ascii="Calibri" w:hAnsi="Calibri"/>
                <w:b w:val="0"/>
                <w:i w:val="0"/>
                <w:color w:val="333333"/>
                <w:sz w:val="17"/>
              </w:rPr>
              <w:t>Tableau de bord d'accueil et navigation</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Reconstruit autour du menu assurance : Souscrire, Encaisser une prime, Verser, Rapports, Paramètres</w:t>
            </w:r>
          </w:p>
        </w:tc>
      </w:tr>
      <w:tr>
        <w:tc>
          <w:tcPr>
            <w:tcW w:type="dxa" w:w="907"/>
          </w:tcPr>
          <w:p>
            <w:pPr>
              <w:spacing w:before="40" w:after="40"/>
            </w:pPr>
            <w:r>
              <w:rPr>
                <w:rFonts w:ascii="Calibri" w:hAnsi="Calibri"/>
                <w:b w:val="0"/>
                <w:i w:val="0"/>
                <w:color w:val="333333"/>
                <w:sz w:val="17"/>
              </w:rPr>
              <w:t>P3</w:t>
            </w:r>
          </w:p>
        </w:tc>
        <w:tc>
          <w:tcPr>
            <w:tcW w:type="dxa" w:w="2835"/>
          </w:tcPr>
          <w:p>
            <w:pPr>
              <w:spacing w:before="40" w:after="40"/>
            </w:pPr>
            <w:r>
              <w:rPr>
                <w:rFonts w:ascii="Calibri" w:hAnsi="Calibri"/>
                <w:b w:val="0"/>
                <w:i w:val="0"/>
                <w:color w:val="333333"/>
                <w:sz w:val="17"/>
              </w:rPr>
              <w:t>Capture de documents et de pièce d'identité</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Prise de vue de la proposition signée et de la CNIB (recto/verso), compression, file locale, envoi avec métadonnées</w:t>
            </w:r>
          </w:p>
        </w:tc>
      </w:tr>
      <w:tr>
        <w:tc>
          <w:tcPr>
            <w:tcW w:type="dxa" w:w="907"/>
            <w:shd w:val="clear" w:fill="F2F6FA"/>
          </w:tcPr>
          <w:p>
            <w:pPr>
              <w:spacing w:before="40" w:after="40"/>
            </w:pPr>
            <w:r>
              <w:rPr>
                <w:rFonts w:ascii="Calibri" w:hAnsi="Calibri"/>
                <w:b w:val="0"/>
                <w:i w:val="0"/>
                <w:color w:val="333333"/>
                <w:sz w:val="17"/>
              </w:rPr>
              <w:t>P4</w:t>
            </w:r>
          </w:p>
        </w:tc>
        <w:tc>
          <w:tcPr>
            <w:tcW w:type="dxa" w:w="2835"/>
            <w:shd w:val="clear" w:fill="F2F6FA"/>
          </w:tcPr>
          <w:p>
            <w:pPr>
              <w:spacing w:before="40" w:after="40"/>
            </w:pPr>
            <w:r>
              <w:rPr>
                <w:rFonts w:ascii="Calibri" w:hAnsi="Calibri"/>
                <w:b w:val="0"/>
                <w:i w:val="0"/>
                <w:color w:val="333333"/>
                <w:sz w:val="17"/>
              </w:rPr>
              <w:t>Capture de la géolocalisation</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Coordonnées GPS rattachées à la souscription et à l'encaissement</w:t>
            </w:r>
          </w:p>
        </w:tc>
      </w:tr>
      <w:tr>
        <w:tc>
          <w:tcPr>
            <w:tcW w:type="dxa" w:w="907"/>
          </w:tcPr>
          <w:p>
            <w:pPr>
              <w:spacing w:before="40" w:after="40"/>
            </w:pPr>
            <w:r>
              <w:rPr>
                <w:rFonts w:ascii="Calibri" w:hAnsi="Calibri"/>
                <w:b w:val="0"/>
                <w:i w:val="0"/>
                <w:color w:val="333333"/>
                <w:sz w:val="17"/>
              </w:rPr>
              <w:t>P5</w:t>
            </w:r>
          </w:p>
        </w:tc>
        <w:tc>
          <w:tcPr>
            <w:tcW w:type="dxa" w:w="2835"/>
          </w:tcPr>
          <w:p>
            <w:pPr>
              <w:spacing w:before="40" w:after="40"/>
            </w:pPr>
            <w:r>
              <w:rPr>
                <w:rFonts w:ascii="Calibri" w:hAnsi="Calibri"/>
                <w:b w:val="0"/>
                <w:i w:val="0"/>
                <w:color w:val="333333"/>
                <w:sz w:val="17"/>
              </w:rPr>
              <w:t>Parcours de souscription (assistant)</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Adapté de l'assistant d'affiliation multi-étapes existant</w:t>
            </w:r>
          </w:p>
        </w:tc>
      </w:tr>
      <w:tr>
        <w:tc>
          <w:tcPr>
            <w:tcW w:type="dxa" w:w="907"/>
            <w:shd w:val="clear" w:fill="F2F6FA"/>
          </w:tcPr>
          <w:p>
            <w:pPr>
              <w:spacing w:before="40" w:after="40"/>
            </w:pPr>
            <w:r>
              <w:rPr>
                <w:rFonts w:ascii="Calibri" w:hAnsi="Calibri"/>
                <w:b w:val="0"/>
                <w:i w:val="0"/>
                <w:color w:val="333333"/>
                <w:sz w:val="17"/>
              </w:rPr>
              <w:t>P6</w:t>
            </w:r>
          </w:p>
        </w:tc>
        <w:tc>
          <w:tcPr>
            <w:tcW w:type="dxa" w:w="2835"/>
            <w:shd w:val="clear" w:fill="F2F6FA"/>
          </w:tcPr>
          <w:p>
            <w:pPr>
              <w:spacing w:before="40" w:after="40"/>
            </w:pPr>
            <w:r>
              <w:rPr>
                <w:rFonts w:ascii="Calibri" w:hAnsi="Calibri"/>
                <w:b w:val="0"/>
                <w:i w:val="0"/>
                <w:color w:val="333333"/>
                <w:sz w:val="17"/>
              </w:rPr>
              <w:t>Lecture de carte (NFC)</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Activité de lecture de carte existante ; étendue pour renvoyer la liste des polices actives de l'assuré</w:t>
            </w:r>
          </w:p>
        </w:tc>
      </w:tr>
      <w:tr>
        <w:tc>
          <w:tcPr>
            <w:tcW w:type="dxa" w:w="907"/>
          </w:tcPr>
          <w:p>
            <w:pPr>
              <w:spacing w:before="40" w:after="40"/>
            </w:pPr>
            <w:r>
              <w:rPr>
                <w:rFonts w:ascii="Calibri" w:hAnsi="Calibri"/>
                <w:b w:val="0"/>
                <w:i w:val="0"/>
                <w:color w:val="333333"/>
                <w:sz w:val="17"/>
              </w:rPr>
              <w:t>P7</w:t>
            </w:r>
          </w:p>
        </w:tc>
        <w:tc>
          <w:tcPr>
            <w:tcW w:type="dxa" w:w="2835"/>
          </w:tcPr>
          <w:p>
            <w:pPr>
              <w:spacing w:before="40" w:after="40"/>
            </w:pPr>
            <w:r>
              <w:rPr>
                <w:rFonts w:ascii="Calibri" w:hAnsi="Calibri"/>
                <w:b w:val="0"/>
                <w:i w:val="0"/>
                <w:color w:val="333333"/>
                <w:sz w:val="17"/>
              </w:rPr>
              <w:t>Écriture / personnalisation de carte</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Activité d'écriture de carte existante ; étendue pour la charge utile multi-polices</w:t>
            </w:r>
          </w:p>
        </w:tc>
      </w:tr>
      <w:tr>
        <w:tc>
          <w:tcPr>
            <w:tcW w:type="dxa" w:w="907"/>
            <w:shd w:val="clear" w:fill="F2F6FA"/>
          </w:tcPr>
          <w:p>
            <w:pPr>
              <w:spacing w:before="40" w:after="40"/>
            </w:pPr>
            <w:r>
              <w:rPr>
                <w:rFonts w:ascii="Calibri" w:hAnsi="Calibri"/>
                <w:b w:val="0"/>
                <w:i w:val="0"/>
                <w:color w:val="333333"/>
                <w:sz w:val="17"/>
              </w:rPr>
              <w:t>P8</w:t>
            </w:r>
          </w:p>
        </w:tc>
        <w:tc>
          <w:tcPr>
            <w:tcW w:type="dxa" w:w="2835"/>
            <w:shd w:val="clear" w:fill="F2F6FA"/>
          </w:tcPr>
          <w:p>
            <w:pPr>
              <w:spacing w:before="40" w:after="40"/>
            </w:pPr>
            <w:r>
              <w:rPr>
                <w:rFonts w:ascii="Calibri" w:hAnsi="Calibri"/>
                <w:b w:val="0"/>
                <w:i w:val="0"/>
                <w:color w:val="333333"/>
                <w:sz w:val="17"/>
              </w:rPr>
              <w:t>Lecture de carte virtuelle QR</w:t>
            </w:r>
          </w:p>
        </w:tc>
        <w:tc>
          <w:tcPr>
            <w:tcW w:type="dxa" w:w="2835"/>
            <w:shd w:val="clear" w:fill="F2F6FA"/>
          </w:tcPr>
          <w:p>
            <w:pPr>
              <w:spacing w:before="40" w:after="40"/>
            </w:pPr>
            <w:r>
              <w:rPr>
                <w:rFonts w:ascii="Calibri" w:hAnsi="Calibri"/>
                <w:b w:val="0"/>
                <w:i w:val="0"/>
                <w:color w:val="333333"/>
                <w:sz w:val="17"/>
              </w:rPr>
              <w:t>[N]</w:t>
            </w:r>
          </w:p>
        </w:tc>
        <w:tc>
          <w:tcPr>
            <w:tcW w:type="dxa" w:w="2835"/>
            <w:shd w:val="clear" w:fill="F2F6FA"/>
          </w:tcPr>
          <w:p>
            <w:pPr>
              <w:spacing w:before="40" w:after="40"/>
            </w:pPr>
            <w:r>
              <w:rPr>
                <w:rFonts w:ascii="Calibri" w:hAnsi="Calibri"/>
                <w:b w:val="0"/>
                <w:i w:val="0"/>
                <w:color w:val="333333"/>
                <w:sz w:val="17"/>
              </w:rPr>
              <w:t>Lecture par appareil photo et vérification de signature hors ligne</w:t>
            </w:r>
          </w:p>
        </w:tc>
      </w:tr>
      <w:tr>
        <w:tc>
          <w:tcPr>
            <w:tcW w:type="dxa" w:w="907"/>
          </w:tcPr>
          <w:p>
            <w:pPr>
              <w:spacing w:before="40" w:after="40"/>
            </w:pPr>
            <w:r>
              <w:rPr>
                <w:rFonts w:ascii="Calibri" w:hAnsi="Calibri"/>
                <w:b w:val="0"/>
                <w:i w:val="0"/>
                <w:color w:val="333333"/>
                <w:sz w:val="17"/>
              </w:rPr>
              <w:t>P9</w:t>
            </w:r>
          </w:p>
        </w:tc>
        <w:tc>
          <w:tcPr>
            <w:tcW w:type="dxa" w:w="2835"/>
          </w:tcPr>
          <w:p>
            <w:pPr>
              <w:spacing w:before="40" w:after="40"/>
            </w:pPr>
            <w:r>
              <w:rPr>
                <w:rFonts w:ascii="Calibri" w:hAnsi="Calibri"/>
                <w:b w:val="0"/>
                <w:i w:val="0"/>
                <w:color w:val="333333"/>
                <w:sz w:val="17"/>
              </w:rPr>
              <w:t>Sélection de police et saisie de la prime</w:t>
            </w:r>
          </w:p>
        </w:tc>
        <w:tc>
          <w:tcPr>
            <w:tcW w:type="dxa" w:w="2835"/>
          </w:tcPr>
          <w:p>
            <w:pPr>
              <w:spacing w:before="40" w:after="40"/>
            </w:pPr>
            <w:r>
              <w:rPr>
                <w:rFonts w:ascii="Calibri" w:hAnsi="Calibri"/>
                <w:b w:val="0"/>
                <w:i w:val="0"/>
                <w:color w:val="333333"/>
                <w:sz w:val="17"/>
              </w:rPr>
              <w:t>[N]</w:t>
            </w:r>
          </w:p>
        </w:tc>
        <w:tc>
          <w:tcPr>
            <w:tcW w:type="dxa" w:w="2835"/>
          </w:tcPr>
          <w:p>
            <w:pPr>
              <w:spacing w:before="40" w:after="40"/>
            </w:pPr>
            <w:r>
              <w:rPr>
                <w:rFonts w:ascii="Calibri" w:hAnsi="Calibri"/>
                <w:b w:val="0"/>
                <w:i w:val="0"/>
                <w:color w:val="333333"/>
                <w:sz w:val="17"/>
              </w:rPr>
              <w:t>Écran listant les contrats actifs de l'assuré identifié</w:t>
            </w:r>
          </w:p>
        </w:tc>
      </w:tr>
      <w:tr>
        <w:tc>
          <w:tcPr>
            <w:tcW w:type="dxa" w:w="907"/>
            <w:shd w:val="clear" w:fill="F2F6FA"/>
          </w:tcPr>
          <w:p>
            <w:pPr>
              <w:spacing w:before="40" w:after="40"/>
            </w:pPr>
            <w:r>
              <w:rPr>
                <w:rFonts w:ascii="Calibri" w:hAnsi="Calibri"/>
                <w:b w:val="0"/>
                <w:i w:val="0"/>
                <w:color w:val="333333"/>
                <w:sz w:val="17"/>
              </w:rPr>
              <w:t>P10</w:t>
            </w:r>
          </w:p>
        </w:tc>
        <w:tc>
          <w:tcPr>
            <w:tcW w:type="dxa" w:w="2835"/>
            <w:shd w:val="clear" w:fill="F2F6FA"/>
          </w:tcPr>
          <w:p>
            <w:pPr>
              <w:spacing w:before="40" w:after="40"/>
            </w:pPr>
            <w:r>
              <w:rPr>
                <w:rFonts w:ascii="Calibri" w:hAnsi="Calibri"/>
                <w:b w:val="0"/>
                <w:i w:val="0"/>
                <w:color w:val="333333"/>
                <w:sz w:val="17"/>
              </w:rPr>
              <w:t>Choix de l'instrument de paiement</w:t>
            </w:r>
          </w:p>
        </w:tc>
        <w:tc>
          <w:tcPr>
            <w:tcW w:type="dxa" w:w="2835"/>
            <w:shd w:val="clear" w:fill="F2F6FA"/>
          </w:tcPr>
          <w:p>
            <w:pPr>
              <w:spacing w:before="40" w:after="40"/>
            </w:pPr>
            <w:r>
              <w:rPr>
                <w:rFonts w:ascii="Calibri" w:hAnsi="Calibri"/>
                <w:b w:val="0"/>
                <w:i w:val="0"/>
                <w:color w:val="333333"/>
                <w:sz w:val="17"/>
              </w:rPr>
              <w:t>[N]</w:t>
            </w:r>
          </w:p>
        </w:tc>
        <w:tc>
          <w:tcPr>
            <w:tcW w:type="dxa" w:w="2835"/>
            <w:shd w:val="clear" w:fill="F2F6FA"/>
          </w:tcPr>
          <w:p>
            <w:pPr>
              <w:spacing w:before="40" w:after="40"/>
            </w:pPr>
            <w:r>
              <w:rPr>
                <w:rFonts w:ascii="Calibri" w:hAnsi="Calibri"/>
                <w:b w:val="0"/>
                <w:i w:val="0"/>
                <w:color w:val="333333"/>
                <w:sz w:val="17"/>
              </w:rPr>
              <w:t>Espèces / Mobile Money</w:t>
            </w:r>
          </w:p>
        </w:tc>
      </w:tr>
      <w:tr>
        <w:tc>
          <w:tcPr>
            <w:tcW w:type="dxa" w:w="907"/>
          </w:tcPr>
          <w:p>
            <w:pPr>
              <w:spacing w:before="40" w:after="40"/>
            </w:pPr>
            <w:r>
              <w:rPr>
                <w:rFonts w:ascii="Calibri" w:hAnsi="Calibri"/>
                <w:b w:val="0"/>
                <w:i w:val="0"/>
                <w:color w:val="333333"/>
                <w:sz w:val="17"/>
              </w:rPr>
              <w:t>P11</w:t>
            </w:r>
          </w:p>
        </w:tc>
        <w:tc>
          <w:tcPr>
            <w:tcW w:type="dxa" w:w="2835"/>
          </w:tcPr>
          <w:p>
            <w:pPr>
              <w:spacing w:before="40" w:after="40"/>
            </w:pPr>
            <w:r>
              <w:rPr>
                <w:rFonts w:ascii="Calibri" w:hAnsi="Calibri"/>
                <w:b w:val="0"/>
                <w:i w:val="0"/>
                <w:color w:val="333333"/>
                <w:sz w:val="17"/>
              </w:rPr>
              <w:t>Encaissement Mobile Money</w:t>
            </w:r>
          </w:p>
        </w:tc>
        <w:tc>
          <w:tcPr>
            <w:tcW w:type="dxa" w:w="2835"/>
          </w:tcPr>
          <w:p>
            <w:pPr>
              <w:spacing w:before="40" w:after="40"/>
            </w:pPr>
            <w:r>
              <w:rPr>
                <w:rFonts w:ascii="Calibri" w:hAnsi="Calibri"/>
                <w:b w:val="0"/>
                <w:i w:val="0"/>
                <w:color w:val="333333"/>
                <w:sz w:val="17"/>
              </w:rPr>
              <w:t>[N]</w:t>
            </w:r>
          </w:p>
        </w:tc>
        <w:tc>
          <w:tcPr>
            <w:tcW w:type="dxa" w:w="2835"/>
          </w:tcPr>
          <w:p>
            <w:pPr>
              <w:spacing w:before="40" w:after="40"/>
            </w:pPr>
            <w:r>
              <w:rPr>
                <w:rFonts w:ascii="Calibri" w:hAnsi="Calibri"/>
                <w:b w:val="0"/>
                <w:i w:val="0"/>
                <w:color w:val="333333"/>
                <w:sz w:val="17"/>
              </w:rPr>
              <w:t>Initiation, interrogation du statut, gestion des expirations et des annulations</w:t>
            </w:r>
          </w:p>
        </w:tc>
      </w:tr>
      <w:tr>
        <w:tc>
          <w:tcPr>
            <w:tcW w:type="dxa" w:w="907"/>
            <w:shd w:val="clear" w:fill="F2F6FA"/>
          </w:tcPr>
          <w:p>
            <w:pPr>
              <w:spacing w:before="40" w:after="40"/>
            </w:pPr>
            <w:r>
              <w:rPr>
                <w:rFonts w:ascii="Calibri" w:hAnsi="Calibri"/>
                <w:b w:val="0"/>
                <w:i w:val="0"/>
                <w:color w:val="333333"/>
                <w:sz w:val="17"/>
              </w:rPr>
              <w:t>P12</w:t>
            </w:r>
          </w:p>
        </w:tc>
        <w:tc>
          <w:tcPr>
            <w:tcW w:type="dxa" w:w="2835"/>
            <w:shd w:val="clear" w:fill="F2F6FA"/>
          </w:tcPr>
          <w:p>
            <w:pPr>
              <w:spacing w:before="40" w:after="40"/>
            </w:pPr>
            <w:r>
              <w:rPr>
                <w:rFonts w:ascii="Calibri" w:hAnsi="Calibri"/>
                <w:b w:val="0"/>
                <w:i w:val="0"/>
                <w:color w:val="333333"/>
                <w:sz w:val="17"/>
              </w:rPr>
              <w:t>Impression des reçus</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Intégration imprimante thermique existante ; nouveaux modèles pour les frais de police, la première prime et la prime récurrente</w:t>
            </w:r>
          </w:p>
        </w:tc>
      </w:tr>
      <w:tr>
        <w:tc>
          <w:tcPr>
            <w:tcW w:type="dxa" w:w="907"/>
          </w:tcPr>
          <w:p>
            <w:pPr>
              <w:spacing w:before="40" w:after="40"/>
            </w:pPr>
            <w:r>
              <w:rPr>
                <w:rFonts w:ascii="Calibri" w:hAnsi="Calibri"/>
                <w:b w:val="0"/>
                <w:i w:val="0"/>
                <w:color w:val="333333"/>
                <w:sz w:val="17"/>
              </w:rPr>
              <w:t>P13</w:t>
            </w:r>
          </w:p>
        </w:tc>
        <w:tc>
          <w:tcPr>
            <w:tcW w:type="dxa" w:w="2835"/>
          </w:tcPr>
          <w:p>
            <w:pPr>
              <w:spacing w:before="40" w:after="40"/>
            </w:pPr>
            <w:r>
              <w:rPr>
                <w:rFonts w:ascii="Calibri" w:hAnsi="Calibri"/>
                <w:b w:val="0"/>
                <w:i w:val="0"/>
                <w:color w:val="333333"/>
                <w:sz w:val="17"/>
              </w:rPr>
              <w:t>File hors ligne et synchronisation</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Stockage SQLite local ; reprise avec temporisation croissante ; références uniques sans conflit</w:t>
            </w:r>
          </w:p>
        </w:tc>
      </w:tr>
      <w:tr>
        <w:tc>
          <w:tcPr>
            <w:tcW w:type="dxa" w:w="907"/>
            <w:shd w:val="clear" w:fill="F2F6FA"/>
          </w:tcPr>
          <w:p>
            <w:pPr>
              <w:spacing w:before="40" w:after="40"/>
            </w:pPr>
            <w:r>
              <w:rPr>
                <w:rFonts w:ascii="Calibri" w:hAnsi="Calibri"/>
                <w:b w:val="0"/>
                <w:i w:val="0"/>
                <w:color w:val="333333"/>
                <w:sz w:val="17"/>
              </w:rPr>
              <w:t>P14</w:t>
            </w:r>
          </w:p>
        </w:tc>
        <w:tc>
          <w:tcPr>
            <w:tcW w:type="dxa" w:w="2835"/>
            <w:shd w:val="clear" w:fill="F2F6FA"/>
          </w:tcPr>
          <w:p>
            <w:pPr>
              <w:spacing w:before="40" w:after="40"/>
            </w:pPr>
            <w:r>
              <w:rPr>
                <w:rFonts w:ascii="Calibri" w:hAnsi="Calibri"/>
                <w:b w:val="0"/>
                <w:i w:val="0"/>
                <w:color w:val="333333"/>
                <w:sz w:val="17"/>
              </w:rPr>
              <w:t>Indicateur de plafond et déclaration de versement</w:t>
            </w:r>
          </w:p>
        </w:tc>
        <w:tc>
          <w:tcPr>
            <w:tcW w:type="dxa" w:w="2835"/>
            <w:shd w:val="clear" w:fill="F2F6FA"/>
          </w:tcPr>
          <w:p>
            <w:pPr>
              <w:spacing w:before="40" w:after="40"/>
            </w:pPr>
            <w:r>
              <w:rPr>
                <w:rFonts w:ascii="Calibri" w:hAnsi="Calibri"/>
                <w:b w:val="0"/>
                <w:i w:val="0"/>
                <w:color w:val="333333"/>
                <w:sz w:val="17"/>
              </w:rPr>
              <w:t>[N]</w:t>
            </w:r>
          </w:p>
        </w:tc>
        <w:tc>
          <w:tcPr>
            <w:tcW w:type="dxa" w:w="2835"/>
            <w:shd w:val="clear" w:fill="F2F6FA"/>
          </w:tcPr>
          <w:p>
            <w:pPr>
              <w:spacing w:before="40" w:after="40"/>
            </w:pPr>
            <w:r>
              <w:rPr>
                <w:rFonts w:ascii="Calibri" w:hAnsi="Calibri"/>
                <w:b w:val="0"/>
                <w:i w:val="0"/>
                <w:color w:val="333333"/>
                <w:sz w:val="17"/>
              </w:rPr>
              <w:t>Solde non versé en temps réel, seuil d'alerte, état bloqué, soumission du versement</w:t>
            </w:r>
          </w:p>
        </w:tc>
      </w:tr>
      <w:tr>
        <w:tc>
          <w:tcPr>
            <w:tcW w:type="dxa" w:w="907"/>
          </w:tcPr>
          <w:p>
            <w:pPr>
              <w:spacing w:before="40" w:after="40"/>
            </w:pPr>
            <w:r>
              <w:rPr>
                <w:rFonts w:ascii="Calibri" w:hAnsi="Calibri"/>
                <w:b w:val="0"/>
                <w:i w:val="0"/>
                <w:color w:val="333333"/>
                <w:sz w:val="17"/>
              </w:rPr>
              <w:t>P15</w:t>
            </w:r>
          </w:p>
        </w:tc>
        <w:tc>
          <w:tcPr>
            <w:tcW w:type="dxa" w:w="2835"/>
          </w:tcPr>
          <w:p>
            <w:pPr>
              <w:spacing w:before="40" w:after="40"/>
            </w:pPr>
            <w:r>
              <w:rPr>
                <w:rFonts w:ascii="Calibri" w:hAnsi="Calibri"/>
                <w:b w:val="0"/>
                <w:i w:val="0"/>
                <w:color w:val="333333"/>
                <w:sz w:val="17"/>
              </w:rPr>
              <w:t>Rapports de l'agent sur l'appareil</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Encaissements du jour, totaux, réimpression d'un reçu</w:t>
            </w:r>
          </w:p>
        </w:tc>
      </w:tr>
      <w:tr>
        <w:tc>
          <w:tcPr>
            <w:tcW w:type="dxa" w:w="907"/>
            <w:shd w:val="clear" w:fill="F2F6FA"/>
          </w:tcPr>
          <w:p>
            <w:pPr>
              <w:spacing w:before="40" w:after="40"/>
            </w:pPr>
            <w:r>
              <w:rPr>
                <w:rFonts w:ascii="Calibri" w:hAnsi="Calibri"/>
                <w:b w:val="0"/>
                <w:i w:val="0"/>
                <w:color w:val="333333"/>
                <w:sz w:val="17"/>
              </w:rPr>
              <w:t>P16</w:t>
            </w:r>
          </w:p>
        </w:tc>
        <w:tc>
          <w:tcPr>
            <w:tcW w:type="dxa" w:w="2835"/>
            <w:shd w:val="clear" w:fill="F2F6FA"/>
          </w:tcPr>
          <w:p>
            <w:pPr>
              <w:spacing w:before="40" w:after="40"/>
            </w:pPr>
            <w:r>
              <w:rPr>
                <w:rFonts w:ascii="Calibri" w:hAnsi="Calibri"/>
                <w:b w:val="0"/>
                <w:i w:val="0"/>
                <w:color w:val="333333"/>
                <w:sz w:val="17"/>
              </w:rPr>
              <w:t>Bilingue FR/EN</w:t>
            </w:r>
          </w:p>
        </w:tc>
        <w:tc>
          <w:tcPr>
            <w:tcW w:type="dxa" w:w="2835"/>
            <w:shd w:val="clear" w:fill="F2F6FA"/>
          </w:tcPr>
          <w:p>
            <w:pPr>
              <w:spacing w:before="40" w:after="40"/>
            </w:pPr>
            <w:r>
              <w:rPr>
                <w:rFonts w:ascii="Calibri" w:hAnsi="Calibri"/>
                <w:b w:val="0"/>
                <w:i w:val="0"/>
                <w:color w:val="333333"/>
                <w:sz w:val="17"/>
              </w:rPr>
              <w:t>[R]</w:t>
            </w:r>
          </w:p>
        </w:tc>
        <w:tc>
          <w:tcPr>
            <w:tcW w:type="dxa" w:w="2835"/>
            <w:shd w:val="clear" w:fill="F2F6FA"/>
          </w:tcPr>
          <w:p>
            <w:pPr>
              <w:spacing w:before="40" w:after="40"/>
            </w:pPr>
            <w:r>
              <w:rPr>
                <w:rFonts w:ascii="Calibri" w:hAnsi="Calibri"/>
                <w:b w:val="0"/>
                <w:i w:val="0"/>
                <w:color w:val="333333"/>
                <w:sz w:val="17"/>
              </w:rPr>
              <w:t>Déjà implémenté</w:t>
            </w:r>
          </w:p>
        </w:tc>
      </w:tr>
      <w:tr>
        <w:tc>
          <w:tcPr>
            <w:tcW w:type="dxa" w:w="907"/>
          </w:tcPr>
          <w:p>
            <w:pPr>
              <w:spacing w:before="40" w:after="40"/>
            </w:pPr>
            <w:r>
              <w:rPr>
                <w:rFonts w:ascii="Calibri" w:hAnsi="Calibri"/>
                <w:b w:val="0"/>
                <w:i w:val="0"/>
                <w:color w:val="333333"/>
                <w:sz w:val="17"/>
              </w:rPr>
              <w:t>P17</w:t>
            </w:r>
          </w:p>
        </w:tc>
        <w:tc>
          <w:tcPr>
            <w:tcW w:type="dxa" w:w="2835"/>
          </w:tcPr>
          <w:p>
            <w:pPr>
              <w:spacing w:before="40" w:after="40"/>
            </w:pPr>
            <w:r>
              <w:rPr>
                <w:rFonts w:ascii="Calibri" w:hAnsi="Calibri"/>
                <w:b w:val="0"/>
                <w:i w:val="0"/>
                <w:color w:val="333333"/>
                <w:sz w:val="17"/>
              </w:rPr>
              <w:t>Capture biométrique (empreinte)</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 xml:space="preserve">Présent dans la plateforme ; </w:t>
            </w:r>
            <w:r>
              <w:rPr>
                <w:rFonts w:ascii="Calibri" w:hAnsi="Calibri"/>
                <w:b/>
                <w:i w:val="0"/>
                <w:color w:val="333333"/>
                <w:sz w:val="17"/>
              </w:rPr>
              <w:t>optionnel</w:t>
            </w:r>
            <w:r>
              <w:rPr>
                <w:rFonts w:ascii="Calibri" w:hAnsi="Calibri"/>
                <w:b w:val="0"/>
                <w:i w:val="0"/>
                <w:color w:val="333333"/>
                <w:sz w:val="17"/>
              </w:rPr>
              <w:t xml:space="preserve"> pour SUNU, disponible si SUNU souhaite authentifier l'assuré par biométrie en lieu et place de la carte ou en complément</w:t>
            </w:r>
          </w:p>
        </w:tc>
      </w:tr>
    </w:tbl>
    <w:p>
      <w:pPr>
        <w:spacing w:after="40"/>
      </w:pPr>
    </w:p>
    <w:p>
      <w:pPr>
        <w:pStyle w:val="Heading2"/>
        <w:spacing w:before="280" w:after="80"/>
        <w:keepNext/>
      </w:pPr>
      <w:bookmarkStart w:id="114" w:name="_Toc_s013"/>
      <w:r>
        <w:rPr>
          <w:rFonts w:ascii="Calibri" w:hAnsi="Calibri"/>
          <w:b/>
          <w:color w:val="1B3A5C"/>
          <w:sz w:val="24"/>
        </w:rPr>
        <w:t>4.3 Concentration de l'effort</w:t>
      </w:r>
      <w:bookmarkEnd w:id="114"/>
    </w:p>
    <w:p>
      <w:r>
        <w:rPr>
          <w:rFonts w:ascii="Calibri" w:hAnsi="Calibri"/>
          <w:b w:val="0"/>
          <w:i w:val="0"/>
          <w:color w:val="333333"/>
          <w:sz w:val="20"/>
        </w:rPr>
        <w:t>Le développement neuf se concentre en cinq endroits : le modèle produit/police d'assurance (B7, B9), les plafonds et versements (B12, P14), la carte virtuelle QR (B14, P8), le Mobile Money (B15, P10–P11) et le hub SUNULIFE (B16). Tout le reste est l'adaptation de code en exploitation. Le Document 4 en ordonne la séquence.</w:t>
      </w:r>
    </w:p>
    <w:p>
      <w:pPr>
        <w:pStyle w:val="Heading1"/>
        <w:pageBreakBefore/>
        <w:spacing w:before="360" w:after="80"/>
        <w:keepNext/>
        <w:pBdr>
          <w:bottom w:val="single" w:sz="8" w:space="6" w:color="1B3A5C"/>
        </w:pBdr>
      </w:pPr>
      <w:bookmarkStart w:id="115" w:name="_Toc_s014"/>
      <w:r>
        <w:rPr>
          <w:rFonts w:ascii="Calibri" w:hAnsi="Calibri"/>
          <w:b/>
          <w:color w:val="1B3A5C"/>
          <w:sz w:val="30"/>
        </w:rPr>
        <w:t>5. Architecture des données</w:t>
      </w:r>
      <w:bookmarkEnd w:id="115"/>
    </w:p>
    <w:p>
      <w:pPr>
        <w:pStyle w:val="Heading2"/>
        <w:spacing w:before="280" w:after="80"/>
        <w:keepNext/>
      </w:pPr>
      <w:bookmarkStart w:id="116" w:name="_Toc_s015"/>
      <w:r>
        <w:rPr>
          <w:rFonts w:ascii="Calibri" w:hAnsi="Calibri"/>
          <w:b/>
          <w:color w:val="1B3A5C"/>
          <w:sz w:val="24"/>
        </w:rPr>
        <w:t>5.1 Entités principales</w:t>
      </w:r>
      <w:bookmarkEnd w:id="116"/>
    </w:p>
    <w:p>
      <w:pPr>
        <w:spacing w:before="120" w:after="160" w:line="240" w:lineRule="auto"/>
        <w:ind w:left="113"/>
        <w:shd w:val="clear" w:fill="F4F5F2"/>
        <w:pBdr>
          <w:left w:val="single" w:sz="12" w:space="6" w:color="1B3A5C"/>
        </w:pBdr>
      </w:pPr>
      <w:r>
        <w:rPr>
          <w:rFonts w:ascii="Consolas" w:hAnsi="Consolas" w:cs="Consolas"/>
          <w:color w:val="333333"/>
          <w:sz w:val="15"/>
        </w:rPr>
        <w:t>business_unit</w:t>
        <w:br/>
      </w:r>
      <w:r>
        <w:rPr>
          <w:rFonts w:ascii="Consolas" w:hAnsi="Consolas" w:cs="Consolas"/>
          <w:color w:val="333333"/>
          <w:sz w:val="15"/>
        </w:rPr>
        <w:t xml:space="preserve">   │</w:t>
        <w:br/>
      </w:r>
      <w:r>
        <w:rPr>
          <w:rFonts w:ascii="Consolas" w:hAnsi="Consolas" w:cs="Consolas"/>
          <w:color w:val="333333"/>
          <w:sz w:val="15"/>
        </w:rPr>
        <w:t xml:space="preserve">   ├── user ──── role ──── permission</w:t>
        <w:br/>
      </w:r>
      <w:r>
        <w:rPr>
          <w:rFonts w:ascii="Consolas" w:hAnsi="Consolas" w:cs="Consolas"/>
          <w:color w:val="333333"/>
          <w:sz w:val="15"/>
        </w:rPr>
        <w:t xml:space="preserve">   │</w:t>
        <w:br/>
      </w:r>
      <w:r>
        <w:rPr>
          <w:rFonts w:ascii="Consolas" w:hAnsi="Consolas" w:cs="Consolas"/>
          <w:color w:val="333333"/>
          <w:sz w:val="15"/>
        </w:rPr>
        <w:t xml:space="preserve">   ├── agent (collecteur) ─┬── agent_terminal ──── terminal</w:t>
        <w:br/>
      </w:r>
      <w:r>
        <w:rPr>
          <w:rFonts w:ascii="Consolas" w:hAnsi="Consolas" w:cs="Consolas"/>
          <w:color w:val="333333"/>
          <w:sz w:val="15"/>
        </w:rPr>
        <w:t xml:space="preserve">   │                       └── collector_cap / collector_balance      [neuf]</w:t>
        <w:br/>
      </w:r>
      <w:r>
        <w:rPr>
          <w:rFonts w:ascii="Consolas" w:hAnsi="Consolas" w:cs="Consolas"/>
          <w:color w:val="333333"/>
          <w:sz w:val="15"/>
        </w:rPr>
        <w:t xml:space="preserve">   │</w:t>
        <w:br/>
      </w:r>
      <w:r>
        <w:rPr>
          <w:rFonts w:ascii="Consolas" w:hAnsi="Consolas" w:cs="Consolas"/>
          <w:color w:val="333333"/>
          <w:sz w:val="15"/>
        </w:rPr>
        <w:t xml:space="preserve">   ├── client (assuré) ────┬── client_document (photo proposition, CNIB)</w:t>
        <w:br/>
      </w:r>
      <w:r>
        <w:rPr>
          <w:rFonts w:ascii="Consolas" w:hAnsi="Consolas" w:cs="Consolas"/>
          <w:color w:val="333333"/>
          <w:sz w:val="15"/>
        </w:rPr>
        <w:t xml:space="preserve">   │                       ├── proposal              [adapté]</w:t>
        <w:br/>
      </w:r>
      <w:r>
        <w:rPr>
          <w:rFonts w:ascii="Consolas" w:hAnsi="Consolas" w:cs="Consolas"/>
          <w:color w:val="333333"/>
          <w:sz w:val="15"/>
        </w:rPr>
        <w:t xml:space="preserve">   │                       ├── policy                [neuf]</w:t>
        <w:br/>
      </w:r>
      <w:r>
        <w:rPr>
          <w:rFonts w:ascii="Consolas" w:hAnsi="Consolas" w:cs="Consolas"/>
          <w:color w:val="333333"/>
          <w:sz w:val="15"/>
        </w:rPr>
        <w:t xml:space="preserve">   │                       └── card ────── card_policy_link           [neuf]</w:t>
        <w:br/>
      </w:r>
      <w:r>
        <w:rPr>
          <w:rFonts w:ascii="Consolas" w:hAnsi="Consolas" w:cs="Consolas"/>
          <w:color w:val="333333"/>
          <w:sz w:val="15"/>
        </w:rPr>
        <w:t xml:space="preserve">   │                                └── virtual_card_credential       [neuf]</w:t>
        <w:br/>
      </w:r>
      <w:r>
        <w:rPr>
          <w:rFonts w:ascii="Consolas" w:hAnsi="Consolas" w:cs="Consolas"/>
          <w:color w:val="333333"/>
          <w:sz w:val="15"/>
        </w:rPr>
        <w:t xml:space="preserve">   │</w:t>
        <w:br/>
      </w:r>
      <w:r>
        <w:rPr>
          <w:rFonts w:ascii="Consolas" w:hAnsi="Consolas" w:cs="Consolas"/>
          <w:color w:val="333333"/>
          <w:sz w:val="15"/>
        </w:rPr>
        <w:t xml:space="preserve">   ├── insurance_product        [neuf]</w:t>
        <w:br/>
      </w:r>
      <w:r>
        <w:rPr>
          <w:rFonts w:ascii="Consolas" w:hAnsi="Consolas" w:cs="Consolas"/>
          <w:color w:val="333333"/>
          <w:sz w:val="15"/>
        </w:rPr>
        <w:t xml:space="preserve">   │</w:t>
        <w:br/>
      </w:r>
      <w:r>
        <w:rPr>
          <w:rFonts w:ascii="Consolas" w:hAnsi="Consolas" w:cs="Consolas"/>
          <w:color w:val="333333"/>
          <w:sz w:val="15"/>
        </w:rPr>
        <w:t xml:space="preserve">   ├── premium_collection ─── transaction ─── transaction_type</w:t>
        <w:br/>
      </w:r>
      <w:r>
        <w:rPr>
          <w:rFonts w:ascii="Consolas" w:hAnsi="Consolas" w:cs="Consolas"/>
          <w:color w:val="333333"/>
          <w:sz w:val="15"/>
        </w:rPr>
        <w:t xml:space="preserve">   │        [adapté]              [réutilisé]</w:t>
        <w:br/>
      </w:r>
      <w:r>
        <w:rPr>
          <w:rFonts w:ascii="Consolas" w:hAnsi="Consolas" w:cs="Consolas"/>
          <w:color w:val="333333"/>
          <w:sz w:val="15"/>
        </w:rPr>
        <w:t xml:space="preserve">   │</w:t>
        <w:br/>
      </w:r>
      <w:r>
        <w:rPr>
          <w:rFonts w:ascii="Consolas" w:hAnsi="Consolas" w:cs="Consolas"/>
          <w:color w:val="333333"/>
          <w:sz w:val="15"/>
        </w:rPr>
        <w:t xml:space="preserve">   ├── pay_in ──── pay_in_lines  [neuf]</w:t>
        <w:br/>
      </w:r>
      <w:r>
        <w:rPr>
          <w:rFonts w:ascii="Consolas" w:hAnsi="Consolas" w:cs="Consolas"/>
          <w:color w:val="333333"/>
          <w:sz w:val="15"/>
        </w:rPr>
        <w:t xml:space="preserve">   │</w:t>
        <w:br/>
      </w:r>
      <w:r>
        <w:rPr>
          <w:rFonts w:ascii="Consolas" w:hAnsi="Consolas" w:cs="Consolas"/>
          <w:color w:val="333333"/>
          <w:sz w:val="15"/>
        </w:rPr>
        <w:t xml:space="preserve">   ├── momo_payment              [neuf]</w:t>
        <w:br/>
      </w:r>
      <w:r>
        <w:rPr>
          <w:rFonts w:ascii="Consolas" w:hAnsi="Consolas" w:cs="Consolas"/>
          <w:color w:val="333333"/>
          <w:sz w:val="15"/>
        </w:rPr>
        <w:t xml:space="preserve">   │</w:t>
        <w:br/>
      </w:r>
      <w:r>
        <w:rPr>
          <w:rFonts w:ascii="Consolas" w:hAnsi="Consolas" w:cs="Consolas"/>
          <w:color w:val="333333"/>
          <w:sz w:val="15"/>
        </w:rPr>
        <w:t xml:space="preserve">   ├── sunulife_sync_log         [neuf]</w:t>
        <w:br/>
      </w:r>
      <w:r>
        <w:rPr>
          <w:rFonts w:ascii="Consolas" w:hAnsi="Consolas" w:cs="Consolas"/>
          <w:color w:val="333333"/>
          <w:sz w:val="15"/>
        </w:rPr>
        <w:t xml:space="preserve">   │</w:t>
        <w:br/>
      </w:r>
      <w:r>
        <w:rPr>
          <w:rFonts w:ascii="Consolas" w:hAnsi="Consolas" w:cs="Consolas"/>
          <w:color w:val="333333"/>
          <w:sz w:val="15"/>
        </w:rPr>
        <w:t xml:space="preserve">   ├── report (export asynchrone)  [réutilisé]</w:t>
        <w:br/>
      </w:r>
      <w:r>
        <w:rPr>
          <w:rFonts w:ascii="Consolas" w:hAnsi="Consolas" w:cs="Consolas"/>
          <w:color w:val="333333"/>
          <w:sz w:val="15"/>
        </w:rPr>
        <w:t xml:space="preserve">   └── activity_log (audit)        [réutilisé]</w:t>
      </w:r>
    </w:p>
    <w:p>
      <w:pPr>
        <w:pStyle w:val="Heading2"/>
        <w:spacing w:before="280" w:after="80"/>
        <w:keepNext/>
      </w:pPr>
      <w:bookmarkStart w:id="117" w:name="_Toc_s016"/>
      <w:r>
        <w:rPr>
          <w:rFonts w:ascii="Calibri" w:hAnsi="Calibri"/>
          <w:b/>
          <w:color w:val="1B3A5C"/>
          <w:sz w:val="24"/>
        </w:rPr>
        <w:t>5.2 Principales tables nouvelles ou adaptées</w:t>
      </w:r>
      <w:bookmarkEnd w:id="117"/>
    </w:p>
    <w:p>
      <w:r>
        <w:rPr>
          <w:rFonts w:ascii="Consolas" w:hAnsi="Consolas"/>
          <w:b/>
          <w:i w:val="0"/>
          <w:color w:val="1B3A5C"/>
          <w:sz w:val="19"/>
        </w:rPr>
        <w:t>insurance_product</w:t>
      </w:r>
      <w:r>
        <w:rPr>
          <w:rFonts w:ascii="Calibri" w:hAnsi="Calibri"/>
          <w:b w:val="0"/>
          <w:i w:val="0"/>
          <w:color w:val="333333"/>
          <w:sz w:val="20"/>
        </w:rPr>
        <w:t xml:space="preserve"> — </w:t>
      </w:r>
      <w:r>
        <w:rPr>
          <w:rFonts w:ascii="Consolas" w:hAnsi="Consolas"/>
          <w:b w:val="0"/>
          <w:i w:val="0"/>
          <w:color w:val="1B3A5C"/>
          <w:sz w:val="19"/>
        </w:rPr>
        <w:t>code</w:t>
      </w:r>
      <w:r>
        <w:rPr>
          <w:rFonts w:ascii="Calibri" w:hAnsi="Calibri"/>
          <w:b w:val="0"/>
          <w:i w:val="0"/>
          <w:color w:val="333333"/>
          <w:sz w:val="20"/>
        </w:rPr>
        <w:t xml:space="preserve">, </w:t>
      </w:r>
      <w:r>
        <w:rPr>
          <w:rFonts w:ascii="Consolas" w:hAnsi="Consolas"/>
          <w:b w:val="0"/>
          <w:i w:val="0"/>
          <w:color w:val="1B3A5C"/>
          <w:sz w:val="19"/>
        </w:rPr>
        <w:t>name_fr</w:t>
      </w:r>
      <w:r>
        <w:rPr>
          <w:rFonts w:ascii="Calibri" w:hAnsi="Calibri"/>
          <w:b w:val="0"/>
          <w:i w:val="0"/>
          <w:color w:val="333333"/>
          <w:sz w:val="20"/>
        </w:rPr>
        <w:t xml:space="preserve">, </w:t>
      </w:r>
      <w:r>
        <w:rPr>
          <w:rFonts w:ascii="Consolas" w:hAnsi="Consolas"/>
          <w:b w:val="0"/>
          <w:i w:val="0"/>
          <w:color w:val="1B3A5C"/>
          <w:sz w:val="19"/>
        </w:rPr>
        <w:t>name_en</w:t>
      </w:r>
      <w:r>
        <w:rPr>
          <w:rFonts w:ascii="Calibri" w:hAnsi="Calibri"/>
          <w:b w:val="0"/>
          <w:i w:val="0"/>
          <w:color w:val="333333"/>
          <w:sz w:val="20"/>
        </w:rPr>
        <w:t xml:space="preserve">, </w:t>
      </w:r>
      <w:r>
        <w:rPr>
          <w:rFonts w:ascii="Consolas" w:hAnsi="Consolas"/>
          <w:b w:val="0"/>
          <w:i w:val="0"/>
          <w:color w:val="1B3A5C"/>
          <w:sz w:val="19"/>
        </w:rPr>
        <w:t>family</w:t>
      </w:r>
      <w:r>
        <w:rPr>
          <w:rFonts w:ascii="Calibri" w:hAnsi="Calibri"/>
          <w:b w:val="0"/>
          <w:i w:val="0"/>
          <w:color w:val="333333"/>
          <w:sz w:val="20"/>
        </w:rPr>
        <w:t xml:space="preserve"> (micro-assurance / standard), </w:t>
      </w:r>
      <w:r>
        <w:rPr>
          <w:rFonts w:ascii="Consolas" w:hAnsi="Consolas"/>
          <w:b w:val="0"/>
          <w:i w:val="0"/>
          <w:color w:val="1B3A5C"/>
          <w:sz w:val="19"/>
        </w:rPr>
        <w:t>default_premium_frequency</w:t>
      </w:r>
      <w:r>
        <w:rPr>
          <w:rFonts w:ascii="Calibri" w:hAnsi="Calibri"/>
          <w:b w:val="0"/>
          <w:i w:val="0"/>
          <w:color w:val="333333"/>
          <w:sz w:val="20"/>
        </w:rPr>
        <w:t xml:space="preserve">, </w:t>
      </w:r>
      <w:r>
        <w:rPr>
          <w:rFonts w:ascii="Consolas" w:hAnsi="Consolas"/>
          <w:b w:val="0"/>
          <w:i w:val="0"/>
          <w:color w:val="1B3A5C"/>
          <w:sz w:val="19"/>
        </w:rPr>
        <w:t>policy_cost_rule</w:t>
      </w:r>
      <w:r>
        <w:rPr>
          <w:rFonts w:ascii="Calibri" w:hAnsi="Calibri"/>
          <w:b w:val="0"/>
          <w:i w:val="0"/>
          <w:color w:val="333333"/>
          <w:sz w:val="20"/>
        </w:rPr>
        <w:t xml:space="preserve">, </w:t>
      </w:r>
      <w:r>
        <w:rPr>
          <w:rFonts w:ascii="Consolas" w:hAnsi="Consolas"/>
          <w:b w:val="0"/>
          <w:i w:val="0"/>
          <w:color w:val="1B3A5C"/>
          <w:sz w:val="19"/>
        </w:rPr>
        <w:t>receipt_template</w:t>
      </w:r>
      <w:r>
        <w:rPr>
          <w:rFonts w:ascii="Calibri" w:hAnsi="Calibri"/>
          <w:b w:val="0"/>
          <w:i w:val="0"/>
          <w:color w:val="333333"/>
          <w:sz w:val="20"/>
        </w:rPr>
        <w:t xml:space="preserve">, </w:t>
      </w:r>
      <w:r>
        <w:rPr>
          <w:rFonts w:ascii="Consolas" w:hAnsi="Consolas"/>
          <w:b w:val="0"/>
          <w:i w:val="0"/>
          <w:color w:val="1B3A5C"/>
          <w:sz w:val="19"/>
        </w:rPr>
        <w:t>sunulife_product_code</w:t>
      </w:r>
      <w:r>
        <w:rPr>
          <w:rFonts w:ascii="Calibri" w:hAnsi="Calibri"/>
          <w:b w:val="0"/>
          <w:i w:val="0"/>
          <w:color w:val="333333"/>
          <w:sz w:val="20"/>
        </w:rPr>
        <w:t xml:space="preserve">, </w:t>
      </w:r>
      <w:r>
        <w:rPr>
          <w:rFonts w:ascii="Consolas" w:hAnsi="Consolas"/>
          <w:b w:val="0"/>
          <w:i w:val="0"/>
          <w:color w:val="1B3A5C"/>
          <w:sz w:val="19"/>
        </w:rPr>
        <w:t>is_active</w:t>
      </w:r>
      <w:r>
        <w:rPr>
          <w:rFonts w:ascii="Calibri" w:hAnsi="Calibri"/>
          <w:b w:val="0"/>
          <w:i w:val="0"/>
          <w:color w:val="333333"/>
          <w:sz w:val="20"/>
        </w:rPr>
        <w:t>.</w:t>
      </w:r>
    </w:p>
    <w:p>
      <w:r>
        <w:rPr>
          <w:rFonts w:ascii="Consolas" w:hAnsi="Consolas"/>
          <w:b/>
          <w:i w:val="0"/>
          <w:color w:val="1B3A5C"/>
          <w:sz w:val="19"/>
        </w:rPr>
        <w:t>proposal</w:t>
      </w:r>
      <w:r>
        <w:rPr>
          <w:rFonts w:ascii="Calibri" w:hAnsi="Calibri"/>
          <w:b w:val="0"/>
          <w:i w:val="0"/>
          <w:color w:val="333333"/>
          <w:sz w:val="20"/>
        </w:rPr>
        <w:t xml:space="preserve"> — </w:t>
      </w:r>
      <w:r>
        <w:rPr>
          <w:rFonts w:ascii="Consolas" w:hAnsi="Consolas"/>
          <w:b w:val="0"/>
          <w:i w:val="0"/>
          <w:color w:val="1B3A5C"/>
          <w:sz w:val="19"/>
        </w:rPr>
        <w:t>business_unit_id</w:t>
      </w:r>
      <w:r>
        <w:rPr>
          <w:rFonts w:ascii="Calibri" w:hAnsi="Calibri"/>
          <w:b w:val="0"/>
          <w:i w:val="0"/>
          <w:color w:val="333333"/>
          <w:sz w:val="20"/>
        </w:rPr>
        <w:t xml:space="preserve">, </w:t>
      </w:r>
      <w:r>
        <w:rPr>
          <w:rFonts w:ascii="Consolas" w:hAnsi="Consolas"/>
          <w:b w:val="0"/>
          <w:i w:val="0"/>
          <w:color w:val="1B3A5C"/>
          <w:sz w:val="19"/>
        </w:rPr>
        <w:t>agent_id</w:t>
      </w:r>
      <w:r>
        <w:rPr>
          <w:rFonts w:ascii="Calibri" w:hAnsi="Calibri"/>
          <w:b w:val="0"/>
          <w:i w:val="0"/>
          <w:color w:val="333333"/>
          <w:sz w:val="20"/>
        </w:rPr>
        <w:t xml:space="preserve">, </w:t>
      </w:r>
      <w:r>
        <w:rPr>
          <w:rFonts w:ascii="Consolas" w:hAnsi="Consolas"/>
          <w:b w:val="0"/>
          <w:i w:val="0"/>
          <w:color w:val="1B3A5C"/>
          <w:sz w:val="19"/>
        </w:rPr>
        <w:t>terminal_id</w:t>
      </w:r>
      <w:r>
        <w:rPr>
          <w:rFonts w:ascii="Calibri" w:hAnsi="Calibri"/>
          <w:b w:val="0"/>
          <w:i w:val="0"/>
          <w:color w:val="333333"/>
          <w:sz w:val="20"/>
        </w:rPr>
        <w:t xml:space="preserve">, </w:t>
      </w:r>
      <w:r>
        <w:rPr>
          <w:rFonts w:ascii="Consolas" w:hAnsi="Consolas"/>
          <w:b w:val="0"/>
          <w:i w:val="0"/>
          <w:color w:val="1B3A5C"/>
          <w:sz w:val="19"/>
        </w:rPr>
        <w:t>client_id</w:t>
      </w:r>
      <w:r>
        <w:rPr>
          <w:rFonts w:ascii="Calibri" w:hAnsi="Calibri"/>
          <w:b w:val="0"/>
          <w:i w:val="0"/>
          <w:color w:val="333333"/>
          <w:sz w:val="20"/>
        </w:rPr>
        <w:t xml:space="preserve">, </w:t>
      </w:r>
      <w:r>
        <w:rPr>
          <w:rFonts w:ascii="Consolas" w:hAnsi="Consolas"/>
          <w:b w:val="0"/>
          <w:i w:val="0"/>
          <w:color w:val="1B3A5C"/>
          <w:sz w:val="19"/>
        </w:rPr>
        <w:t>insurance_product_id</w:t>
      </w:r>
      <w:r>
        <w:rPr>
          <w:rFonts w:ascii="Calibri" w:hAnsi="Calibri"/>
          <w:b w:val="0"/>
          <w:i w:val="0"/>
          <w:color w:val="333333"/>
          <w:sz w:val="20"/>
        </w:rPr>
        <w:t xml:space="preserve">, </w:t>
      </w:r>
      <w:r>
        <w:rPr>
          <w:rFonts w:ascii="Consolas" w:hAnsi="Consolas"/>
          <w:b w:val="0"/>
          <w:i w:val="0"/>
          <w:color w:val="1B3A5C"/>
          <w:sz w:val="19"/>
        </w:rPr>
        <w:t>proposal_number</w:t>
      </w:r>
      <w:r>
        <w:rPr>
          <w:rFonts w:ascii="Calibri" w:hAnsi="Calibri"/>
          <w:b w:val="0"/>
          <w:i w:val="0"/>
          <w:color w:val="333333"/>
          <w:sz w:val="20"/>
        </w:rPr>
        <w:t xml:space="preserve"> (issu du formulaire papier, unique par unité), </w:t>
      </w:r>
      <w:r>
        <w:rPr>
          <w:rFonts w:ascii="Consolas" w:hAnsi="Consolas"/>
          <w:b w:val="0"/>
          <w:i w:val="0"/>
          <w:color w:val="1B3A5C"/>
          <w:sz w:val="19"/>
        </w:rPr>
        <w:t>status</w:t>
      </w:r>
      <w:r>
        <w:rPr>
          <w:rFonts w:ascii="Calibri" w:hAnsi="Calibri"/>
          <w:b w:val="0"/>
          <w:i w:val="0"/>
          <w:color w:val="333333"/>
          <w:sz w:val="20"/>
        </w:rPr>
        <w:t xml:space="preserve"> (saisie → transmise → en revue → acceptée → rejetée), </w:t>
      </w:r>
      <w:r>
        <w:rPr>
          <w:rFonts w:ascii="Consolas" w:hAnsi="Consolas"/>
          <w:b w:val="0"/>
          <w:i w:val="0"/>
          <w:color w:val="1B3A5C"/>
          <w:sz w:val="19"/>
        </w:rPr>
        <w:t>subscribed_at</w:t>
      </w:r>
      <w:r>
        <w:rPr>
          <w:rFonts w:ascii="Calibri" w:hAnsi="Calibri"/>
          <w:b w:val="0"/>
          <w:i w:val="0"/>
          <w:color w:val="333333"/>
          <w:sz w:val="20"/>
        </w:rPr>
        <w:t xml:space="preserve">, </w:t>
      </w:r>
      <w:r>
        <w:rPr>
          <w:rFonts w:ascii="Consolas" w:hAnsi="Consolas"/>
          <w:b w:val="0"/>
          <w:i w:val="0"/>
          <w:color w:val="1B3A5C"/>
          <w:sz w:val="19"/>
        </w:rPr>
        <w:t>latitude</w:t>
      </w:r>
      <w:r>
        <w:rPr>
          <w:rFonts w:ascii="Calibri" w:hAnsi="Calibri"/>
          <w:b w:val="0"/>
          <w:i w:val="0"/>
          <w:color w:val="333333"/>
          <w:sz w:val="20"/>
        </w:rPr>
        <w:t xml:space="preserve">, </w:t>
      </w:r>
      <w:r>
        <w:rPr>
          <w:rFonts w:ascii="Consolas" w:hAnsi="Consolas"/>
          <w:b w:val="0"/>
          <w:i w:val="0"/>
          <w:color w:val="1B3A5C"/>
          <w:sz w:val="19"/>
        </w:rPr>
        <w:t>longitude</w:t>
      </w:r>
      <w:r>
        <w:rPr>
          <w:rFonts w:ascii="Calibri" w:hAnsi="Calibri"/>
          <w:b w:val="0"/>
          <w:i w:val="0"/>
          <w:color w:val="333333"/>
          <w:sz w:val="20"/>
        </w:rPr>
        <w:t xml:space="preserve">, </w:t>
      </w:r>
      <w:r>
        <w:rPr>
          <w:rFonts w:ascii="Consolas" w:hAnsi="Consolas"/>
          <w:b w:val="0"/>
          <w:i w:val="0"/>
          <w:color w:val="1B3A5C"/>
          <w:sz w:val="19"/>
        </w:rPr>
        <w:t>form_data</w:t>
      </w:r>
      <w:r>
        <w:rPr>
          <w:rFonts w:ascii="Calibri" w:hAnsi="Calibri"/>
          <w:b w:val="0"/>
          <w:i w:val="0"/>
          <w:color w:val="333333"/>
          <w:sz w:val="20"/>
        </w:rPr>
        <w:t xml:space="preserve"> (JSON), </w:t>
      </w:r>
      <w:r>
        <w:rPr>
          <w:rFonts w:ascii="Consolas" w:hAnsi="Consolas"/>
          <w:b w:val="0"/>
          <w:i w:val="0"/>
          <w:color w:val="1B3A5C"/>
          <w:sz w:val="19"/>
        </w:rPr>
        <w:t>proposal_image_path</w:t>
      </w:r>
      <w:r>
        <w:rPr>
          <w:rFonts w:ascii="Calibri" w:hAnsi="Calibri"/>
          <w:b w:val="0"/>
          <w:i w:val="0"/>
          <w:color w:val="333333"/>
          <w:sz w:val="20"/>
        </w:rPr>
        <w:t xml:space="preserve">, </w:t>
      </w:r>
      <w:r>
        <w:rPr>
          <w:rFonts w:ascii="Consolas" w:hAnsi="Consolas"/>
          <w:b w:val="0"/>
          <w:i w:val="0"/>
          <w:color w:val="1B3A5C"/>
          <w:sz w:val="19"/>
        </w:rPr>
        <w:t>id_document_front_path</w:t>
      </w:r>
      <w:r>
        <w:rPr>
          <w:rFonts w:ascii="Calibri" w:hAnsi="Calibri"/>
          <w:b w:val="0"/>
          <w:i w:val="0"/>
          <w:color w:val="333333"/>
          <w:sz w:val="20"/>
        </w:rPr>
        <w:t xml:space="preserve">, </w:t>
      </w:r>
      <w:r>
        <w:rPr>
          <w:rFonts w:ascii="Consolas" w:hAnsi="Consolas"/>
          <w:b w:val="0"/>
          <w:i w:val="0"/>
          <w:color w:val="1B3A5C"/>
          <w:sz w:val="19"/>
        </w:rPr>
        <w:t>id_document_back_path</w:t>
      </w:r>
      <w:r>
        <w:rPr>
          <w:rFonts w:ascii="Calibri" w:hAnsi="Calibri"/>
          <w:b w:val="0"/>
          <w:i w:val="0"/>
          <w:color w:val="333333"/>
          <w:sz w:val="20"/>
        </w:rPr>
        <w:t xml:space="preserve">, </w:t>
      </w:r>
      <w:r>
        <w:rPr>
          <w:rFonts w:ascii="Consolas" w:hAnsi="Consolas"/>
          <w:b w:val="0"/>
          <w:i w:val="0"/>
          <w:color w:val="1B3A5C"/>
          <w:sz w:val="19"/>
        </w:rPr>
        <w:t>sunulife_policy_number</w:t>
      </w:r>
      <w:r>
        <w:rPr>
          <w:rFonts w:ascii="Calibri" w:hAnsi="Calibri"/>
          <w:b w:val="0"/>
          <w:i w:val="0"/>
          <w:color w:val="333333"/>
          <w:sz w:val="20"/>
        </w:rPr>
        <w:t xml:space="preserve"> (renseigné à l'acceptation), horodatages. </w:t>
      </w:r>
      <w:r>
        <w:rPr>
          <w:rFonts w:ascii="Calibri" w:hAnsi="Calibri"/>
          <w:b w:val="0"/>
          <w:i/>
          <w:color w:val="333333"/>
          <w:sz w:val="20"/>
        </w:rPr>
        <w:t xml:space="preserve">Reprend directement la table d'affiliation existante, qui porte déjà l'agent, le terminal, le statut, les données d'identité, le JSON </w:t>
      </w:r>
      <w:r>
        <w:rPr>
          <w:rFonts w:ascii="Consolas" w:hAnsi="Consolas"/>
          <w:b w:val="0"/>
          <w:i/>
          <w:color w:val="1B3A5C"/>
          <w:sz w:val="19"/>
        </w:rPr>
        <w:t>form_data</w:t>
      </w:r>
      <w:r>
        <w:rPr>
          <w:rFonts w:ascii="Calibri" w:hAnsi="Calibri"/>
          <w:b w:val="0"/>
          <w:i/>
          <w:color w:val="333333"/>
          <w:sz w:val="20"/>
        </w:rPr>
        <w:t xml:space="preserve"> et les chemins de documents.</w:t>
      </w:r>
    </w:p>
    <w:p>
      <w:r>
        <w:rPr>
          <w:rFonts w:ascii="Consolas" w:hAnsi="Consolas"/>
          <w:b/>
          <w:i w:val="0"/>
          <w:color w:val="1B3A5C"/>
          <w:sz w:val="19"/>
        </w:rPr>
        <w:t>policy</w:t>
      </w:r>
      <w:r>
        <w:rPr>
          <w:rFonts w:ascii="Calibri" w:hAnsi="Calibri"/>
          <w:b w:val="0"/>
          <w:i w:val="0"/>
          <w:color w:val="333333"/>
          <w:sz w:val="20"/>
        </w:rPr>
        <w:t xml:space="preserve"> — </w:t>
      </w:r>
      <w:r>
        <w:rPr>
          <w:rFonts w:ascii="Consolas" w:hAnsi="Consolas"/>
          <w:b w:val="0"/>
          <w:i w:val="0"/>
          <w:color w:val="1B3A5C"/>
          <w:sz w:val="19"/>
        </w:rPr>
        <w:t>business_unit_id</w:t>
      </w:r>
      <w:r>
        <w:rPr>
          <w:rFonts w:ascii="Calibri" w:hAnsi="Calibri"/>
          <w:b w:val="0"/>
          <w:i w:val="0"/>
          <w:color w:val="333333"/>
          <w:sz w:val="20"/>
        </w:rPr>
        <w:t xml:space="preserve">, </w:t>
      </w:r>
      <w:r>
        <w:rPr>
          <w:rFonts w:ascii="Consolas" w:hAnsi="Consolas"/>
          <w:b w:val="0"/>
          <w:i w:val="0"/>
          <w:color w:val="1B3A5C"/>
          <w:sz w:val="19"/>
        </w:rPr>
        <w:t>client_id</w:t>
      </w:r>
      <w:r>
        <w:rPr>
          <w:rFonts w:ascii="Calibri" w:hAnsi="Calibri"/>
          <w:b w:val="0"/>
          <w:i w:val="0"/>
          <w:color w:val="333333"/>
          <w:sz w:val="20"/>
        </w:rPr>
        <w:t xml:space="preserve">, </w:t>
      </w:r>
      <w:r>
        <w:rPr>
          <w:rFonts w:ascii="Consolas" w:hAnsi="Consolas"/>
          <w:b w:val="0"/>
          <w:i w:val="0"/>
          <w:color w:val="1B3A5C"/>
          <w:sz w:val="19"/>
        </w:rPr>
        <w:t>insurance_product_id</w:t>
      </w:r>
      <w:r>
        <w:rPr>
          <w:rFonts w:ascii="Calibri" w:hAnsi="Calibri"/>
          <w:b w:val="0"/>
          <w:i w:val="0"/>
          <w:color w:val="333333"/>
          <w:sz w:val="20"/>
        </w:rPr>
        <w:t xml:space="preserve">, </w:t>
      </w:r>
      <w:r>
        <w:rPr>
          <w:rFonts w:ascii="Consolas" w:hAnsi="Consolas"/>
          <w:b w:val="0"/>
          <w:i w:val="0"/>
          <w:color w:val="1B3A5C"/>
          <w:sz w:val="19"/>
        </w:rPr>
        <w:t>policy_number</w:t>
      </w:r>
      <w:r>
        <w:rPr>
          <w:rFonts w:ascii="Calibri" w:hAnsi="Calibri"/>
          <w:b w:val="0"/>
          <w:i w:val="0"/>
          <w:color w:val="333333"/>
          <w:sz w:val="20"/>
        </w:rPr>
        <w:t xml:space="preserve">, </w:t>
      </w:r>
      <w:r>
        <w:rPr>
          <w:rFonts w:ascii="Consolas" w:hAnsi="Consolas"/>
          <w:b w:val="0"/>
          <w:i w:val="0"/>
          <w:color w:val="1B3A5C"/>
          <w:sz w:val="19"/>
        </w:rPr>
        <w:t>sunulife_policy_id</w:t>
      </w:r>
      <w:r>
        <w:rPr>
          <w:rFonts w:ascii="Calibri" w:hAnsi="Calibri"/>
          <w:b w:val="0"/>
          <w:i w:val="0"/>
          <w:color w:val="333333"/>
          <w:sz w:val="20"/>
        </w:rPr>
        <w:t xml:space="preserve">, </w:t>
      </w:r>
      <w:r>
        <w:rPr>
          <w:rFonts w:ascii="Consolas" w:hAnsi="Consolas"/>
          <w:b w:val="0"/>
          <w:i w:val="0"/>
          <w:color w:val="1B3A5C"/>
          <w:sz w:val="19"/>
        </w:rPr>
        <w:t>status</w:t>
      </w:r>
      <w:r>
        <w:rPr>
          <w:rFonts w:ascii="Calibri" w:hAnsi="Calibri"/>
          <w:b w:val="0"/>
          <w:i w:val="0"/>
          <w:color w:val="333333"/>
          <w:sz w:val="20"/>
        </w:rPr>
        <w:t xml:space="preserve"> (active / suspendue / en déchéance / résiliée), </w:t>
      </w:r>
      <w:r>
        <w:rPr>
          <w:rFonts w:ascii="Consolas" w:hAnsi="Consolas"/>
          <w:b w:val="0"/>
          <w:i w:val="0"/>
          <w:color w:val="1B3A5C"/>
          <w:sz w:val="19"/>
        </w:rPr>
        <w:t>effective_date</w:t>
      </w:r>
      <w:r>
        <w:rPr>
          <w:rFonts w:ascii="Calibri" w:hAnsi="Calibri"/>
          <w:b w:val="0"/>
          <w:i w:val="0"/>
          <w:color w:val="333333"/>
          <w:sz w:val="20"/>
        </w:rPr>
        <w:t xml:space="preserve">, </w:t>
      </w:r>
      <w:r>
        <w:rPr>
          <w:rFonts w:ascii="Consolas" w:hAnsi="Consolas"/>
          <w:b w:val="0"/>
          <w:i w:val="0"/>
          <w:color w:val="1B3A5C"/>
          <w:sz w:val="19"/>
        </w:rPr>
        <w:t>premium_amount</w:t>
      </w:r>
      <w:r>
        <w:rPr>
          <w:rFonts w:ascii="Calibri" w:hAnsi="Calibri"/>
          <w:b w:val="0"/>
          <w:i w:val="0"/>
          <w:color w:val="333333"/>
          <w:sz w:val="20"/>
        </w:rPr>
        <w:t xml:space="preserve">, </w:t>
      </w:r>
      <w:r>
        <w:rPr>
          <w:rFonts w:ascii="Consolas" w:hAnsi="Consolas"/>
          <w:b w:val="0"/>
          <w:i w:val="0"/>
          <w:color w:val="1B3A5C"/>
          <w:sz w:val="19"/>
        </w:rPr>
        <w:t>premium_frequency</w:t>
      </w:r>
      <w:r>
        <w:rPr>
          <w:rFonts w:ascii="Calibri" w:hAnsi="Calibri"/>
          <w:b w:val="0"/>
          <w:i w:val="0"/>
          <w:color w:val="333333"/>
          <w:sz w:val="20"/>
        </w:rPr>
        <w:t xml:space="preserve">, </w:t>
      </w:r>
      <w:r>
        <w:rPr>
          <w:rFonts w:ascii="Consolas" w:hAnsi="Consolas"/>
          <w:b w:val="0"/>
          <w:i w:val="0"/>
          <w:color w:val="1B3A5C"/>
          <w:sz w:val="19"/>
        </w:rPr>
        <w:t>next_due_date</w:t>
      </w:r>
      <w:r>
        <w:rPr>
          <w:rFonts w:ascii="Calibri" w:hAnsi="Calibri"/>
          <w:b w:val="0"/>
          <w:i w:val="0"/>
          <w:color w:val="333333"/>
          <w:sz w:val="20"/>
        </w:rPr>
        <w:t xml:space="preserve">, </w:t>
      </w:r>
      <w:r>
        <w:rPr>
          <w:rFonts w:ascii="Consolas" w:hAnsi="Consolas"/>
          <w:b w:val="0"/>
          <w:i w:val="0"/>
          <w:color w:val="1B3A5C"/>
          <w:sz w:val="19"/>
        </w:rPr>
        <w:t>outstanding_balance</w:t>
      </w:r>
      <w:r>
        <w:rPr>
          <w:rFonts w:ascii="Calibri" w:hAnsi="Calibri"/>
          <w:b w:val="0"/>
          <w:i w:val="0"/>
          <w:color w:val="333333"/>
          <w:sz w:val="20"/>
        </w:rPr>
        <w:t xml:space="preserve">, </w:t>
      </w:r>
      <w:r>
        <w:rPr>
          <w:rFonts w:ascii="Consolas" w:hAnsi="Consolas"/>
          <w:b w:val="0"/>
          <w:i w:val="0"/>
          <w:color w:val="1B3A5C"/>
          <w:sz w:val="19"/>
        </w:rPr>
        <w:t>source</w:t>
      </w:r>
      <w:r>
        <w:rPr>
          <w:rFonts w:ascii="Calibri" w:hAnsi="Calibri"/>
          <w:b w:val="0"/>
          <w:i w:val="0"/>
          <w:color w:val="333333"/>
          <w:sz w:val="20"/>
        </w:rPr>
        <w:t xml:space="preserve"> (</w:t>
      </w:r>
      <w:r>
        <w:rPr>
          <w:rFonts w:ascii="Consolas" w:hAnsi="Consolas"/>
          <w:b w:val="0"/>
          <w:i w:val="0"/>
          <w:color w:val="1B3A5C"/>
          <w:sz w:val="19"/>
        </w:rPr>
        <w:t>sunulife</w:t>
      </w:r>
      <w:r>
        <w:rPr>
          <w:rFonts w:ascii="Calibri" w:hAnsi="Calibri"/>
          <w:b w:val="0"/>
          <w:i w:val="0"/>
          <w:color w:val="333333"/>
          <w:sz w:val="20"/>
        </w:rPr>
        <w:t xml:space="preserve"> | </w:t>
      </w:r>
      <w:r>
        <w:rPr>
          <w:rFonts w:ascii="Consolas" w:hAnsi="Consolas"/>
          <w:b w:val="0"/>
          <w:i w:val="0"/>
          <w:color w:val="1B3A5C"/>
          <w:sz w:val="19"/>
        </w:rPr>
        <w:t>local_proposal</w:t>
      </w:r>
      <w:r>
        <w:rPr>
          <w:rFonts w:ascii="Calibri" w:hAnsi="Calibri"/>
          <w:b w:val="0"/>
          <w:i w:val="0"/>
          <w:color w:val="333333"/>
          <w:sz w:val="20"/>
        </w:rPr>
        <w:t xml:space="preserve">), </w:t>
      </w:r>
      <w:r>
        <w:rPr>
          <w:rFonts w:ascii="Consolas" w:hAnsi="Consolas"/>
          <w:b w:val="0"/>
          <w:i w:val="0"/>
          <w:color w:val="1B3A5C"/>
          <w:sz w:val="19"/>
        </w:rPr>
        <w:t>synced_at</w:t>
      </w:r>
      <w:r>
        <w:rPr>
          <w:rFonts w:ascii="Calibri" w:hAnsi="Calibri"/>
          <w:b w:val="0"/>
          <w:i w:val="0"/>
          <w:color w:val="333333"/>
          <w:sz w:val="20"/>
        </w:rPr>
        <w:t>. Unicité sur (</w:t>
      </w:r>
      <w:r>
        <w:rPr>
          <w:rFonts w:ascii="Consolas" w:hAnsi="Consolas"/>
          <w:b w:val="0"/>
          <w:i w:val="0"/>
          <w:color w:val="1B3A5C"/>
          <w:sz w:val="19"/>
        </w:rPr>
        <w:t>business_unit_id</w:t>
      </w:r>
      <w:r>
        <w:rPr>
          <w:rFonts w:ascii="Calibri" w:hAnsi="Calibri"/>
          <w:b w:val="0"/>
          <w:i w:val="0"/>
          <w:color w:val="333333"/>
          <w:sz w:val="20"/>
        </w:rPr>
        <w:t xml:space="preserve">, </w:t>
      </w:r>
      <w:r>
        <w:rPr>
          <w:rFonts w:ascii="Consolas" w:hAnsi="Consolas"/>
          <w:b w:val="0"/>
          <w:i w:val="0"/>
          <w:color w:val="1B3A5C"/>
          <w:sz w:val="19"/>
        </w:rPr>
        <w:t>policy_number</w:t>
      </w:r>
      <w:r>
        <w:rPr>
          <w:rFonts w:ascii="Calibri" w:hAnsi="Calibri"/>
          <w:b w:val="0"/>
          <w:i w:val="0"/>
          <w:color w:val="333333"/>
          <w:sz w:val="20"/>
        </w:rPr>
        <w:t>).</w:t>
      </w:r>
    </w:p>
    <w:p>
      <w:r>
        <w:rPr>
          <w:rFonts w:ascii="Consolas" w:hAnsi="Consolas"/>
          <w:b/>
          <w:i w:val="0"/>
          <w:color w:val="1B3A5C"/>
          <w:sz w:val="19"/>
        </w:rPr>
        <w:t>premium_collection</w:t>
      </w:r>
      <w:r>
        <w:rPr>
          <w:rFonts w:ascii="Calibri" w:hAnsi="Calibri"/>
          <w:b w:val="0"/>
          <w:i w:val="0"/>
          <w:color w:val="333333"/>
          <w:sz w:val="20"/>
        </w:rPr>
        <w:t xml:space="preserve"> — </w:t>
      </w:r>
      <w:r>
        <w:rPr>
          <w:rFonts w:ascii="Consolas" w:hAnsi="Consolas"/>
          <w:b w:val="0"/>
          <w:i w:val="0"/>
          <w:color w:val="1B3A5C"/>
          <w:sz w:val="19"/>
        </w:rPr>
        <w:t>business_unit_id</w:t>
      </w:r>
      <w:r>
        <w:rPr>
          <w:rFonts w:ascii="Calibri" w:hAnsi="Calibri"/>
          <w:b w:val="0"/>
          <w:i w:val="0"/>
          <w:color w:val="333333"/>
          <w:sz w:val="20"/>
        </w:rPr>
        <w:t xml:space="preserve">, </w:t>
      </w:r>
      <w:r>
        <w:rPr>
          <w:rFonts w:ascii="Consolas" w:hAnsi="Consolas"/>
          <w:b w:val="0"/>
          <w:i w:val="0"/>
          <w:color w:val="1B3A5C"/>
          <w:sz w:val="19"/>
        </w:rPr>
        <w:t>policy_id</w:t>
      </w:r>
      <w:r>
        <w:rPr>
          <w:rFonts w:ascii="Calibri" w:hAnsi="Calibri"/>
          <w:b w:val="0"/>
          <w:i w:val="0"/>
          <w:color w:val="333333"/>
          <w:sz w:val="20"/>
        </w:rPr>
        <w:t xml:space="preserve">, </w:t>
      </w:r>
      <w:r>
        <w:rPr>
          <w:rFonts w:ascii="Consolas" w:hAnsi="Consolas"/>
          <w:b w:val="0"/>
          <w:i w:val="0"/>
          <w:color w:val="1B3A5C"/>
          <w:sz w:val="19"/>
        </w:rPr>
        <w:t>proposal_id</w:t>
      </w:r>
      <w:r>
        <w:rPr>
          <w:rFonts w:ascii="Calibri" w:hAnsi="Calibri"/>
          <w:b w:val="0"/>
          <w:i w:val="0"/>
          <w:color w:val="333333"/>
          <w:sz w:val="20"/>
        </w:rPr>
        <w:t xml:space="preserve"> (pour une première prime), </w:t>
      </w:r>
      <w:r>
        <w:rPr>
          <w:rFonts w:ascii="Consolas" w:hAnsi="Consolas"/>
          <w:b w:val="0"/>
          <w:i w:val="0"/>
          <w:color w:val="1B3A5C"/>
          <w:sz w:val="19"/>
        </w:rPr>
        <w:t>agent_id</w:t>
      </w:r>
      <w:r>
        <w:rPr>
          <w:rFonts w:ascii="Calibri" w:hAnsi="Calibri"/>
          <w:b w:val="0"/>
          <w:i w:val="0"/>
          <w:color w:val="333333"/>
          <w:sz w:val="20"/>
        </w:rPr>
        <w:t xml:space="preserve">, </w:t>
      </w:r>
      <w:r>
        <w:rPr>
          <w:rFonts w:ascii="Consolas" w:hAnsi="Consolas"/>
          <w:b w:val="0"/>
          <w:i w:val="0"/>
          <w:color w:val="1B3A5C"/>
          <w:sz w:val="19"/>
        </w:rPr>
        <w:t>terminal_id</w:t>
      </w:r>
      <w:r>
        <w:rPr>
          <w:rFonts w:ascii="Calibri" w:hAnsi="Calibri"/>
          <w:b w:val="0"/>
          <w:i w:val="0"/>
          <w:color w:val="333333"/>
          <w:sz w:val="20"/>
        </w:rPr>
        <w:t xml:space="preserve">, </w:t>
      </w:r>
      <w:r>
        <w:rPr>
          <w:rFonts w:ascii="Consolas" w:hAnsi="Consolas"/>
          <w:b w:val="0"/>
          <w:i w:val="0"/>
          <w:color w:val="1B3A5C"/>
          <w:sz w:val="19"/>
        </w:rPr>
        <w:t>transaction_id</w:t>
      </w:r>
      <w:r>
        <w:rPr>
          <w:rFonts w:ascii="Calibri" w:hAnsi="Calibri"/>
          <w:b w:val="0"/>
          <w:i w:val="0"/>
          <w:color w:val="333333"/>
          <w:sz w:val="20"/>
        </w:rPr>
        <w:t xml:space="preserve">, </w:t>
      </w:r>
      <w:r>
        <w:rPr>
          <w:rFonts w:ascii="Consolas" w:hAnsi="Consolas"/>
          <w:b w:val="0"/>
          <w:i w:val="0"/>
          <w:color w:val="1B3A5C"/>
          <w:sz w:val="19"/>
        </w:rPr>
        <w:t>amount</w:t>
      </w:r>
      <w:r>
        <w:rPr>
          <w:rFonts w:ascii="Calibri" w:hAnsi="Calibri"/>
          <w:b w:val="0"/>
          <w:i w:val="0"/>
          <w:color w:val="333333"/>
          <w:sz w:val="20"/>
        </w:rPr>
        <w:t xml:space="preserve">, </w:t>
      </w:r>
      <w:r>
        <w:rPr>
          <w:rFonts w:ascii="Consolas" w:hAnsi="Consolas"/>
          <w:b w:val="0"/>
          <w:i w:val="0"/>
          <w:color w:val="1B3A5C"/>
          <w:sz w:val="19"/>
        </w:rPr>
        <w:t>collection_kind</w:t>
      </w:r>
      <w:r>
        <w:rPr>
          <w:rFonts w:ascii="Calibri" w:hAnsi="Calibri"/>
          <w:b w:val="0"/>
          <w:i w:val="0"/>
          <w:color w:val="333333"/>
          <w:sz w:val="20"/>
        </w:rPr>
        <w:t xml:space="preserve"> (</w:t>
      </w:r>
      <w:r>
        <w:rPr>
          <w:rFonts w:ascii="Consolas" w:hAnsi="Consolas"/>
          <w:b w:val="0"/>
          <w:i w:val="0"/>
          <w:color w:val="1B3A5C"/>
          <w:sz w:val="19"/>
        </w:rPr>
        <w:t>policy_cost</w:t>
      </w:r>
      <w:r>
        <w:rPr>
          <w:rFonts w:ascii="Calibri" w:hAnsi="Calibri"/>
          <w:b w:val="0"/>
          <w:i w:val="0"/>
          <w:color w:val="333333"/>
          <w:sz w:val="20"/>
        </w:rPr>
        <w:t xml:space="preserve"> | </w:t>
      </w:r>
      <w:r>
        <w:rPr>
          <w:rFonts w:ascii="Consolas" w:hAnsi="Consolas"/>
          <w:b w:val="0"/>
          <w:i w:val="0"/>
          <w:color w:val="1B3A5C"/>
          <w:sz w:val="19"/>
        </w:rPr>
        <w:t>first_premium</w:t>
      </w:r>
      <w:r>
        <w:rPr>
          <w:rFonts w:ascii="Calibri" w:hAnsi="Calibri"/>
          <w:b w:val="0"/>
          <w:i w:val="0"/>
          <w:color w:val="333333"/>
          <w:sz w:val="20"/>
        </w:rPr>
        <w:t xml:space="preserve"> | </w:t>
      </w:r>
      <w:r>
        <w:rPr>
          <w:rFonts w:ascii="Consolas" w:hAnsi="Consolas"/>
          <w:b w:val="0"/>
          <w:i w:val="0"/>
          <w:color w:val="1B3A5C"/>
          <w:sz w:val="19"/>
        </w:rPr>
        <w:t>recurring_premium</w:t>
      </w:r>
      <w:r>
        <w:rPr>
          <w:rFonts w:ascii="Calibri" w:hAnsi="Calibri"/>
          <w:b w:val="0"/>
          <w:i w:val="0"/>
          <w:color w:val="333333"/>
          <w:sz w:val="20"/>
        </w:rPr>
        <w:t xml:space="preserve">), </w:t>
      </w:r>
      <w:r>
        <w:rPr>
          <w:rFonts w:ascii="Consolas" w:hAnsi="Consolas"/>
          <w:b w:val="0"/>
          <w:i w:val="0"/>
          <w:color w:val="1B3A5C"/>
          <w:sz w:val="19"/>
        </w:rPr>
        <w:t>reference_period</w:t>
      </w:r>
      <w:r>
        <w:rPr>
          <w:rFonts w:ascii="Calibri" w:hAnsi="Calibri"/>
          <w:b w:val="0"/>
          <w:i w:val="0"/>
          <w:color w:val="333333"/>
          <w:sz w:val="20"/>
        </w:rPr>
        <w:t xml:space="preserve">, </w:t>
      </w:r>
      <w:r>
        <w:rPr>
          <w:rFonts w:ascii="Consolas" w:hAnsi="Consolas"/>
          <w:b w:val="0"/>
          <w:i w:val="0"/>
          <w:color w:val="1B3A5C"/>
          <w:sz w:val="19"/>
        </w:rPr>
        <w:t>payment_frequency</w:t>
      </w:r>
      <w:r>
        <w:rPr>
          <w:rFonts w:ascii="Calibri" w:hAnsi="Calibri"/>
          <w:b w:val="0"/>
          <w:i w:val="0"/>
          <w:color w:val="333333"/>
          <w:sz w:val="20"/>
        </w:rPr>
        <w:t xml:space="preserve">, </w:t>
      </w:r>
      <w:r>
        <w:rPr>
          <w:rFonts w:ascii="Consolas" w:hAnsi="Consolas"/>
          <w:b w:val="0"/>
          <w:i w:val="0"/>
          <w:color w:val="1B3A5C"/>
          <w:sz w:val="19"/>
        </w:rPr>
        <w:t>payment_instrument</w:t>
      </w:r>
      <w:r>
        <w:rPr>
          <w:rFonts w:ascii="Calibri" w:hAnsi="Calibri"/>
          <w:b w:val="0"/>
          <w:i w:val="0"/>
          <w:color w:val="333333"/>
          <w:sz w:val="20"/>
        </w:rPr>
        <w:t xml:space="preserve"> (</w:t>
      </w:r>
      <w:r>
        <w:rPr>
          <w:rFonts w:ascii="Consolas" w:hAnsi="Consolas"/>
          <w:b w:val="0"/>
          <w:i w:val="0"/>
          <w:color w:val="1B3A5C"/>
          <w:sz w:val="19"/>
        </w:rPr>
        <w:t>cash</w:t>
      </w:r>
      <w:r>
        <w:rPr>
          <w:rFonts w:ascii="Calibri" w:hAnsi="Calibri"/>
          <w:b w:val="0"/>
          <w:i w:val="0"/>
          <w:color w:val="333333"/>
          <w:sz w:val="20"/>
        </w:rPr>
        <w:t xml:space="preserve"> | </w:t>
      </w:r>
      <w:r>
        <w:rPr>
          <w:rFonts w:ascii="Consolas" w:hAnsi="Consolas"/>
          <w:b w:val="0"/>
          <w:i w:val="0"/>
          <w:color w:val="1B3A5C"/>
          <w:sz w:val="19"/>
        </w:rPr>
        <w:t>momo</w:t>
      </w:r>
      <w:r>
        <w:rPr>
          <w:rFonts w:ascii="Calibri" w:hAnsi="Calibri"/>
          <w:b w:val="0"/>
          <w:i w:val="0"/>
          <w:color w:val="333333"/>
          <w:sz w:val="20"/>
        </w:rPr>
        <w:t xml:space="preserve"> | </w:t>
      </w:r>
      <w:r>
        <w:rPr>
          <w:rFonts w:ascii="Consolas" w:hAnsi="Consolas"/>
          <w:b w:val="0"/>
          <w:i w:val="0"/>
          <w:color w:val="1B3A5C"/>
          <w:sz w:val="19"/>
        </w:rPr>
        <w:t>bank</w:t>
      </w:r>
      <w:r>
        <w:rPr>
          <w:rFonts w:ascii="Calibri" w:hAnsi="Calibri"/>
          <w:b w:val="0"/>
          <w:i w:val="0"/>
          <w:color w:val="333333"/>
          <w:sz w:val="20"/>
        </w:rPr>
        <w:t xml:space="preserve">), </w:t>
      </w:r>
      <w:r>
        <w:rPr>
          <w:rFonts w:ascii="Consolas" w:hAnsi="Consolas"/>
          <w:b w:val="0"/>
          <w:i w:val="0"/>
          <w:color w:val="1B3A5C"/>
          <w:sz w:val="19"/>
        </w:rPr>
        <w:t>reference</w:t>
      </w:r>
      <w:r>
        <w:rPr>
          <w:rFonts w:ascii="Calibri" w:hAnsi="Calibri"/>
          <w:b w:val="0"/>
          <w:i w:val="0"/>
          <w:color w:val="333333"/>
          <w:sz w:val="20"/>
        </w:rPr>
        <w:t xml:space="preserve"> (unique, générée sur l'appareil), </w:t>
      </w:r>
      <w:r>
        <w:rPr>
          <w:rFonts w:ascii="Consolas" w:hAnsi="Consolas"/>
          <w:b w:val="0"/>
          <w:i w:val="0"/>
          <w:color w:val="1B3A5C"/>
          <w:sz w:val="19"/>
        </w:rPr>
        <w:t>latitude</w:t>
      </w:r>
      <w:r>
        <w:rPr>
          <w:rFonts w:ascii="Calibri" w:hAnsi="Calibri"/>
          <w:b w:val="0"/>
          <w:i w:val="0"/>
          <w:color w:val="333333"/>
          <w:sz w:val="20"/>
        </w:rPr>
        <w:t xml:space="preserve">, </w:t>
      </w:r>
      <w:r>
        <w:rPr>
          <w:rFonts w:ascii="Consolas" w:hAnsi="Consolas"/>
          <w:b w:val="0"/>
          <w:i w:val="0"/>
          <w:color w:val="1B3A5C"/>
          <w:sz w:val="19"/>
        </w:rPr>
        <w:t>longitude</w:t>
      </w:r>
      <w:r>
        <w:rPr>
          <w:rFonts w:ascii="Calibri" w:hAnsi="Calibri"/>
          <w:b w:val="0"/>
          <w:i w:val="0"/>
          <w:color w:val="333333"/>
          <w:sz w:val="20"/>
        </w:rPr>
        <w:t xml:space="preserve">, </w:t>
      </w:r>
      <w:r>
        <w:rPr>
          <w:rFonts w:ascii="Consolas" w:hAnsi="Consolas"/>
          <w:b w:val="0"/>
          <w:i w:val="0"/>
          <w:color w:val="1B3A5C"/>
          <w:sz w:val="19"/>
        </w:rPr>
        <w:t>collected_at</w:t>
      </w:r>
      <w:r>
        <w:rPr>
          <w:rFonts w:ascii="Calibri" w:hAnsi="Calibri"/>
          <w:b w:val="0"/>
          <w:i w:val="0"/>
          <w:color w:val="333333"/>
          <w:sz w:val="20"/>
        </w:rPr>
        <w:t xml:space="preserve">, </w:t>
      </w:r>
      <w:r>
        <w:rPr>
          <w:rFonts w:ascii="Consolas" w:hAnsi="Consolas"/>
          <w:b w:val="0"/>
          <w:i w:val="0"/>
          <w:color w:val="1B3A5C"/>
          <w:sz w:val="19"/>
        </w:rPr>
        <w:t>receipt_number</w:t>
      </w:r>
      <w:r>
        <w:rPr>
          <w:rFonts w:ascii="Calibri" w:hAnsi="Calibri"/>
          <w:b w:val="0"/>
          <w:i w:val="0"/>
          <w:color w:val="333333"/>
          <w:sz w:val="20"/>
        </w:rPr>
        <w:t xml:space="preserve">, </w:t>
      </w:r>
      <w:r>
        <w:rPr>
          <w:rFonts w:ascii="Consolas" w:hAnsi="Consolas"/>
          <w:b w:val="0"/>
          <w:i w:val="0"/>
          <w:color w:val="1B3A5C"/>
          <w:sz w:val="19"/>
        </w:rPr>
        <w:t>metadata</w:t>
      </w:r>
      <w:r>
        <w:rPr>
          <w:rFonts w:ascii="Calibri" w:hAnsi="Calibri"/>
          <w:b w:val="0"/>
          <w:i w:val="0"/>
          <w:color w:val="333333"/>
          <w:sz w:val="20"/>
        </w:rPr>
        <w:t xml:space="preserve"> (JSON), </w:t>
      </w:r>
      <w:r>
        <w:rPr>
          <w:rFonts w:ascii="Consolas" w:hAnsi="Consolas"/>
          <w:b w:val="0"/>
          <w:i w:val="0"/>
          <w:color w:val="1B3A5C"/>
          <w:sz w:val="19"/>
        </w:rPr>
        <w:t>sunulife_pushed_at</w:t>
      </w:r>
      <w:r>
        <w:rPr>
          <w:rFonts w:ascii="Calibri" w:hAnsi="Calibri"/>
          <w:b w:val="0"/>
          <w:i w:val="0"/>
          <w:color w:val="333333"/>
          <w:sz w:val="20"/>
        </w:rPr>
        <w:t>.</w:t>
      </w:r>
    </w:p>
    <w:p>
      <w:r>
        <w:rPr>
          <w:rFonts w:ascii="Consolas" w:hAnsi="Consolas"/>
          <w:b/>
          <w:i w:val="0"/>
          <w:color w:val="1B3A5C"/>
          <w:sz w:val="19"/>
        </w:rPr>
        <w:t>collector_cap</w:t>
      </w:r>
      <w:r>
        <w:rPr>
          <w:rFonts w:ascii="Calibri" w:hAnsi="Calibri"/>
          <w:b w:val="0"/>
          <w:i w:val="0"/>
          <w:color w:val="333333"/>
          <w:sz w:val="20"/>
        </w:rPr>
        <w:t xml:space="preserve"> — </w:t>
      </w:r>
      <w:r>
        <w:rPr>
          <w:rFonts w:ascii="Consolas" w:hAnsi="Consolas"/>
          <w:b w:val="0"/>
          <w:i w:val="0"/>
          <w:color w:val="1B3A5C"/>
          <w:sz w:val="19"/>
        </w:rPr>
        <w:t>agent_id</w:t>
      </w:r>
      <w:r>
        <w:rPr>
          <w:rFonts w:ascii="Calibri" w:hAnsi="Calibri"/>
          <w:b w:val="0"/>
          <w:i w:val="0"/>
          <w:color w:val="333333"/>
          <w:sz w:val="20"/>
        </w:rPr>
        <w:t xml:space="preserve">, </w:t>
      </w:r>
      <w:r>
        <w:rPr>
          <w:rFonts w:ascii="Consolas" w:hAnsi="Consolas"/>
          <w:b w:val="0"/>
          <w:i w:val="0"/>
          <w:color w:val="1B3A5C"/>
          <w:sz w:val="19"/>
        </w:rPr>
        <w:t>cap_amount</w:t>
      </w:r>
      <w:r>
        <w:rPr>
          <w:rFonts w:ascii="Calibri" w:hAnsi="Calibri"/>
          <w:b w:val="0"/>
          <w:i w:val="0"/>
          <w:color w:val="333333"/>
          <w:sz w:val="20"/>
        </w:rPr>
        <w:t xml:space="preserve">, </w:t>
      </w:r>
      <w:r>
        <w:rPr>
          <w:rFonts w:ascii="Consolas" w:hAnsi="Consolas"/>
          <w:b w:val="0"/>
          <w:i w:val="0"/>
          <w:color w:val="1B3A5C"/>
          <w:sz w:val="19"/>
        </w:rPr>
        <w:t>warning_threshold_pct</w:t>
      </w:r>
      <w:r>
        <w:rPr>
          <w:rFonts w:ascii="Calibri" w:hAnsi="Calibri"/>
          <w:b w:val="0"/>
          <w:i w:val="0"/>
          <w:color w:val="333333"/>
          <w:sz w:val="20"/>
        </w:rPr>
        <w:t xml:space="preserve">, </w:t>
      </w:r>
      <w:r>
        <w:rPr>
          <w:rFonts w:ascii="Consolas" w:hAnsi="Consolas"/>
          <w:b w:val="0"/>
          <w:i w:val="0"/>
          <w:color w:val="1B3A5C"/>
          <w:sz w:val="19"/>
        </w:rPr>
        <w:t>currency</w:t>
      </w:r>
      <w:r>
        <w:rPr>
          <w:rFonts w:ascii="Calibri" w:hAnsi="Calibri"/>
          <w:b w:val="0"/>
          <w:i w:val="0"/>
          <w:color w:val="333333"/>
          <w:sz w:val="20"/>
        </w:rPr>
        <w:t xml:space="preserve">, </w:t>
      </w:r>
      <w:r>
        <w:rPr>
          <w:rFonts w:ascii="Consolas" w:hAnsi="Consolas"/>
          <w:b w:val="0"/>
          <w:i w:val="0"/>
          <w:color w:val="1B3A5C"/>
          <w:sz w:val="19"/>
        </w:rPr>
        <w:t>is_active</w:t>
      </w:r>
      <w:r>
        <w:rPr>
          <w:rFonts w:ascii="Calibri" w:hAnsi="Calibri"/>
          <w:b w:val="0"/>
          <w:i w:val="0"/>
          <w:color w:val="333333"/>
          <w:sz w:val="20"/>
        </w:rPr>
        <w:t xml:space="preserve">. </w:t>
      </w:r>
      <w:r>
        <w:rPr>
          <w:rFonts w:ascii="Consolas" w:hAnsi="Consolas"/>
          <w:b/>
          <w:i w:val="0"/>
          <w:color w:val="1B3A5C"/>
          <w:sz w:val="19"/>
        </w:rPr>
        <w:t>collector_balance</w:t>
      </w:r>
      <w:r>
        <w:rPr>
          <w:rFonts w:ascii="Calibri" w:hAnsi="Calibri"/>
          <w:b w:val="0"/>
          <w:i w:val="0"/>
          <w:color w:val="333333"/>
          <w:sz w:val="20"/>
        </w:rPr>
        <w:t xml:space="preserve"> — </w:t>
      </w:r>
      <w:r>
        <w:rPr>
          <w:rFonts w:ascii="Consolas" w:hAnsi="Consolas"/>
          <w:b w:val="0"/>
          <w:i w:val="0"/>
          <w:color w:val="1B3A5C"/>
          <w:sz w:val="19"/>
        </w:rPr>
        <w:t>agent_id</w:t>
      </w:r>
      <w:r>
        <w:rPr>
          <w:rFonts w:ascii="Calibri" w:hAnsi="Calibri"/>
          <w:b w:val="0"/>
          <w:i w:val="0"/>
          <w:color w:val="333333"/>
          <w:sz w:val="20"/>
        </w:rPr>
        <w:t xml:space="preserve">, </w:t>
      </w:r>
      <w:r>
        <w:rPr>
          <w:rFonts w:ascii="Consolas" w:hAnsi="Consolas"/>
          <w:b w:val="0"/>
          <w:i w:val="0"/>
          <w:color w:val="1B3A5C"/>
          <w:sz w:val="19"/>
        </w:rPr>
        <w:t>uncollected_amount</w:t>
      </w:r>
      <w:r>
        <w:rPr>
          <w:rFonts w:ascii="Calibri" w:hAnsi="Calibri"/>
          <w:b w:val="0"/>
          <w:i w:val="0"/>
          <w:color w:val="333333"/>
          <w:sz w:val="20"/>
        </w:rPr>
        <w:t xml:space="preserve">, </w:t>
      </w:r>
      <w:r>
        <w:rPr>
          <w:rFonts w:ascii="Consolas" w:hAnsi="Consolas"/>
          <w:b w:val="0"/>
          <w:i w:val="0"/>
          <w:color w:val="1B3A5C"/>
          <w:sz w:val="19"/>
        </w:rPr>
        <w:t>last_pay_in_at</w:t>
      </w:r>
      <w:r>
        <w:rPr>
          <w:rFonts w:ascii="Calibri" w:hAnsi="Calibri"/>
          <w:b w:val="0"/>
          <w:i w:val="0"/>
          <w:color w:val="333333"/>
          <w:sz w:val="20"/>
        </w:rPr>
        <w:t xml:space="preserve">, </w:t>
      </w:r>
      <w:r>
        <w:rPr>
          <w:rFonts w:ascii="Consolas" w:hAnsi="Consolas"/>
          <w:b w:val="0"/>
          <w:i w:val="0"/>
          <w:color w:val="1B3A5C"/>
          <w:sz w:val="19"/>
        </w:rPr>
        <w:t>is_blocked</w:t>
      </w:r>
      <w:r>
        <w:rPr>
          <w:rFonts w:ascii="Calibri" w:hAnsi="Calibri"/>
          <w:b w:val="0"/>
          <w:i w:val="0"/>
          <w:color w:val="333333"/>
          <w:sz w:val="20"/>
        </w:rPr>
        <w:t xml:space="preserve">, </w:t>
      </w:r>
      <w:r>
        <w:rPr>
          <w:rFonts w:ascii="Consolas" w:hAnsi="Consolas"/>
          <w:b w:val="0"/>
          <w:i w:val="0"/>
          <w:color w:val="1B3A5C"/>
          <w:sz w:val="19"/>
        </w:rPr>
        <w:t>blocked_at</w:t>
      </w:r>
      <w:r>
        <w:rPr>
          <w:rFonts w:ascii="Calibri" w:hAnsi="Calibri"/>
          <w:b w:val="0"/>
          <w:i w:val="0"/>
          <w:color w:val="333333"/>
          <w:sz w:val="20"/>
        </w:rPr>
        <w:t>. Tenue de façon transactionnelle à chaque encaissement et à chaque versement confirmé.</w:t>
      </w:r>
    </w:p>
    <w:p>
      <w:r>
        <w:rPr>
          <w:rFonts w:ascii="Consolas" w:hAnsi="Consolas"/>
          <w:b/>
          <w:i w:val="0"/>
          <w:color w:val="1B3A5C"/>
          <w:sz w:val="19"/>
        </w:rPr>
        <w:t>pay_in</w:t>
      </w:r>
      <w:r>
        <w:rPr>
          <w:rFonts w:ascii="Calibri" w:hAnsi="Calibri"/>
          <w:b w:val="0"/>
          <w:i w:val="0"/>
          <w:color w:val="333333"/>
          <w:sz w:val="20"/>
        </w:rPr>
        <w:t xml:space="preserve"> — </w:t>
      </w:r>
      <w:r>
        <w:rPr>
          <w:rFonts w:ascii="Consolas" w:hAnsi="Consolas"/>
          <w:b w:val="0"/>
          <w:i w:val="0"/>
          <w:color w:val="1B3A5C"/>
          <w:sz w:val="19"/>
        </w:rPr>
        <w:t>agent_id</w:t>
      </w:r>
      <w:r>
        <w:rPr>
          <w:rFonts w:ascii="Calibri" w:hAnsi="Calibri"/>
          <w:b w:val="0"/>
          <w:i w:val="0"/>
          <w:color w:val="333333"/>
          <w:sz w:val="20"/>
        </w:rPr>
        <w:t xml:space="preserve">, </w:t>
      </w:r>
      <w:r>
        <w:rPr>
          <w:rFonts w:ascii="Consolas" w:hAnsi="Consolas"/>
          <w:b w:val="0"/>
          <w:i w:val="0"/>
          <w:color w:val="1B3A5C"/>
          <w:sz w:val="19"/>
        </w:rPr>
        <w:t>declared_amount</w:t>
      </w:r>
      <w:r>
        <w:rPr>
          <w:rFonts w:ascii="Calibri" w:hAnsi="Calibri"/>
          <w:b w:val="0"/>
          <w:i w:val="0"/>
          <w:color w:val="333333"/>
          <w:sz w:val="20"/>
        </w:rPr>
        <w:t xml:space="preserve">, </w:t>
      </w:r>
      <w:r>
        <w:rPr>
          <w:rFonts w:ascii="Consolas" w:hAnsi="Consolas"/>
          <w:b w:val="0"/>
          <w:i w:val="0"/>
          <w:color w:val="1B3A5C"/>
          <w:sz w:val="19"/>
        </w:rPr>
        <w:t>method</w:t>
      </w:r>
      <w:r>
        <w:rPr>
          <w:rFonts w:ascii="Calibri" w:hAnsi="Calibri"/>
          <w:b w:val="0"/>
          <w:i w:val="0"/>
          <w:color w:val="333333"/>
          <w:sz w:val="20"/>
        </w:rPr>
        <w:t xml:space="preserve"> (</w:t>
      </w:r>
      <w:r>
        <w:rPr>
          <w:rFonts w:ascii="Consolas" w:hAnsi="Consolas"/>
          <w:b w:val="0"/>
          <w:i w:val="0"/>
          <w:color w:val="1B3A5C"/>
          <w:sz w:val="19"/>
        </w:rPr>
        <w:t>bank_deposit</w:t>
      </w:r>
      <w:r>
        <w:rPr>
          <w:rFonts w:ascii="Calibri" w:hAnsi="Calibri"/>
          <w:b w:val="0"/>
          <w:i w:val="0"/>
          <w:color w:val="333333"/>
          <w:sz w:val="20"/>
        </w:rPr>
        <w:t xml:space="preserve"> | </w:t>
      </w:r>
      <w:r>
        <w:rPr>
          <w:rFonts w:ascii="Consolas" w:hAnsi="Consolas"/>
          <w:b w:val="0"/>
          <w:i w:val="0"/>
          <w:color w:val="1B3A5C"/>
          <w:sz w:val="19"/>
        </w:rPr>
        <w:t>cash_office</w:t>
      </w:r>
      <w:r>
        <w:rPr>
          <w:rFonts w:ascii="Calibri" w:hAnsi="Calibri"/>
          <w:b w:val="0"/>
          <w:i w:val="0"/>
          <w:color w:val="333333"/>
          <w:sz w:val="20"/>
        </w:rPr>
        <w:t xml:space="preserve">), </w:t>
      </w:r>
      <w:r>
        <w:rPr>
          <w:rFonts w:ascii="Consolas" w:hAnsi="Consolas"/>
          <w:b w:val="0"/>
          <w:i w:val="0"/>
          <w:color w:val="1B3A5C"/>
          <w:sz w:val="19"/>
        </w:rPr>
        <w:t>bank_reference</w:t>
      </w:r>
      <w:r>
        <w:rPr>
          <w:rFonts w:ascii="Calibri" w:hAnsi="Calibri"/>
          <w:b w:val="0"/>
          <w:i w:val="0"/>
          <w:color w:val="333333"/>
          <w:sz w:val="20"/>
        </w:rPr>
        <w:t xml:space="preserve">, </w:t>
      </w:r>
      <w:r>
        <w:rPr>
          <w:rFonts w:ascii="Consolas" w:hAnsi="Consolas"/>
          <w:b w:val="0"/>
          <w:i w:val="0"/>
          <w:color w:val="1B3A5C"/>
          <w:sz w:val="19"/>
        </w:rPr>
        <w:t>deposit_slip_path</w:t>
      </w:r>
      <w:r>
        <w:rPr>
          <w:rFonts w:ascii="Calibri" w:hAnsi="Calibri"/>
          <w:b w:val="0"/>
          <w:i w:val="0"/>
          <w:color w:val="333333"/>
          <w:sz w:val="20"/>
        </w:rPr>
        <w:t xml:space="preserve">, </w:t>
      </w:r>
      <w:r>
        <w:rPr>
          <w:rFonts w:ascii="Consolas" w:hAnsi="Consolas"/>
          <w:b w:val="0"/>
          <w:i w:val="0"/>
          <w:color w:val="1B3A5C"/>
          <w:sz w:val="19"/>
        </w:rPr>
        <w:t>declared_at</w:t>
      </w:r>
      <w:r>
        <w:rPr>
          <w:rFonts w:ascii="Calibri" w:hAnsi="Calibri"/>
          <w:b w:val="0"/>
          <w:i w:val="0"/>
          <w:color w:val="333333"/>
          <w:sz w:val="20"/>
        </w:rPr>
        <w:t xml:space="preserve">, </w:t>
      </w:r>
      <w:r>
        <w:rPr>
          <w:rFonts w:ascii="Consolas" w:hAnsi="Consolas"/>
          <w:b w:val="0"/>
          <w:i w:val="0"/>
          <w:color w:val="1B3A5C"/>
          <w:sz w:val="19"/>
        </w:rPr>
        <w:t>status</w:t>
      </w:r>
      <w:r>
        <w:rPr>
          <w:rFonts w:ascii="Calibri" w:hAnsi="Calibri"/>
          <w:b w:val="0"/>
          <w:i w:val="0"/>
          <w:color w:val="333333"/>
          <w:sz w:val="20"/>
        </w:rPr>
        <w:t xml:space="preserve"> (</w:t>
      </w:r>
      <w:r>
        <w:rPr>
          <w:rFonts w:ascii="Consolas" w:hAnsi="Consolas"/>
          <w:b w:val="0"/>
          <w:i w:val="0"/>
          <w:color w:val="1B3A5C"/>
          <w:sz w:val="19"/>
        </w:rPr>
        <w:t>declared</w:t>
      </w:r>
      <w:r>
        <w:rPr>
          <w:rFonts w:ascii="Calibri" w:hAnsi="Calibri"/>
          <w:b w:val="0"/>
          <w:i w:val="0"/>
          <w:color w:val="333333"/>
          <w:sz w:val="20"/>
        </w:rPr>
        <w:t xml:space="preserve"> | </w:t>
      </w:r>
      <w:r>
        <w:rPr>
          <w:rFonts w:ascii="Consolas" w:hAnsi="Consolas"/>
          <w:b w:val="0"/>
          <w:i w:val="0"/>
          <w:color w:val="1B3A5C"/>
          <w:sz w:val="19"/>
        </w:rPr>
        <w:t>confirmed</w:t>
      </w:r>
      <w:r>
        <w:rPr>
          <w:rFonts w:ascii="Calibri" w:hAnsi="Calibri"/>
          <w:b w:val="0"/>
          <w:i w:val="0"/>
          <w:color w:val="333333"/>
          <w:sz w:val="20"/>
        </w:rPr>
        <w:t xml:space="preserve"> | </w:t>
      </w:r>
      <w:r>
        <w:rPr>
          <w:rFonts w:ascii="Consolas" w:hAnsi="Consolas"/>
          <w:b w:val="0"/>
          <w:i w:val="0"/>
          <w:color w:val="1B3A5C"/>
          <w:sz w:val="19"/>
        </w:rPr>
        <w:t>rejected</w:t>
      </w:r>
      <w:r>
        <w:rPr>
          <w:rFonts w:ascii="Calibri" w:hAnsi="Calibri"/>
          <w:b w:val="0"/>
          <w:i w:val="0"/>
          <w:color w:val="333333"/>
          <w:sz w:val="20"/>
        </w:rPr>
        <w:t xml:space="preserve">), </w:t>
      </w:r>
      <w:r>
        <w:rPr>
          <w:rFonts w:ascii="Consolas" w:hAnsi="Consolas"/>
          <w:b w:val="0"/>
          <w:i w:val="0"/>
          <w:color w:val="1B3A5C"/>
          <w:sz w:val="19"/>
        </w:rPr>
        <w:t>confirmed_by</w:t>
      </w:r>
      <w:r>
        <w:rPr>
          <w:rFonts w:ascii="Calibri" w:hAnsi="Calibri"/>
          <w:b w:val="0"/>
          <w:i w:val="0"/>
          <w:color w:val="333333"/>
          <w:sz w:val="20"/>
        </w:rPr>
        <w:t xml:space="preserve">, </w:t>
      </w:r>
      <w:r>
        <w:rPr>
          <w:rFonts w:ascii="Consolas" w:hAnsi="Consolas"/>
          <w:b w:val="0"/>
          <w:i w:val="0"/>
          <w:color w:val="1B3A5C"/>
          <w:sz w:val="19"/>
        </w:rPr>
        <w:t>confirmed_at</w:t>
      </w:r>
      <w:r>
        <w:rPr>
          <w:rFonts w:ascii="Calibri" w:hAnsi="Calibri"/>
          <w:b w:val="0"/>
          <w:i w:val="0"/>
          <w:color w:val="333333"/>
          <w:sz w:val="20"/>
        </w:rPr>
        <w:t xml:space="preserve">, </w:t>
      </w:r>
      <w:r>
        <w:rPr>
          <w:rFonts w:ascii="Consolas" w:hAnsi="Consolas"/>
          <w:b w:val="0"/>
          <w:i w:val="0"/>
          <w:color w:val="1B3A5C"/>
          <w:sz w:val="19"/>
        </w:rPr>
        <w:t>confirmed_amount</w:t>
      </w:r>
      <w:r>
        <w:rPr>
          <w:rFonts w:ascii="Calibri" w:hAnsi="Calibri"/>
          <w:b w:val="0"/>
          <w:i w:val="0"/>
          <w:color w:val="333333"/>
          <w:sz w:val="20"/>
        </w:rPr>
        <w:t xml:space="preserve">, </w:t>
      </w:r>
      <w:r>
        <w:rPr>
          <w:rFonts w:ascii="Consolas" w:hAnsi="Consolas"/>
          <w:b w:val="0"/>
          <w:i w:val="0"/>
          <w:color w:val="1B3A5C"/>
          <w:sz w:val="19"/>
        </w:rPr>
        <w:t>variance</w:t>
      </w:r>
      <w:r>
        <w:rPr>
          <w:rFonts w:ascii="Calibri" w:hAnsi="Calibri"/>
          <w:b w:val="0"/>
          <w:i w:val="0"/>
          <w:color w:val="333333"/>
          <w:sz w:val="20"/>
        </w:rPr>
        <w:t xml:space="preserve">, </w:t>
      </w:r>
      <w:r>
        <w:rPr>
          <w:rFonts w:ascii="Consolas" w:hAnsi="Consolas"/>
          <w:b w:val="0"/>
          <w:i w:val="0"/>
          <w:color w:val="1B3A5C"/>
          <w:sz w:val="19"/>
        </w:rPr>
        <w:t>notes</w:t>
      </w:r>
      <w:r>
        <w:rPr>
          <w:rFonts w:ascii="Calibri" w:hAnsi="Calibri"/>
          <w:b w:val="0"/>
          <w:i w:val="0"/>
          <w:color w:val="333333"/>
          <w:sz w:val="20"/>
        </w:rPr>
        <w:t>. La confirmation libère le terminal.</w:t>
      </w:r>
    </w:p>
    <w:p>
      <w:r>
        <w:rPr>
          <w:rFonts w:ascii="Consolas" w:hAnsi="Consolas"/>
          <w:b/>
          <w:i w:val="0"/>
          <w:color w:val="1B3A5C"/>
          <w:sz w:val="19"/>
        </w:rPr>
        <w:t>card_policy_link</w:t>
      </w:r>
      <w:r>
        <w:rPr>
          <w:rFonts w:ascii="Calibri" w:hAnsi="Calibri"/>
          <w:b w:val="0"/>
          <w:i w:val="0"/>
          <w:color w:val="333333"/>
          <w:sz w:val="20"/>
        </w:rPr>
        <w:t xml:space="preserve"> — </w:t>
      </w:r>
      <w:r>
        <w:rPr>
          <w:rFonts w:ascii="Consolas" w:hAnsi="Consolas"/>
          <w:b w:val="0"/>
          <w:i w:val="0"/>
          <w:color w:val="1B3A5C"/>
          <w:sz w:val="19"/>
        </w:rPr>
        <w:t>card_id</w:t>
      </w:r>
      <w:r>
        <w:rPr>
          <w:rFonts w:ascii="Calibri" w:hAnsi="Calibri"/>
          <w:b w:val="0"/>
          <w:i w:val="0"/>
          <w:color w:val="333333"/>
          <w:sz w:val="20"/>
        </w:rPr>
        <w:t xml:space="preserve">, </w:t>
      </w:r>
      <w:r>
        <w:rPr>
          <w:rFonts w:ascii="Consolas" w:hAnsi="Consolas"/>
          <w:b w:val="0"/>
          <w:i w:val="0"/>
          <w:color w:val="1B3A5C"/>
          <w:sz w:val="19"/>
        </w:rPr>
        <w:t>policy_id</w:t>
      </w:r>
      <w:r>
        <w:rPr>
          <w:rFonts w:ascii="Calibri" w:hAnsi="Calibri"/>
          <w:b w:val="0"/>
          <w:i w:val="0"/>
          <w:color w:val="333333"/>
          <w:sz w:val="20"/>
        </w:rPr>
        <w:t xml:space="preserve">, </w:t>
      </w:r>
      <w:r>
        <w:rPr>
          <w:rFonts w:ascii="Consolas" w:hAnsi="Consolas"/>
          <w:b w:val="0"/>
          <w:i w:val="0"/>
          <w:color w:val="1B3A5C"/>
          <w:sz w:val="19"/>
        </w:rPr>
        <w:t>slot_index</w:t>
      </w:r>
      <w:r>
        <w:rPr>
          <w:rFonts w:ascii="Calibri" w:hAnsi="Calibri"/>
          <w:b w:val="0"/>
          <w:i w:val="0"/>
          <w:color w:val="333333"/>
          <w:sz w:val="20"/>
        </w:rPr>
        <w:t>. Répond à l'exigence explicite du TdR selon laquelle une carte doit conserver plusieurs polices pour un même assuré.</w:t>
      </w:r>
    </w:p>
    <w:p>
      <w:r>
        <w:rPr>
          <w:rFonts w:ascii="Consolas" w:hAnsi="Consolas"/>
          <w:b/>
          <w:i w:val="0"/>
          <w:color w:val="1B3A5C"/>
          <w:sz w:val="19"/>
        </w:rPr>
        <w:t>virtual_card_credential</w:t>
      </w:r>
      <w:r>
        <w:rPr>
          <w:rFonts w:ascii="Calibri" w:hAnsi="Calibri"/>
          <w:b w:val="0"/>
          <w:i w:val="0"/>
          <w:color w:val="333333"/>
          <w:sz w:val="20"/>
        </w:rPr>
        <w:t xml:space="preserve"> — </w:t>
      </w:r>
      <w:r>
        <w:rPr>
          <w:rFonts w:ascii="Consolas" w:hAnsi="Consolas"/>
          <w:b w:val="0"/>
          <w:i w:val="0"/>
          <w:color w:val="1B3A5C"/>
          <w:sz w:val="19"/>
        </w:rPr>
        <w:t>client_id</w:t>
      </w:r>
      <w:r>
        <w:rPr>
          <w:rFonts w:ascii="Calibri" w:hAnsi="Calibri"/>
          <w:b w:val="0"/>
          <w:i w:val="0"/>
          <w:color w:val="333333"/>
          <w:sz w:val="20"/>
        </w:rPr>
        <w:t xml:space="preserve">, </w:t>
      </w:r>
      <w:r>
        <w:rPr>
          <w:rFonts w:ascii="Consolas" w:hAnsi="Consolas"/>
          <w:b w:val="0"/>
          <w:i w:val="0"/>
          <w:color w:val="1B3A5C"/>
          <w:sz w:val="19"/>
        </w:rPr>
        <w:t>card_id</w:t>
      </w:r>
      <w:r>
        <w:rPr>
          <w:rFonts w:ascii="Calibri" w:hAnsi="Calibri"/>
          <w:b w:val="0"/>
          <w:i w:val="0"/>
          <w:color w:val="333333"/>
          <w:sz w:val="20"/>
        </w:rPr>
        <w:t xml:space="preserve"> (nullable), </w:t>
      </w:r>
      <w:r>
        <w:rPr>
          <w:rFonts w:ascii="Consolas" w:hAnsi="Consolas"/>
          <w:b w:val="0"/>
          <w:i w:val="0"/>
          <w:color w:val="1B3A5C"/>
          <w:sz w:val="19"/>
        </w:rPr>
        <w:t>credential_id</w:t>
      </w:r>
      <w:r>
        <w:rPr>
          <w:rFonts w:ascii="Calibri" w:hAnsi="Calibri"/>
          <w:b w:val="0"/>
          <w:i w:val="0"/>
          <w:color w:val="333333"/>
          <w:sz w:val="20"/>
        </w:rPr>
        <w:t xml:space="preserve">, </w:t>
      </w:r>
      <w:r>
        <w:rPr>
          <w:rFonts w:ascii="Consolas" w:hAnsi="Consolas"/>
          <w:b w:val="0"/>
          <w:i w:val="0"/>
          <w:color w:val="1B3A5C"/>
          <w:sz w:val="19"/>
        </w:rPr>
        <w:t>payload_hash</w:t>
      </w:r>
      <w:r>
        <w:rPr>
          <w:rFonts w:ascii="Calibri" w:hAnsi="Calibri"/>
          <w:b w:val="0"/>
          <w:i w:val="0"/>
          <w:color w:val="333333"/>
          <w:sz w:val="20"/>
        </w:rPr>
        <w:t xml:space="preserve">, </w:t>
      </w:r>
      <w:r>
        <w:rPr>
          <w:rFonts w:ascii="Consolas" w:hAnsi="Consolas"/>
          <w:b w:val="0"/>
          <w:i w:val="0"/>
          <w:color w:val="1B3A5C"/>
          <w:sz w:val="19"/>
        </w:rPr>
        <w:t>signature</w:t>
      </w:r>
      <w:r>
        <w:rPr>
          <w:rFonts w:ascii="Calibri" w:hAnsi="Calibri"/>
          <w:b w:val="0"/>
          <w:i w:val="0"/>
          <w:color w:val="333333"/>
          <w:sz w:val="20"/>
        </w:rPr>
        <w:t xml:space="preserve">, </w:t>
      </w:r>
      <w:r>
        <w:rPr>
          <w:rFonts w:ascii="Consolas" w:hAnsi="Consolas"/>
          <w:b w:val="0"/>
          <w:i w:val="0"/>
          <w:color w:val="1B3A5C"/>
          <w:sz w:val="19"/>
        </w:rPr>
        <w:t>key_version</w:t>
      </w:r>
      <w:r>
        <w:rPr>
          <w:rFonts w:ascii="Calibri" w:hAnsi="Calibri"/>
          <w:b w:val="0"/>
          <w:i w:val="0"/>
          <w:color w:val="333333"/>
          <w:sz w:val="20"/>
        </w:rPr>
        <w:t xml:space="preserve">, </w:t>
      </w:r>
      <w:r>
        <w:rPr>
          <w:rFonts w:ascii="Consolas" w:hAnsi="Consolas"/>
          <w:b w:val="0"/>
          <w:i w:val="0"/>
          <w:color w:val="1B3A5C"/>
          <w:sz w:val="19"/>
        </w:rPr>
        <w:t>issued_at</w:t>
      </w:r>
      <w:r>
        <w:rPr>
          <w:rFonts w:ascii="Calibri" w:hAnsi="Calibri"/>
          <w:b w:val="0"/>
          <w:i w:val="0"/>
          <w:color w:val="333333"/>
          <w:sz w:val="20"/>
        </w:rPr>
        <w:t xml:space="preserve">, </w:t>
      </w:r>
      <w:r>
        <w:rPr>
          <w:rFonts w:ascii="Consolas" w:hAnsi="Consolas"/>
          <w:b w:val="0"/>
          <w:i w:val="0"/>
          <w:color w:val="1B3A5C"/>
          <w:sz w:val="19"/>
        </w:rPr>
        <w:t>expires_at</w:t>
      </w:r>
      <w:r>
        <w:rPr>
          <w:rFonts w:ascii="Calibri" w:hAnsi="Calibri"/>
          <w:b w:val="0"/>
          <w:i w:val="0"/>
          <w:color w:val="333333"/>
          <w:sz w:val="20"/>
        </w:rPr>
        <w:t xml:space="preserve">, </w:t>
      </w:r>
      <w:r>
        <w:rPr>
          <w:rFonts w:ascii="Consolas" w:hAnsi="Consolas"/>
          <w:b w:val="0"/>
          <w:i w:val="0"/>
          <w:color w:val="1B3A5C"/>
          <w:sz w:val="19"/>
        </w:rPr>
        <w:t>revoked_at</w:t>
      </w:r>
      <w:r>
        <w:rPr>
          <w:rFonts w:ascii="Calibri" w:hAnsi="Calibri"/>
          <w:b w:val="0"/>
          <w:i w:val="0"/>
          <w:color w:val="333333"/>
          <w:sz w:val="20"/>
        </w:rPr>
        <w:t>.</w:t>
      </w:r>
    </w:p>
    <w:p>
      <w:r>
        <w:rPr>
          <w:rFonts w:ascii="Consolas" w:hAnsi="Consolas"/>
          <w:b/>
          <w:i w:val="0"/>
          <w:color w:val="1B3A5C"/>
          <w:sz w:val="19"/>
        </w:rPr>
        <w:t>momo_payment</w:t>
      </w:r>
      <w:r>
        <w:rPr>
          <w:rFonts w:ascii="Calibri" w:hAnsi="Calibri"/>
          <w:b w:val="0"/>
          <w:i w:val="0"/>
          <w:color w:val="333333"/>
          <w:sz w:val="20"/>
        </w:rPr>
        <w:t xml:space="preserve"> — </w:t>
      </w:r>
      <w:r>
        <w:rPr>
          <w:rFonts w:ascii="Consolas" w:hAnsi="Consolas"/>
          <w:b w:val="0"/>
          <w:i w:val="0"/>
          <w:color w:val="1B3A5C"/>
          <w:sz w:val="19"/>
        </w:rPr>
        <w:t>premium_collection_id</w:t>
      </w:r>
      <w:r>
        <w:rPr>
          <w:rFonts w:ascii="Calibri" w:hAnsi="Calibri"/>
          <w:b w:val="0"/>
          <w:i w:val="0"/>
          <w:color w:val="333333"/>
          <w:sz w:val="20"/>
        </w:rPr>
        <w:t xml:space="preserve">, </w:t>
      </w:r>
      <w:r>
        <w:rPr>
          <w:rFonts w:ascii="Consolas" w:hAnsi="Consolas"/>
          <w:b w:val="0"/>
          <w:i w:val="0"/>
          <w:color w:val="1B3A5C"/>
          <w:sz w:val="19"/>
        </w:rPr>
        <w:t>provider</w:t>
      </w:r>
      <w:r>
        <w:rPr>
          <w:rFonts w:ascii="Calibri" w:hAnsi="Calibri"/>
          <w:b w:val="0"/>
          <w:i w:val="0"/>
          <w:color w:val="333333"/>
          <w:sz w:val="20"/>
        </w:rPr>
        <w:t xml:space="preserve">, </w:t>
      </w:r>
      <w:r>
        <w:rPr>
          <w:rFonts w:ascii="Consolas" w:hAnsi="Consolas"/>
          <w:b w:val="0"/>
          <w:i w:val="0"/>
          <w:color w:val="1B3A5C"/>
          <w:sz w:val="19"/>
        </w:rPr>
        <w:t>provider_reference</w:t>
      </w:r>
      <w:r>
        <w:rPr>
          <w:rFonts w:ascii="Calibri" w:hAnsi="Calibri"/>
          <w:b w:val="0"/>
          <w:i w:val="0"/>
          <w:color w:val="333333"/>
          <w:sz w:val="20"/>
        </w:rPr>
        <w:t xml:space="preserve">, </w:t>
      </w:r>
      <w:r>
        <w:rPr>
          <w:rFonts w:ascii="Consolas" w:hAnsi="Consolas"/>
          <w:b w:val="0"/>
          <w:i w:val="0"/>
          <w:color w:val="1B3A5C"/>
          <w:sz w:val="19"/>
        </w:rPr>
        <w:t>msisdn</w:t>
      </w:r>
      <w:r>
        <w:rPr>
          <w:rFonts w:ascii="Calibri" w:hAnsi="Calibri"/>
          <w:b w:val="0"/>
          <w:i w:val="0"/>
          <w:color w:val="333333"/>
          <w:sz w:val="20"/>
        </w:rPr>
        <w:t xml:space="preserve">, </w:t>
      </w:r>
      <w:r>
        <w:rPr>
          <w:rFonts w:ascii="Consolas" w:hAnsi="Consolas"/>
          <w:b w:val="0"/>
          <w:i w:val="0"/>
          <w:color w:val="1B3A5C"/>
          <w:sz w:val="19"/>
        </w:rPr>
        <w:t>amount</w:t>
      </w:r>
      <w:r>
        <w:rPr>
          <w:rFonts w:ascii="Calibri" w:hAnsi="Calibri"/>
          <w:b w:val="0"/>
          <w:i w:val="0"/>
          <w:color w:val="333333"/>
          <w:sz w:val="20"/>
        </w:rPr>
        <w:t xml:space="preserve">, </w:t>
      </w:r>
      <w:r>
        <w:rPr>
          <w:rFonts w:ascii="Consolas" w:hAnsi="Consolas"/>
          <w:b w:val="0"/>
          <w:i w:val="0"/>
          <w:color w:val="1B3A5C"/>
          <w:sz w:val="19"/>
        </w:rPr>
        <w:t>status</w:t>
      </w:r>
      <w:r>
        <w:rPr>
          <w:rFonts w:ascii="Calibri" w:hAnsi="Calibri"/>
          <w:b w:val="0"/>
          <w:i w:val="0"/>
          <w:color w:val="333333"/>
          <w:sz w:val="20"/>
        </w:rPr>
        <w:t xml:space="preserve">, </w:t>
      </w:r>
      <w:r>
        <w:rPr>
          <w:rFonts w:ascii="Consolas" w:hAnsi="Consolas"/>
          <w:b w:val="0"/>
          <w:i w:val="0"/>
          <w:color w:val="1B3A5C"/>
          <w:sz w:val="19"/>
        </w:rPr>
        <w:t>initiated_at</w:t>
      </w:r>
      <w:r>
        <w:rPr>
          <w:rFonts w:ascii="Calibri" w:hAnsi="Calibri"/>
          <w:b w:val="0"/>
          <w:i w:val="0"/>
          <w:color w:val="333333"/>
          <w:sz w:val="20"/>
        </w:rPr>
        <w:t xml:space="preserve">, </w:t>
      </w:r>
      <w:r>
        <w:rPr>
          <w:rFonts w:ascii="Consolas" w:hAnsi="Consolas"/>
          <w:b w:val="0"/>
          <w:i w:val="0"/>
          <w:color w:val="1B3A5C"/>
          <w:sz w:val="19"/>
        </w:rPr>
        <w:t>finalised_at</w:t>
      </w:r>
      <w:r>
        <w:rPr>
          <w:rFonts w:ascii="Calibri" w:hAnsi="Calibri"/>
          <w:b w:val="0"/>
          <w:i w:val="0"/>
          <w:color w:val="333333"/>
          <w:sz w:val="20"/>
        </w:rPr>
        <w:t xml:space="preserve">, </w:t>
      </w:r>
      <w:r>
        <w:rPr>
          <w:rFonts w:ascii="Consolas" w:hAnsi="Consolas"/>
          <w:b w:val="0"/>
          <w:i w:val="0"/>
          <w:color w:val="1B3A5C"/>
          <w:sz w:val="19"/>
        </w:rPr>
        <w:t>callback_payload</w:t>
      </w:r>
      <w:r>
        <w:rPr>
          <w:rFonts w:ascii="Calibri" w:hAnsi="Calibri"/>
          <w:b w:val="0"/>
          <w:i w:val="0"/>
          <w:color w:val="333333"/>
          <w:sz w:val="20"/>
        </w:rPr>
        <w:t xml:space="preserve"> (JSON), </w:t>
      </w:r>
      <w:r>
        <w:rPr>
          <w:rFonts w:ascii="Consolas" w:hAnsi="Consolas"/>
          <w:b w:val="0"/>
          <w:i w:val="0"/>
          <w:color w:val="1B3A5C"/>
          <w:sz w:val="19"/>
        </w:rPr>
        <w:t>reconciliation_status</w:t>
      </w:r>
      <w:r>
        <w:rPr>
          <w:rFonts w:ascii="Calibri" w:hAnsi="Calibri"/>
          <w:b w:val="0"/>
          <w:i w:val="0"/>
          <w:color w:val="333333"/>
          <w:sz w:val="20"/>
        </w:rPr>
        <w:t>.</w:t>
      </w:r>
    </w:p>
    <w:p>
      <w:r>
        <w:rPr>
          <w:rFonts w:ascii="Consolas" w:hAnsi="Consolas"/>
          <w:b/>
          <w:i w:val="0"/>
          <w:color w:val="1B3A5C"/>
          <w:sz w:val="19"/>
        </w:rPr>
        <w:t>sunulife_sync_log</w:t>
      </w:r>
      <w:r>
        <w:rPr>
          <w:rFonts w:ascii="Calibri" w:hAnsi="Calibri"/>
          <w:b w:val="0"/>
          <w:i w:val="0"/>
          <w:color w:val="333333"/>
          <w:sz w:val="20"/>
        </w:rPr>
        <w:t xml:space="preserve"> — </w:t>
      </w:r>
      <w:r>
        <w:rPr>
          <w:rFonts w:ascii="Consolas" w:hAnsi="Consolas"/>
          <w:b w:val="0"/>
          <w:i w:val="0"/>
          <w:color w:val="1B3A5C"/>
          <w:sz w:val="19"/>
        </w:rPr>
        <w:t>direction</w:t>
      </w:r>
      <w:r>
        <w:rPr>
          <w:rFonts w:ascii="Calibri" w:hAnsi="Calibri"/>
          <w:b w:val="0"/>
          <w:i w:val="0"/>
          <w:color w:val="333333"/>
          <w:sz w:val="20"/>
        </w:rPr>
        <w:t xml:space="preserve"> (</w:t>
      </w:r>
      <w:r>
        <w:rPr>
          <w:rFonts w:ascii="Consolas" w:hAnsi="Consolas"/>
          <w:b w:val="0"/>
          <w:i w:val="0"/>
          <w:color w:val="1B3A5C"/>
          <w:sz w:val="19"/>
        </w:rPr>
        <w:t>pull</w:t>
      </w:r>
      <w:r>
        <w:rPr>
          <w:rFonts w:ascii="Calibri" w:hAnsi="Calibri"/>
          <w:b w:val="0"/>
          <w:i w:val="0"/>
          <w:color w:val="333333"/>
          <w:sz w:val="20"/>
        </w:rPr>
        <w:t xml:space="preserve"> | </w:t>
      </w:r>
      <w:r>
        <w:rPr>
          <w:rFonts w:ascii="Consolas" w:hAnsi="Consolas"/>
          <w:b w:val="0"/>
          <w:i w:val="0"/>
          <w:color w:val="1B3A5C"/>
          <w:sz w:val="19"/>
        </w:rPr>
        <w:t>push</w:t>
      </w:r>
      <w:r>
        <w:rPr>
          <w:rFonts w:ascii="Calibri" w:hAnsi="Calibri"/>
          <w:b w:val="0"/>
          <w:i w:val="0"/>
          <w:color w:val="333333"/>
          <w:sz w:val="20"/>
        </w:rPr>
        <w:t xml:space="preserve">), </w:t>
      </w:r>
      <w:r>
        <w:rPr>
          <w:rFonts w:ascii="Consolas" w:hAnsi="Consolas"/>
          <w:b w:val="0"/>
          <w:i w:val="0"/>
          <w:color w:val="1B3A5C"/>
          <w:sz w:val="19"/>
        </w:rPr>
        <w:t>entity</w:t>
      </w:r>
      <w:r>
        <w:rPr>
          <w:rFonts w:ascii="Calibri" w:hAnsi="Calibri"/>
          <w:b w:val="0"/>
          <w:i w:val="0"/>
          <w:color w:val="333333"/>
          <w:sz w:val="20"/>
        </w:rPr>
        <w:t xml:space="preserve">, </w:t>
      </w:r>
      <w:r>
        <w:rPr>
          <w:rFonts w:ascii="Consolas" w:hAnsi="Consolas"/>
          <w:b w:val="0"/>
          <w:i w:val="0"/>
          <w:color w:val="1B3A5C"/>
          <w:sz w:val="19"/>
        </w:rPr>
        <w:t>entity_id</w:t>
      </w:r>
      <w:r>
        <w:rPr>
          <w:rFonts w:ascii="Calibri" w:hAnsi="Calibri"/>
          <w:b w:val="0"/>
          <w:i w:val="0"/>
          <w:color w:val="333333"/>
          <w:sz w:val="20"/>
        </w:rPr>
        <w:t xml:space="preserve">, </w:t>
      </w:r>
      <w:r>
        <w:rPr>
          <w:rFonts w:ascii="Consolas" w:hAnsi="Consolas"/>
          <w:b w:val="0"/>
          <w:i w:val="0"/>
          <w:color w:val="1B3A5C"/>
          <w:sz w:val="19"/>
        </w:rPr>
        <w:t>request_payload</w:t>
      </w:r>
      <w:r>
        <w:rPr>
          <w:rFonts w:ascii="Calibri" w:hAnsi="Calibri"/>
          <w:b w:val="0"/>
          <w:i w:val="0"/>
          <w:color w:val="333333"/>
          <w:sz w:val="20"/>
        </w:rPr>
        <w:t xml:space="preserve">, </w:t>
      </w:r>
      <w:r>
        <w:rPr>
          <w:rFonts w:ascii="Consolas" w:hAnsi="Consolas"/>
          <w:b w:val="0"/>
          <w:i w:val="0"/>
          <w:color w:val="1B3A5C"/>
          <w:sz w:val="19"/>
        </w:rPr>
        <w:t>response_payload</w:t>
      </w:r>
      <w:r>
        <w:rPr>
          <w:rFonts w:ascii="Calibri" w:hAnsi="Calibri"/>
          <w:b w:val="0"/>
          <w:i w:val="0"/>
          <w:color w:val="333333"/>
          <w:sz w:val="20"/>
        </w:rPr>
        <w:t xml:space="preserve">, </w:t>
      </w:r>
      <w:r>
        <w:rPr>
          <w:rFonts w:ascii="Consolas" w:hAnsi="Consolas"/>
          <w:b w:val="0"/>
          <w:i w:val="0"/>
          <w:color w:val="1B3A5C"/>
          <w:sz w:val="19"/>
        </w:rPr>
        <w:t>http_status</w:t>
      </w:r>
      <w:r>
        <w:rPr>
          <w:rFonts w:ascii="Calibri" w:hAnsi="Calibri"/>
          <w:b w:val="0"/>
          <w:i w:val="0"/>
          <w:color w:val="333333"/>
          <w:sz w:val="20"/>
        </w:rPr>
        <w:t xml:space="preserve">, </w:t>
      </w:r>
      <w:r>
        <w:rPr>
          <w:rFonts w:ascii="Consolas" w:hAnsi="Consolas"/>
          <w:b w:val="0"/>
          <w:i w:val="0"/>
          <w:color w:val="1B3A5C"/>
          <w:sz w:val="19"/>
        </w:rPr>
        <w:t>status</w:t>
      </w:r>
      <w:r>
        <w:rPr>
          <w:rFonts w:ascii="Calibri" w:hAnsi="Calibri"/>
          <w:b w:val="0"/>
          <w:i w:val="0"/>
          <w:color w:val="333333"/>
          <w:sz w:val="20"/>
        </w:rPr>
        <w:t xml:space="preserve">, </w:t>
      </w:r>
      <w:r>
        <w:rPr>
          <w:rFonts w:ascii="Consolas" w:hAnsi="Consolas"/>
          <w:b w:val="0"/>
          <w:i w:val="0"/>
          <w:color w:val="1B3A5C"/>
          <w:sz w:val="19"/>
        </w:rPr>
        <w:t>attempts</w:t>
      </w:r>
      <w:r>
        <w:rPr>
          <w:rFonts w:ascii="Calibri" w:hAnsi="Calibri"/>
          <w:b w:val="0"/>
          <w:i w:val="0"/>
          <w:color w:val="333333"/>
          <w:sz w:val="20"/>
        </w:rPr>
        <w:t xml:space="preserve">, </w:t>
      </w:r>
      <w:r>
        <w:rPr>
          <w:rFonts w:ascii="Consolas" w:hAnsi="Consolas"/>
          <w:b w:val="0"/>
          <w:i w:val="0"/>
          <w:color w:val="1B3A5C"/>
          <w:sz w:val="19"/>
        </w:rPr>
        <w:t>last_error</w:t>
      </w:r>
      <w:r>
        <w:rPr>
          <w:rFonts w:ascii="Calibri" w:hAnsi="Calibri"/>
          <w:b w:val="0"/>
          <w:i w:val="0"/>
          <w:color w:val="333333"/>
          <w:sz w:val="20"/>
        </w:rPr>
        <w:t xml:space="preserve">, </w:t>
      </w:r>
      <w:r>
        <w:rPr>
          <w:rFonts w:ascii="Consolas" w:hAnsi="Consolas"/>
          <w:b w:val="0"/>
          <w:i w:val="0"/>
          <w:color w:val="1B3A5C"/>
          <w:sz w:val="19"/>
        </w:rPr>
        <w:t>synced_at</w:t>
      </w:r>
      <w:r>
        <w:rPr>
          <w:rFonts w:ascii="Calibri" w:hAnsi="Calibri"/>
          <w:b w:val="0"/>
          <w:i w:val="0"/>
          <w:color w:val="333333"/>
          <w:sz w:val="20"/>
        </w:rPr>
        <w:t>.</w:t>
      </w:r>
    </w:p>
    <w:p>
      <w:pPr>
        <w:pStyle w:val="Heading2"/>
        <w:spacing w:before="280" w:after="80"/>
        <w:keepNext/>
      </w:pPr>
      <w:bookmarkStart w:id="118" w:name="_Toc_s017"/>
      <w:r>
        <w:rPr>
          <w:rFonts w:ascii="Calibri" w:hAnsi="Calibri"/>
          <w:b/>
          <w:color w:val="1B3A5C"/>
          <w:sz w:val="24"/>
        </w:rPr>
        <w:t>5.3 Idempotence et génération des références</w:t>
      </w:r>
      <w:bookmarkEnd w:id="118"/>
    </w:p>
    <w:p>
      <w:r>
        <w:rPr>
          <w:rFonts w:ascii="Calibri" w:hAnsi="Calibri"/>
          <w:b w:val="0"/>
          <w:i w:val="0"/>
          <w:color w:val="333333"/>
          <w:sz w:val="20"/>
        </w:rPr>
        <w:t xml:space="preserve">Toute opération issue du terrain porte une </w:t>
      </w:r>
      <w:r>
        <w:rPr>
          <w:rFonts w:ascii="Calibri" w:hAnsi="Calibri"/>
          <w:b/>
          <w:i w:val="0"/>
          <w:color w:val="333333"/>
          <w:sz w:val="20"/>
        </w:rPr>
        <w:t>référence unique générée par le client</w:t>
      </w:r>
      <w:r>
        <w:rPr>
          <w:rFonts w:ascii="Calibri" w:hAnsi="Calibri"/>
          <w:b w:val="0"/>
          <w:i w:val="0"/>
          <w:color w:val="333333"/>
          <w:sz w:val="20"/>
        </w:rPr>
        <w:t>, construite à partir du numéro de série du terminal, de l'identifiant de l'agent, d'un compteur monotone et d'un horodatage. Le back-office impose l'unicité de cette référence. Un renvoi après expiration réseau ne peut donc pas créer un double encaissement. C'est le contrôle d'intégrité des données le plus important d'un système de collecte tolérant au hors-ligne, et il est appliqué au niveau de la base de données, pas seulement dans le code applicatif.</w:t>
      </w:r>
    </w:p>
    <w:p>
      <w:pPr>
        <w:pStyle w:val="Heading2"/>
        <w:spacing w:before="280" w:after="80"/>
        <w:keepNext/>
      </w:pPr>
      <w:bookmarkStart w:id="119" w:name="_Toc_s018"/>
      <w:r>
        <w:rPr>
          <w:rFonts w:ascii="Calibri" w:hAnsi="Calibri"/>
          <w:b/>
          <w:color w:val="1B3A5C"/>
          <w:sz w:val="24"/>
        </w:rPr>
        <w:t>5.4 Conservation des données</w:t>
      </w:r>
      <w:bookmarkEnd w:id="11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Donnée</w:t>
            </w:r>
          </w:p>
        </w:tc>
        <w:tc>
          <w:tcPr>
            <w:tcW w:type="dxa" w:w="3249"/>
            <w:shd w:val="clear" w:fill="1B3A5C"/>
          </w:tcPr>
          <w:p>
            <w:pPr>
              <w:spacing w:before="60" w:after="60"/>
            </w:pPr>
            <w:r>
              <w:rPr>
                <w:rFonts w:ascii="Calibri" w:hAnsi="Calibri"/>
                <w:b/>
                <w:color w:val="FFFFFF"/>
                <w:sz w:val="17"/>
              </w:rPr>
              <w:t>Durée</w:t>
            </w:r>
          </w:p>
        </w:tc>
        <w:tc>
          <w:tcPr>
            <w:tcW w:type="dxa" w:w="3249"/>
            <w:shd w:val="clear" w:fill="1B3A5C"/>
          </w:tcPr>
          <w:p>
            <w:pPr>
              <w:spacing w:before="60" w:after="60"/>
            </w:pPr>
            <w:r>
              <w:rPr>
                <w:rFonts w:ascii="Calibri" w:hAnsi="Calibri"/>
                <w:b/>
                <w:color w:val="FFFFFF"/>
                <w:sz w:val="17"/>
              </w:rPr>
              <w:t>Remarque</w:t>
            </w:r>
          </w:p>
        </w:tc>
      </w:tr>
      <w:tr>
        <w:tc>
          <w:tcPr>
            <w:tcW w:type="dxa" w:w="3249"/>
          </w:tcPr>
          <w:p>
            <w:pPr>
              <w:spacing w:before="40" w:after="40"/>
            </w:pPr>
            <w:r>
              <w:rPr>
                <w:rFonts w:ascii="Calibri" w:hAnsi="Calibri"/>
                <w:b w:val="0"/>
                <w:i w:val="0"/>
                <w:color w:val="333333"/>
                <w:sz w:val="17"/>
              </w:rPr>
              <w:t>Transactions financières et encaissements</w:t>
            </w:r>
          </w:p>
        </w:tc>
        <w:tc>
          <w:tcPr>
            <w:tcW w:type="dxa" w:w="3249"/>
          </w:tcPr>
          <w:p>
            <w:pPr>
              <w:spacing w:before="40" w:after="40"/>
            </w:pPr>
            <w:r>
              <w:rPr>
                <w:rFonts w:ascii="Calibri" w:hAnsi="Calibri"/>
                <w:b w:val="0"/>
                <w:i w:val="0"/>
                <w:color w:val="333333"/>
                <w:sz w:val="17"/>
              </w:rPr>
              <w:t>10 ans</w:t>
            </w:r>
          </w:p>
        </w:tc>
        <w:tc>
          <w:tcPr>
            <w:tcW w:type="dxa" w:w="3249"/>
          </w:tcPr>
          <w:p>
            <w:pPr>
              <w:spacing w:before="40" w:after="40"/>
            </w:pPr>
            <w:r>
              <w:rPr>
                <w:rFonts w:ascii="Calibri" w:hAnsi="Calibri"/>
                <w:b w:val="0"/>
                <w:i w:val="0"/>
                <w:color w:val="333333"/>
                <w:sz w:val="17"/>
              </w:rPr>
              <w:t>Conservation assurantielle et comptable</w:t>
            </w:r>
          </w:p>
        </w:tc>
      </w:tr>
      <w:tr>
        <w:tc>
          <w:tcPr>
            <w:tcW w:type="dxa" w:w="3249"/>
            <w:shd w:val="clear" w:fill="F2F6FA"/>
          </w:tcPr>
          <w:p>
            <w:pPr>
              <w:spacing w:before="40" w:after="40"/>
            </w:pPr>
            <w:r>
              <w:rPr>
                <w:rFonts w:ascii="Calibri" w:hAnsi="Calibri"/>
                <w:b w:val="0"/>
                <w:i w:val="0"/>
                <w:color w:val="333333"/>
                <w:sz w:val="17"/>
              </w:rPr>
              <w:t>Images de propositions et de pièces d'identité</w:t>
            </w:r>
          </w:p>
        </w:tc>
        <w:tc>
          <w:tcPr>
            <w:tcW w:type="dxa" w:w="3249"/>
            <w:shd w:val="clear" w:fill="F2F6FA"/>
          </w:tcPr>
          <w:p>
            <w:pPr>
              <w:spacing w:before="40" w:after="40"/>
            </w:pPr>
            <w:r>
              <w:rPr>
                <w:rFonts w:ascii="Calibri" w:hAnsi="Calibri"/>
                <w:b w:val="0"/>
                <w:i w:val="0"/>
                <w:color w:val="333333"/>
                <w:sz w:val="17"/>
              </w:rPr>
              <w:t>10 ans, archivage en stockage froid après 2 ans</w:t>
            </w:r>
          </w:p>
        </w:tc>
        <w:tc>
          <w:tcPr>
            <w:tcW w:type="dxa" w:w="3249"/>
            <w:shd w:val="clear" w:fill="F2F6FA"/>
          </w:tcPr>
          <w:p>
            <w:pPr>
              <w:spacing w:before="40" w:after="40"/>
            </w:pPr>
            <w:r>
              <w:rPr>
                <w:rFonts w:ascii="Calibri" w:hAnsi="Calibri"/>
                <w:b w:val="0"/>
                <w:i w:val="0"/>
                <w:color w:val="333333"/>
                <w:sz w:val="17"/>
              </w:rPr>
              <w:t>Maîtrise des volumes</w:t>
            </w:r>
          </w:p>
        </w:tc>
      </w:tr>
      <w:tr>
        <w:tc>
          <w:tcPr>
            <w:tcW w:type="dxa" w:w="3249"/>
          </w:tcPr>
          <w:p>
            <w:pPr>
              <w:spacing w:before="40" w:after="40"/>
            </w:pPr>
            <w:r>
              <w:rPr>
                <w:rFonts w:ascii="Calibri" w:hAnsi="Calibri"/>
                <w:b w:val="0"/>
                <w:i w:val="0"/>
                <w:color w:val="333333"/>
                <w:sz w:val="17"/>
              </w:rPr>
              <w:t>Piste d'audit</w:t>
            </w:r>
          </w:p>
        </w:tc>
        <w:tc>
          <w:tcPr>
            <w:tcW w:type="dxa" w:w="3249"/>
          </w:tcPr>
          <w:p>
            <w:pPr>
              <w:spacing w:before="40" w:after="40"/>
            </w:pPr>
            <w:r>
              <w:rPr>
                <w:rFonts w:ascii="Calibri" w:hAnsi="Calibri"/>
                <w:b w:val="0"/>
                <w:i w:val="0"/>
                <w:color w:val="333333"/>
                <w:sz w:val="17"/>
              </w:rPr>
              <w:t>5 ans</w:t>
            </w:r>
          </w:p>
        </w:tc>
        <w:tc>
          <w:tcPr>
            <w:tcW w:type="dxa" w:w="3249"/>
          </w:tcPr>
          <w:p>
            <w:pPr>
              <w:spacing w:before="40" w:after="40"/>
            </w:pPr>
          </w:p>
        </w:tc>
      </w:tr>
      <w:tr>
        <w:tc>
          <w:tcPr>
            <w:tcW w:type="dxa" w:w="3249"/>
            <w:shd w:val="clear" w:fill="F2F6FA"/>
          </w:tcPr>
          <w:p>
            <w:pPr>
              <w:spacing w:before="40" w:after="40"/>
            </w:pPr>
            <w:r>
              <w:rPr>
                <w:rFonts w:ascii="Calibri" w:hAnsi="Calibri"/>
                <w:b w:val="0"/>
                <w:i w:val="0"/>
                <w:color w:val="333333"/>
                <w:sz w:val="17"/>
              </w:rPr>
              <w:t>Journaux de requêtes API</w:t>
            </w:r>
          </w:p>
        </w:tc>
        <w:tc>
          <w:tcPr>
            <w:tcW w:type="dxa" w:w="3249"/>
            <w:shd w:val="clear" w:fill="F2F6FA"/>
          </w:tcPr>
          <w:p>
            <w:pPr>
              <w:spacing w:before="40" w:after="40"/>
            </w:pPr>
            <w:r>
              <w:rPr>
                <w:rFonts w:ascii="Calibri" w:hAnsi="Calibri"/>
                <w:b w:val="0"/>
                <w:i w:val="0"/>
                <w:color w:val="333333"/>
                <w:sz w:val="17"/>
              </w:rPr>
              <w:t>12 mois</w:t>
            </w:r>
          </w:p>
        </w:tc>
        <w:tc>
          <w:tcPr>
            <w:tcW w:type="dxa" w:w="3249"/>
            <w:shd w:val="clear" w:fill="F2F6FA"/>
          </w:tcPr>
          <w:p>
            <w:pPr>
              <w:spacing w:before="40" w:after="40"/>
            </w:pPr>
          </w:p>
        </w:tc>
      </w:tr>
      <w:tr>
        <w:tc>
          <w:tcPr>
            <w:tcW w:type="dxa" w:w="3249"/>
          </w:tcPr>
          <w:p>
            <w:pPr>
              <w:spacing w:before="40" w:after="40"/>
            </w:pPr>
            <w:r>
              <w:rPr>
                <w:rFonts w:ascii="Calibri" w:hAnsi="Calibri"/>
                <w:b w:val="0"/>
                <w:i w:val="0"/>
                <w:color w:val="333333"/>
                <w:sz w:val="17"/>
              </w:rPr>
              <w:t>Gabarits biométriques (si activés)</w:t>
            </w:r>
          </w:p>
        </w:tc>
        <w:tc>
          <w:tcPr>
            <w:tcW w:type="dxa" w:w="3249"/>
          </w:tcPr>
          <w:p>
            <w:pPr>
              <w:spacing w:before="40" w:after="40"/>
            </w:pPr>
            <w:r>
              <w:rPr>
                <w:rFonts w:ascii="Calibri" w:hAnsi="Calibri"/>
                <w:b w:val="0"/>
                <w:i w:val="0"/>
                <w:color w:val="333333"/>
                <w:sz w:val="17"/>
              </w:rPr>
              <w:t>Durée de la relation + 1 an</w:t>
            </w:r>
          </w:p>
        </w:tc>
        <w:tc>
          <w:tcPr>
            <w:tcW w:type="dxa" w:w="3249"/>
          </w:tcPr>
          <w:p>
            <w:pPr>
              <w:spacing w:before="40" w:after="40"/>
            </w:pPr>
            <w:r>
              <w:rPr>
                <w:rFonts w:ascii="Calibri" w:hAnsi="Calibri"/>
                <w:b w:val="0"/>
                <w:i w:val="0"/>
                <w:color w:val="333333"/>
                <w:sz w:val="17"/>
              </w:rPr>
              <w:t>Voir Document 2</w:t>
            </w:r>
          </w:p>
        </w:tc>
      </w:tr>
      <w:tr>
        <w:tc>
          <w:tcPr>
            <w:tcW w:type="dxa" w:w="3249"/>
            <w:shd w:val="clear" w:fill="F2F6FA"/>
          </w:tcPr>
          <w:p>
            <w:pPr>
              <w:spacing w:before="40" w:after="40"/>
            </w:pPr>
            <w:r>
              <w:rPr>
                <w:rFonts w:ascii="Calibri" w:hAnsi="Calibri"/>
                <w:b w:val="0"/>
                <w:i w:val="0"/>
                <w:color w:val="333333"/>
                <w:sz w:val="17"/>
              </w:rPr>
              <w:t>Journaux de session et journaux techniques</w:t>
            </w:r>
          </w:p>
        </w:tc>
        <w:tc>
          <w:tcPr>
            <w:tcW w:type="dxa" w:w="3249"/>
            <w:shd w:val="clear" w:fill="F2F6FA"/>
          </w:tcPr>
          <w:p>
            <w:pPr>
              <w:spacing w:before="40" w:after="40"/>
            </w:pPr>
            <w:r>
              <w:rPr>
                <w:rFonts w:ascii="Calibri" w:hAnsi="Calibri"/>
                <w:b w:val="0"/>
                <w:i w:val="0"/>
                <w:color w:val="333333"/>
                <w:sz w:val="17"/>
              </w:rPr>
              <w:t>90 jours</w:t>
            </w:r>
          </w:p>
        </w:tc>
        <w:tc>
          <w:tcPr>
            <w:tcW w:type="dxa" w:w="3249"/>
            <w:shd w:val="clear" w:fill="F2F6FA"/>
          </w:tcPr>
          <w:p>
            <w:pPr>
              <w:spacing w:before="40" w:after="40"/>
            </w:pPr>
          </w:p>
        </w:tc>
      </w:tr>
    </w:tbl>
    <w:p>
      <w:pPr>
        <w:spacing w:after="40"/>
      </w:pPr>
    </w:p>
    <w:p>
      <w:pPr>
        <w:pStyle w:val="Heading1"/>
        <w:pageBreakBefore/>
        <w:spacing w:before="360" w:after="80"/>
        <w:keepNext/>
        <w:pBdr>
          <w:bottom w:val="single" w:sz="8" w:space="6" w:color="1B3A5C"/>
        </w:pBdr>
      </w:pPr>
      <w:bookmarkStart w:id="120" w:name="_Toc_s019"/>
      <w:r>
        <w:rPr>
          <w:rFonts w:ascii="Calibri" w:hAnsi="Calibri"/>
          <w:b/>
          <w:color w:val="1B3A5C"/>
          <w:sz w:val="30"/>
        </w:rPr>
        <w:t>6. Flux fonctionnels (niveau 3)</w:t>
      </w:r>
      <w:bookmarkEnd w:id="120"/>
    </w:p>
    <w:p>
      <w:pPr>
        <w:pStyle w:val="Heading2"/>
        <w:spacing w:before="280" w:after="80"/>
        <w:keepNext/>
      </w:pPr>
      <w:bookmarkStart w:id="121" w:name="_Toc_s020"/>
      <w:r>
        <w:rPr>
          <w:rFonts w:ascii="Calibri" w:hAnsi="Calibri"/>
          <w:b/>
          <w:color w:val="1B3A5C"/>
          <w:sz w:val="24"/>
        </w:rPr>
        <w:t>6.1 Flux A — Souscription et première prime (TdR Besoin 1)</w:t>
      </w:r>
      <w:bookmarkEnd w:id="121"/>
    </w:p>
    <w:p>
      <w:pPr>
        <w:spacing w:before="120" w:after="160" w:line="240" w:lineRule="auto"/>
        <w:ind w:left="113"/>
        <w:shd w:val="clear" w:fill="F4F5F2"/>
        <w:pBdr>
          <w:left w:val="single" w:sz="12" w:space="6" w:color="1B3A5C"/>
        </w:pBdr>
      </w:pPr>
      <w:r>
        <w:rPr>
          <w:rFonts w:ascii="Consolas" w:hAnsi="Consolas" w:cs="Consolas"/>
          <w:color w:val="333333"/>
          <w:sz w:val="15"/>
        </w:rPr>
        <w:t>COLLECTEUR                   TERMINAL TPE                  BACK-OFFICE            SUNULIFE</w:t>
        <w:br/>
      </w:r>
      <w:r>
        <w:rPr>
          <w:rFonts w:ascii="Consolas" w:hAnsi="Consolas" w:cs="Consolas"/>
          <w:color w:val="333333"/>
          <w:sz w:val="15"/>
        </w:rPr>
        <w:t xml:space="preserve">    │                             │                             │                     │</w:t>
        <w:br/>
      </w:r>
      <w:r>
        <w:rPr>
          <w:rFonts w:ascii="Consolas" w:hAnsi="Consolas" w:cs="Consolas"/>
          <w:color w:val="333333"/>
          <w:sz w:val="15"/>
        </w:rPr>
        <w:t xml:space="preserve">    │ remplit la proposition      │                             │                     │</w:t>
        <w:br/>
      </w:r>
      <w:r>
        <w:rPr>
          <w:rFonts w:ascii="Consolas" w:hAnsi="Consolas" w:cs="Consolas"/>
          <w:color w:val="333333"/>
          <w:sz w:val="15"/>
        </w:rPr>
        <w:t xml:space="preserve">    │ le client signe             │                             │                     │</w:t>
        <w:br/>
      </w:r>
      <w:r>
        <w:rPr>
          <w:rFonts w:ascii="Consolas" w:hAnsi="Consolas" w:cs="Consolas"/>
          <w:color w:val="333333"/>
          <w:sz w:val="15"/>
        </w:rPr>
        <w:t xml:space="preserve">    │                             │                             │                     │</w:t>
        <w:br/>
      </w:r>
      <w:r>
        <w:rPr>
          <w:rFonts w:ascii="Consolas" w:hAnsi="Consolas" w:cs="Consolas"/>
          <w:color w:val="333333"/>
          <w:sz w:val="15"/>
        </w:rPr>
        <w:t xml:space="preserve">    ├─ « Nouvelle souscription » ►│                             │                     │</w:t>
        <w:br/>
      </w:r>
      <w:r>
        <w:rPr>
          <w:rFonts w:ascii="Consolas" w:hAnsi="Consolas" w:cs="Consolas"/>
          <w:color w:val="333333"/>
          <w:sz w:val="15"/>
        </w:rPr>
        <w:t xml:space="preserve">    │                             │ choisit le produit          │                     │</w:t>
        <w:br/>
      </w:r>
      <w:r>
        <w:rPr>
          <w:rFonts w:ascii="Consolas" w:hAnsi="Consolas" w:cs="Consolas"/>
          <w:color w:val="333333"/>
          <w:sz w:val="15"/>
        </w:rPr>
        <w:t xml:space="preserve">    │                             │ saisit le n° de proposition │                     │</w:t>
        <w:br/>
      </w:r>
      <w:r>
        <w:rPr>
          <w:rFonts w:ascii="Consolas" w:hAnsi="Consolas" w:cs="Consolas"/>
          <w:color w:val="333333"/>
          <w:sz w:val="15"/>
        </w:rPr>
        <w:t xml:space="preserve">    │                             │ saisit l'identité           │                     │</w:t>
        <w:br/>
      </w:r>
      <w:r>
        <w:rPr>
          <w:rFonts w:ascii="Consolas" w:hAnsi="Consolas" w:cs="Consolas"/>
          <w:color w:val="333333"/>
          <w:sz w:val="15"/>
        </w:rPr>
        <w:t xml:space="preserve">    │                             │ photographie la proposition │                     │</w:t>
        <w:br/>
      </w:r>
      <w:r>
        <w:rPr>
          <w:rFonts w:ascii="Consolas" w:hAnsi="Consolas" w:cs="Consolas"/>
          <w:color w:val="333333"/>
          <w:sz w:val="15"/>
        </w:rPr>
        <w:t xml:space="preserve">    │                             │ photographie la CNIB (2 f.) │                     │</w:t>
        <w:br/>
      </w:r>
      <w:r>
        <w:rPr>
          <w:rFonts w:ascii="Consolas" w:hAnsi="Consolas" w:cs="Consolas"/>
          <w:color w:val="333333"/>
          <w:sz w:val="15"/>
        </w:rPr>
        <w:t xml:space="preserve">    │                             │ capture le GPS              │                     │</w:t>
        <w:br/>
      </w:r>
      <w:r>
        <w:rPr>
          <w:rFonts w:ascii="Consolas" w:hAnsi="Consolas" w:cs="Consolas"/>
          <w:color w:val="333333"/>
          <w:sz w:val="15"/>
        </w:rPr>
        <w:t xml:space="preserve">    │                             │ ── enregistre en local ───► │                     │</w:t>
        <w:br/>
      </w:r>
      <w:r>
        <w:rPr>
          <w:rFonts w:ascii="Consolas" w:hAnsi="Consolas" w:cs="Consolas"/>
          <w:color w:val="333333"/>
          <w:sz w:val="15"/>
        </w:rPr>
        <w:t xml:space="preserve">    │                             │                             │                     │</w:t>
        <w:br/>
      </w:r>
      <w:r>
        <w:rPr>
          <w:rFonts w:ascii="Consolas" w:hAnsi="Consolas" w:cs="Consolas"/>
          <w:color w:val="333333"/>
          <w:sz w:val="15"/>
        </w:rPr>
        <w:t xml:space="preserve">    ├─ encaisse frais de police ─►│ imprime le REÇU n°1 (frais) │                     │</w:t>
        <w:br/>
      </w:r>
      <w:r>
        <w:rPr>
          <w:rFonts w:ascii="Consolas" w:hAnsi="Consolas" w:cs="Consolas"/>
          <w:color w:val="333333"/>
          <w:sz w:val="15"/>
        </w:rPr>
        <w:t xml:space="preserve">    ├─ encaisse la 1re prime ────►│ imprime le REÇU n°2 (prime) │                     │</w:t>
        <w:br/>
      </w:r>
      <w:r>
        <w:rPr>
          <w:rFonts w:ascii="Consolas" w:hAnsi="Consolas" w:cs="Consolas"/>
          <w:color w:val="333333"/>
          <w:sz w:val="15"/>
        </w:rPr>
        <w:t xml:space="preserve">    │                             │                             │                     │</w:t>
        <w:br/>
      </w:r>
      <w:r>
        <w:rPr>
          <w:rFonts w:ascii="Consolas" w:hAnsi="Consolas" w:cs="Consolas"/>
          <w:color w:val="333333"/>
          <w:sz w:val="15"/>
        </w:rPr>
        <w:t xml:space="preserve">    │                             │ ── envoie dès connexion ──► │ crée la proposition │</w:t>
        <w:br/>
      </w:r>
      <w:r>
        <w:rPr>
          <w:rFonts w:ascii="Consolas" w:hAnsi="Consolas" w:cs="Consolas"/>
          <w:color w:val="333333"/>
          <w:sz w:val="15"/>
        </w:rPr>
        <w:t xml:space="preserve">    │                             │                             │ + 2 encaissements   │</w:t>
        <w:br/>
      </w:r>
      <w:r>
        <w:rPr>
          <w:rFonts w:ascii="Consolas" w:hAnsi="Consolas" w:cs="Consolas"/>
          <w:color w:val="333333"/>
          <w:sz w:val="15"/>
        </w:rPr>
        <w:t xml:space="preserve">    │                             │                             │ + 2 transactions    │</w:t>
        <w:br/>
      </w:r>
      <w:r>
        <w:rPr>
          <w:rFonts w:ascii="Consolas" w:hAnsi="Consolas" w:cs="Consolas"/>
          <w:color w:val="333333"/>
          <w:sz w:val="15"/>
        </w:rPr>
        <w:t xml:space="preserve">    │                             │                             │                     │</w:t>
        <w:br/>
      </w:r>
      <w:r>
        <w:rPr>
          <w:rFonts w:ascii="Consolas" w:hAnsi="Consolas" w:cs="Consolas"/>
          <w:color w:val="333333"/>
          <w:sz w:val="15"/>
        </w:rPr>
        <w:t xml:space="preserve">    │                             │                             │ revue back-office   │</w:t>
        <w:br/>
      </w:r>
      <w:r>
        <w:rPr>
          <w:rFonts w:ascii="Consolas" w:hAnsi="Consolas" w:cs="Consolas"/>
          <w:color w:val="333333"/>
          <w:sz w:val="15"/>
        </w:rPr>
        <w:t xml:space="preserve">    │                             │                             │ ── pousse la prop. ►│</w:t>
        <w:br/>
      </w:r>
      <w:r>
        <w:rPr>
          <w:rFonts w:ascii="Consolas" w:hAnsi="Consolas" w:cs="Consolas"/>
          <w:color w:val="333333"/>
          <w:sz w:val="15"/>
        </w:rPr>
        <w:t xml:space="preserve">    │                             │                             │ ◄── n° de police ───┤</w:t>
        <w:br/>
      </w:r>
      <w:r>
        <w:rPr>
          <w:rFonts w:ascii="Consolas" w:hAnsi="Consolas" w:cs="Consolas"/>
          <w:color w:val="333333"/>
          <w:sz w:val="15"/>
        </w:rPr>
        <w:t xml:space="preserve">    │                             │                             │ crée la police      │</w:t>
        <w:br/>
      </w:r>
      <w:r>
        <w:rPr>
          <w:rFonts w:ascii="Consolas" w:hAnsi="Consolas" w:cs="Consolas"/>
          <w:color w:val="333333"/>
          <w:sz w:val="15"/>
        </w:rPr>
        <w:t xml:space="preserve">    │                             │                             │ met la carte en file│</w:t>
      </w:r>
    </w:p>
    <w:p>
      <w:r>
        <w:rPr>
          <w:rFonts w:ascii="Calibri" w:hAnsi="Calibri"/>
          <w:b/>
          <w:i w:val="0"/>
          <w:color w:val="333333"/>
          <w:sz w:val="20"/>
        </w:rPr>
        <w:t>Données transmises avec la proposition, conformément au TdR :</w:t>
      </w:r>
      <w:r>
        <w:rPr>
          <w:rFonts w:ascii="Calibri" w:hAnsi="Calibri"/>
          <w:b w:val="0"/>
          <w:i w:val="0"/>
          <w:color w:val="333333"/>
          <w:sz w:val="20"/>
        </w:rPr>
        <w:t xml:space="preserve"> les références de l'agent collecteur, le produit souscrit, le numéro de proposition figurant sur le document physique, les nom et prénoms de l'assuré, les coordonnées géographiques du lieu de souscription.</w:t>
      </w:r>
    </w:p>
    <w:p>
      <w:r>
        <w:rPr>
          <w:rFonts w:ascii="Calibri" w:hAnsi="Calibri"/>
          <w:b/>
          <w:i w:val="0"/>
          <w:color w:val="333333"/>
          <w:sz w:val="20"/>
        </w:rPr>
        <w:t>Données transmises avec chaque paiement, conformément au TdR :</w:t>
      </w:r>
      <w:r>
        <w:rPr>
          <w:rFonts w:ascii="Calibri" w:hAnsi="Calibri"/>
          <w:b w:val="0"/>
          <w:i w:val="0"/>
          <w:color w:val="333333"/>
          <w:sz w:val="20"/>
        </w:rPr>
        <w:t xml:space="preserve"> le nom du produit, le numéro de proposition, les références de l'agent collecteur, le montant encaissé, la date, l'heure et, si possible, les coordonnées géographiques.</w:t>
      </w:r>
    </w:p>
    <w:p>
      <w:r>
        <w:rPr>
          <w:rFonts w:ascii="Calibri" w:hAnsi="Calibri"/>
          <w:b w:val="0"/>
          <w:i w:val="0"/>
          <w:color w:val="333333"/>
          <w:sz w:val="20"/>
        </w:rPr>
        <w:t>Les deux reçus sont des documents distincts portant des numéros distincts, le TdR exigeant un reçu pour les frais de police et un reçu séparé pour la première prime.</w:t>
      </w:r>
    </w:p>
    <w:p>
      <w:pPr>
        <w:pStyle w:val="Heading2"/>
        <w:spacing w:before="280" w:after="80"/>
        <w:keepNext/>
      </w:pPr>
      <w:bookmarkStart w:id="122" w:name="_Toc_s021"/>
      <w:r>
        <w:rPr>
          <w:rFonts w:ascii="Calibri" w:hAnsi="Calibri"/>
          <w:b/>
          <w:color w:val="1B3A5C"/>
          <w:sz w:val="24"/>
        </w:rPr>
        <w:t>6.2 Flux B — Encaissement d'une prime récurrente par carte (TdR Besoin 2)</w:t>
      </w:r>
      <w:bookmarkEnd w:id="122"/>
    </w:p>
    <w:p>
      <w:pPr>
        <w:spacing w:before="120" w:after="160" w:line="240" w:lineRule="auto"/>
        <w:ind w:left="113"/>
        <w:shd w:val="clear" w:fill="F4F5F2"/>
        <w:pBdr>
          <w:left w:val="single" w:sz="12" w:space="6" w:color="1B3A5C"/>
        </w:pBdr>
      </w:pPr>
      <w:r>
        <w:rPr>
          <w:rFonts w:ascii="Consolas" w:hAnsi="Consolas" w:cs="Consolas"/>
          <w:color w:val="333333"/>
          <w:sz w:val="15"/>
        </w:rPr>
        <w:t>ASSURÉ          COLLECTEUR       TERMINAL TPE              BACK-OFFICE</w:t>
        <w:br/>
      </w:r>
      <w:r>
        <w:rPr>
          <w:rFonts w:ascii="Consolas" w:hAnsi="Consolas" w:cs="Consolas"/>
          <w:color w:val="333333"/>
          <w:sz w:val="15"/>
        </w:rPr>
        <w:t xml:space="preserve">   │                │                  │                        │</w:t>
        <w:br/>
      </w:r>
      <w:r>
        <w:rPr>
          <w:rFonts w:ascii="Consolas" w:hAnsi="Consolas" w:cs="Consolas"/>
          <w:color w:val="333333"/>
          <w:sz w:val="15"/>
        </w:rPr>
        <w:t xml:space="preserve">   ├─ présente carte►│                 │                        │</w:t>
        <w:br/>
      </w:r>
      <w:r>
        <w:rPr>
          <w:rFonts w:ascii="Consolas" w:hAnsi="Consolas" w:cs="Consolas"/>
          <w:color w:val="333333"/>
          <w:sz w:val="15"/>
        </w:rPr>
        <w:t xml:space="preserve">   │                ├─ pose la carte ─►│ lit l'UID de la carte  │</w:t>
        <w:br/>
      </w:r>
      <w:r>
        <w:rPr>
          <w:rFonts w:ascii="Consolas" w:hAnsi="Consolas" w:cs="Consolas"/>
          <w:color w:val="333333"/>
          <w:sz w:val="15"/>
        </w:rPr>
        <w:t xml:space="preserve">   │                │                  ├─ recherche par UID ───►│</w:t>
        <w:br/>
      </w:r>
      <w:r>
        <w:rPr>
          <w:rFonts w:ascii="Consolas" w:hAnsi="Consolas" w:cs="Consolas"/>
          <w:color w:val="333333"/>
          <w:sz w:val="15"/>
        </w:rPr>
        <w:t xml:space="preserve">   │                │                  │◄── assuré + polices ───┤</w:t>
        <w:br/>
      </w:r>
      <w:r>
        <w:rPr>
          <w:rFonts w:ascii="Consolas" w:hAnsi="Consolas" w:cs="Consolas"/>
          <w:color w:val="333333"/>
          <w:sz w:val="15"/>
        </w:rPr>
        <w:t xml:space="preserve">   │                │                  │    actives             │</w:t>
        <w:br/>
      </w:r>
      <w:r>
        <w:rPr>
          <w:rFonts w:ascii="Consolas" w:hAnsi="Consolas" w:cs="Consolas"/>
          <w:color w:val="333333"/>
          <w:sz w:val="15"/>
        </w:rPr>
        <w:t xml:space="preserve">   │                │                  │                        │</w:t>
        <w:br/>
      </w:r>
      <w:r>
        <w:rPr>
          <w:rFonts w:ascii="Consolas" w:hAnsi="Consolas" w:cs="Consolas"/>
          <w:color w:val="333333"/>
          <w:sz w:val="15"/>
        </w:rPr>
        <w:t xml:space="preserve">   │                │◄─ liste polices ─┤  (mise en cache locale │</w:t>
        <w:br/>
      </w:r>
      <w:r>
        <w:rPr>
          <w:rFonts w:ascii="Consolas" w:hAnsi="Consolas" w:cs="Consolas"/>
          <w:color w:val="333333"/>
          <w:sz w:val="15"/>
        </w:rPr>
        <w:t xml:space="preserve">   │                │                  │   pour le hors-ligne)  │</w:t>
        <w:br/>
      </w:r>
      <w:r>
        <w:rPr>
          <w:rFonts w:ascii="Consolas" w:hAnsi="Consolas" w:cs="Consolas"/>
          <w:color w:val="333333"/>
          <w:sz w:val="15"/>
        </w:rPr>
        <w:t xml:space="preserve">   │                ├─ choisit police ►│                        │</w:t>
        <w:br/>
      </w:r>
      <w:r>
        <w:rPr>
          <w:rFonts w:ascii="Consolas" w:hAnsi="Consolas" w:cs="Consolas"/>
          <w:color w:val="333333"/>
          <w:sz w:val="15"/>
        </w:rPr>
        <w:t xml:space="preserve">   │                ├─ saisit montant ►│ contrôle vs prime due  │</w:t>
        <w:br/>
      </w:r>
      <w:r>
        <w:rPr>
          <w:rFonts w:ascii="Consolas" w:hAnsi="Consolas" w:cs="Consolas"/>
          <w:color w:val="333333"/>
          <w:sz w:val="15"/>
        </w:rPr>
        <w:t xml:space="preserve">   │                ├─ espèces ou      │                        │</w:t>
        <w:br/>
      </w:r>
      <w:r>
        <w:rPr>
          <w:rFonts w:ascii="Consolas" w:hAnsi="Consolas" w:cs="Consolas"/>
          <w:color w:val="333333"/>
          <w:sz w:val="15"/>
        </w:rPr>
        <w:t xml:space="preserve">   │                │   Mobile Money   │                        │</w:t>
        <w:br/>
      </w:r>
      <w:r>
        <w:rPr>
          <w:rFonts w:ascii="Consolas" w:hAnsi="Consolas" w:cs="Consolas"/>
          <w:color w:val="333333"/>
          <w:sz w:val="15"/>
        </w:rPr>
        <w:t xml:space="preserve">   │                │                  │ [si MoMo → section 9]  │</w:t>
        <w:br/>
      </w:r>
      <w:r>
        <w:rPr>
          <w:rFonts w:ascii="Consolas" w:hAnsi="Consolas" w:cs="Consolas"/>
          <w:color w:val="333333"/>
          <w:sz w:val="15"/>
        </w:rPr>
        <w:t xml:space="preserve">   │                │                  │                        │</w:t>
        <w:br/>
      </w:r>
      <w:r>
        <w:rPr>
          <w:rFonts w:ascii="Consolas" w:hAnsi="Consolas" w:cs="Consolas"/>
          <w:color w:val="333333"/>
          <w:sz w:val="15"/>
        </w:rPr>
        <w:t xml:space="preserve">   │◄─── REÇU ──────┼──────────────────┤ imprime le reçu        │</w:t>
        <w:br/>
      </w:r>
      <w:r>
        <w:rPr>
          <w:rFonts w:ascii="Consolas" w:hAnsi="Consolas" w:cs="Consolas"/>
          <w:color w:val="333333"/>
          <w:sz w:val="15"/>
        </w:rPr>
        <w:t xml:space="preserve">   │                │                  ├─ poste l'encaissement ►│ encaissement +</w:t>
        <w:br/>
      </w:r>
      <w:r>
        <w:rPr>
          <w:rFonts w:ascii="Consolas" w:hAnsi="Consolas" w:cs="Consolas"/>
          <w:color w:val="333333"/>
          <w:sz w:val="15"/>
        </w:rPr>
        <w:t xml:space="preserve">   │                │                  │                        │ transaction</w:t>
        <w:br/>
      </w:r>
      <w:r>
        <w:rPr>
          <w:rFonts w:ascii="Consolas" w:hAnsi="Consolas" w:cs="Consolas"/>
          <w:color w:val="333333"/>
          <w:sz w:val="15"/>
        </w:rPr>
        <w:t xml:space="preserve">   │                │                  │                        │ solde collecteur +</w:t>
        <w:br/>
      </w:r>
      <w:r>
        <w:rPr>
          <w:rFonts w:ascii="Consolas" w:hAnsi="Consolas" w:cs="Consolas"/>
          <w:color w:val="333333"/>
          <w:sz w:val="15"/>
        </w:rPr>
        <w:t xml:space="preserve">   │                │                  │◄─ état du plafond ─────┤ contrôle plafond</w:t>
      </w:r>
    </w:p>
    <w:p>
      <w:r>
        <w:rPr>
          <w:rFonts w:ascii="Calibri" w:hAnsi="Calibri"/>
          <w:b w:val="0"/>
          <w:i w:val="0"/>
          <w:color w:val="333333"/>
          <w:sz w:val="20"/>
        </w:rPr>
        <w:t>Si le terminal est hors ligne, la liste des polices est servie depuis le cache local (rafraîchi à chaque synchronisation réussie), le reçu est imprimé immédiatement et l'encaissement est mis en file. L'assuré n'est jamais éconduit à cause du réseau.</w:t>
      </w:r>
    </w:p>
    <w:p>
      <w:pPr>
        <w:pStyle w:val="Heading2"/>
        <w:spacing w:before="280" w:after="80"/>
        <w:keepNext/>
      </w:pPr>
      <w:bookmarkStart w:id="123" w:name="_Toc_s022"/>
      <w:r>
        <w:rPr>
          <w:rFonts w:ascii="Calibri" w:hAnsi="Calibri"/>
          <w:b/>
          <w:color w:val="1B3A5C"/>
          <w:sz w:val="24"/>
        </w:rPr>
        <w:t>6.3 Flux C — Plafond du collecteur et versement (TdR Besoin 2)</w:t>
      </w:r>
      <w:bookmarkEnd w:id="123"/>
    </w:p>
    <w:p>
      <w:pPr>
        <w:spacing w:before="120" w:after="160" w:line="240" w:lineRule="auto"/>
        <w:ind w:left="113"/>
        <w:shd w:val="clear" w:fill="F4F5F2"/>
        <w:pBdr>
          <w:left w:val="single" w:sz="12" w:space="6" w:color="1B3A5C"/>
        </w:pBdr>
      </w:pPr>
      <w:r>
        <w:rPr>
          <w:rFonts w:ascii="Consolas" w:hAnsi="Consolas" w:cs="Consolas"/>
          <w:color w:val="333333"/>
          <w:sz w:val="15"/>
        </w:rPr>
        <w:t>À chaque encaissement : collector_balance.uncollected_amount += montant</w:t>
        <w:br/>
      </w:r>
      <w:r>
        <w:rPr>
          <w:rFonts w:ascii="Consolas" w:hAnsi="Consolas" w:cs="Consolas"/>
          <w:color w:val="333333"/>
          <w:sz w:val="15"/>
        </w:rPr>
        <w:br/>
      </w:r>
      <w:r>
        <w:rPr>
          <w:rFonts w:ascii="Consolas" w:hAnsi="Consolas" w:cs="Consolas"/>
          <w:color w:val="333333"/>
          <w:sz w:val="15"/>
        </w:rPr>
        <w:t xml:space="preserve">  non versé &lt; seuil d'alerte          → fonctionnement normal</w:t>
        <w:br/>
      </w:r>
      <w:r>
        <w:rPr>
          <w:rFonts w:ascii="Consolas" w:hAnsi="Consolas" w:cs="Consolas"/>
          <w:color w:val="333333"/>
          <w:sz w:val="15"/>
        </w:rPr>
        <w:t xml:space="preserve">  alerte ≤ non versé &lt; plafond        → bandeau d'avertissement sur tous les écrans</w:t>
        <w:br/>
      </w:r>
      <w:r>
        <w:rPr>
          <w:rFonts w:ascii="Consolas" w:hAnsi="Consolas" w:cs="Consolas"/>
          <w:color w:val="333333"/>
          <w:sz w:val="15"/>
        </w:rPr>
        <w:t xml:space="preserve">  non versé ≥ plafond                 → le TPE BLOQUE LES NOUVEAUX ENCAISSEMENTS</w:t>
        <w:br/>
      </w:r>
      <w:r>
        <w:rPr>
          <w:rFonts w:ascii="Consolas" w:hAnsi="Consolas" w:cs="Consolas"/>
          <w:color w:val="333333"/>
          <w:sz w:val="15"/>
        </w:rPr>
        <w:t xml:space="preserve">                                         (la saisie de souscription reste permise)</w:t>
        <w:br/>
      </w:r>
      <w:r>
        <w:rPr>
          <w:rFonts w:ascii="Consolas" w:hAnsi="Consolas" w:cs="Consolas"/>
          <w:color w:val="333333"/>
          <w:sz w:val="15"/>
        </w:rPr>
        <w:br/>
      </w:r>
      <w:r>
        <w:rPr>
          <w:rFonts w:ascii="Consolas" w:hAnsi="Consolas" w:cs="Consolas"/>
          <w:color w:val="333333"/>
          <w:sz w:val="15"/>
        </w:rPr>
        <w:t>COLLECTEUR                    TPE               BACK-OFFICE            SUPERVISEUR</w:t>
        <w:br/>
      </w:r>
      <w:r>
        <w:rPr>
          <w:rFonts w:ascii="Consolas" w:hAnsi="Consolas" w:cs="Consolas"/>
          <w:color w:val="333333"/>
          <w:sz w:val="15"/>
        </w:rPr>
        <w:t xml:space="preserve">    │                          │                     │                      │</w:t>
        <w:br/>
      </w:r>
      <w:r>
        <w:rPr>
          <w:rFonts w:ascii="Consolas" w:hAnsi="Consolas" w:cs="Consolas"/>
          <w:color w:val="333333"/>
          <w:sz w:val="15"/>
        </w:rPr>
        <w:t xml:space="preserve">    ├─ dépose en banque OU ────┼─────────────────────┼──────────────────────┤</w:t>
        <w:br/>
      </w:r>
      <w:r>
        <w:rPr>
          <w:rFonts w:ascii="Consolas" w:hAnsi="Consolas" w:cs="Consolas"/>
          <w:color w:val="333333"/>
          <w:sz w:val="15"/>
        </w:rPr>
        <w:t xml:space="preserve">    │  remet les espèces à la caisse                 │                      │</w:t>
        <w:br/>
      </w:r>
      <w:r>
        <w:rPr>
          <w:rFonts w:ascii="Consolas" w:hAnsi="Consolas" w:cs="Consolas"/>
          <w:color w:val="333333"/>
          <w:sz w:val="15"/>
        </w:rPr>
        <w:t xml:space="preserve">    ├─ déclare le versement ──►│ montant, mode,      │                      │</w:t>
        <w:br/>
      </w:r>
      <w:r>
        <w:rPr>
          <w:rFonts w:ascii="Consolas" w:hAnsi="Consolas" w:cs="Consolas"/>
          <w:color w:val="333333"/>
          <w:sz w:val="15"/>
        </w:rPr>
        <w:t xml:space="preserve">    │                          │ réf. bancaire, photo│                      │</w:t>
        <w:br/>
      </w:r>
      <w:r>
        <w:rPr>
          <w:rFonts w:ascii="Consolas" w:hAnsi="Consolas" w:cs="Consolas"/>
          <w:color w:val="333333"/>
          <w:sz w:val="15"/>
        </w:rPr>
        <w:t xml:space="preserve">    │                          │ du bordereau ──────►│ pay_in (déclaré)     │</w:t>
        <w:br/>
      </w:r>
      <w:r>
        <w:rPr>
          <w:rFonts w:ascii="Consolas" w:hAnsi="Consolas" w:cs="Consolas"/>
          <w:color w:val="333333"/>
          <w:sz w:val="15"/>
        </w:rPr>
        <w:t xml:space="preserve">    │                          │                     ├─ notifie ───────────►│</w:t>
        <w:br/>
      </w:r>
      <w:r>
        <w:rPr>
          <w:rFonts w:ascii="Consolas" w:hAnsi="Consolas" w:cs="Consolas"/>
          <w:color w:val="333333"/>
          <w:sz w:val="15"/>
        </w:rPr>
        <w:t xml:space="preserve">    │                          │                     │                      │</w:t>
        <w:br/>
      </w:r>
      <w:r>
        <w:rPr>
          <w:rFonts w:ascii="Consolas" w:hAnsi="Consolas" w:cs="Consolas"/>
          <w:color w:val="333333"/>
          <w:sz w:val="15"/>
        </w:rPr>
        <w:t xml:space="preserve">    │                          │                     │◄── confirme montant ─┤</w:t>
        <w:br/>
      </w:r>
      <w:r>
        <w:rPr>
          <w:rFonts w:ascii="Consolas" w:hAnsi="Consolas" w:cs="Consolas"/>
          <w:color w:val="333333"/>
          <w:sz w:val="15"/>
        </w:rPr>
        <w:t xml:space="preserve">    │                          │                     │  (ou rejette avec    │</w:t>
        <w:br/>
      </w:r>
      <w:r>
        <w:rPr>
          <w:rFonts w:ascii="Consolas" w:hAnsi="Consolas" w:cs="Consolas"/>
          <w:color w:val="333333"/>
          <w:sz w:val="15"/>
        </w:rPr>
        <w:t xml:space="preserve">    │                          │                     │   écart consigné)    │</w:t>
        <w:br/>
      </w:r>
      <w:r>
        <w:rPr>
          <w:rFonts w:ascii="Consolas" w:hAnsi="Consolas" w:cs="Consolas"/>
          <w:color w:val="333333"/>
          <w:sz w:val="15"/>
        </w:rPr>
        <w:t xml:space="preserve">    │                          │                     │ solde -= confirmé    │</w:t>
        <w:br/>
      </w:r>
      <w:r>
        <w:rPr>
          <w:rFonts w:ascii="Consolas" w:hAnsi="Consolas" w:cs="Consolas"/>
          <w:color w:val="333333"/>
          <w:sz w:val="15"/>
        </w:rPr>
        <w:t xml:space="preserve">    │                          │◄── terminal libéré ─┤ is_blocked = false   │</w:t>
        <w:br/>
      </w:r>
      <w:r>
        <w:rPr>
          <w:rFonts w:ascii="Consolas" w:hAnsi="Consolas" w:cs="Consolas"/>
          <w:color w:val="333333"/>
          <w:sz w:val="15"/>
        </w:rPr>
        <w:t xml:space="preserve">    ├─ reprend la collecte ───►│                     │                      │</w:t>
      </w:r>
    </w:p>
    <w:p>
      <w:r>
        <w:rPr>
          <w:rFonts w:ascii="Calibri" w:hAnsi="Calibri"/>
          <w:b w:val="0"/>
          <w:i w:val="0"/>
          <w:color w:val="333333"/>
          <w:sz w:val="20"/>
        </w:rPr>
        <w:t xml:space="preserve">La confirmation est une </w:t>
      </w:r>
      <w:r>
        <w:rPr>
          <w:rFonts w:ascii="Calibri" w:hAnsi="Calibri"/>
          <w:b/>
          <w:i w:val="0"/>
          <w:color w:val="333333"/>
          <w:sz w:val="20"/>
        </w:rPr>
        <w:t>action contrôlée</w:t>
      </w:r>
      <w:r>
        <w:rPr>
          <w:rFonts w:ascii="Calibri" w:hAnsi="Calibri"/>
          <w:b w:val="0"/>
          <w:i w:val="0"/>
          <w:color w:val="333333"/>
          <w:sz w:val="20"/>
        </w:rPr>
        <w:t xml:space="preserve"> : elle est soumise à habilitation, intégralement auditée, et peut être configurée pour exiger une validation à deux personnes (maker-checker) au-delà d'un montant paramétrable. Voir le Document 2, section sur la séparation des tâches.</w:t>
      </w:r>
    </w:p>
    <w:p>
      <w:pPr>
        <w:pStyle w:val="Heading2"/>
        <w:spacing w:before="280" w:after="80"/>
        <w:keepNext/>
      </w:pPr>
      <w:bookmarkStart w:id="124" w:name="_Toc_s023"/>
      <w:r>
        <w:rPr>
          <w:rFonts w:ascii="Calibri" w:hAnsi="Calibri"/>
          <w:b/>
          <w:color w:val="1B3A5C"/>
          <w:sz w:val="24"/>
        </w:rPr>
        <w:t>6.4 Flux D — Émission de carte (TdR Besoins 1 et 3)</w:t>
      </w:r>
      <w:bookmarkEnd w:id="124"/>
    </w:p>
    <w:p>
      <w:pPr>
        <w:spacing w:before="120" w:after="160" w:line="240" w:lineRule="auto"/>
        <w:ind w:left="113"/>
        <w:shd w:val="clear" w:fill="F4F5F2"/>
        <w:pBdr>
          <w:left w:val="single" w:sz="12" w:space="6" w:color="1B3A5C"/>
        </w:pBdr>
      </w:pPr>
      <w:r>
        <w:rPr>
          <w:rFonts w:ascii="Consolas" w:hAnsi="Consolas" w:cs="Consolas"/>
          <w:color w:val="333333"/>
          <w:sz w:val="15"/>
        </w:rPr>
        <w:t>BACK-OFFICE (proposition acceptée)</w:t>
        <w:br/>
      </w:r>
      <w:r>
        <w:rPr>
          <w:rFonts w:ascii="Consolas" w:hAnsi="Consolas" w:cs="Consolas"/>
          <w:color w:val="333333"/>
          <w:sz w:val="15"/>
        </w:rPr>
        <w:t xml:space="preserve">   │</w:t>
        <w:br/>
      </w:r>
      <w:r>
        <w:rPr>
          <w:rFonts w:ascii="Consolas" w:hAnsi="Consolas" w:cs="Consolas"/>
          <w:color w:val="333333"/>
          <w:sz w:val="15"/>
        </w:rPr>
        <w:t xml:space="preserve">   ├─ crée la police</w:t>
        <w:br/>
      </w:r>
      <w:r>
        <w:rPr>
          <w:rFonts w:ascii="Consolas" w:hAnsi="Consolas" w:cs="Consolas"/>
          <w:color w:val="333333"/>
          <w:sz w:val="15"/>
        </w:rPr>
        <w:t xml:space="preserve">   ├─ affecte une carte du stock (statut : non affectée → inactive)</w:t>
        <w:br/>
      </w:r>
      <w:r>
        <w:rPr>
          <w:rFonts w:ascii="Consolas" w:hAnsi="Consolas" w:cs="Consolas"/>
          <w:color w:val="333333"/>
          <w:sz w:val="15"/>
        </w:rPr>
        <w:t xml:space="preserve">   ├─ rattache la ou les polices à la carte</w:t>
        <w:br/>
      </w:r>
      <w:r>
        <w:rPr>
          <w:rFonts w:ascii="Consolas" w:hAnsi="Consolas" w:cs="Consolas"/>
          <w:color w:val="333333"/>
          <w:sz w:val="15"/>
        </w:rPr>
        <w:t xml:space="preserve">   ├─ génère le FICHIER DE PERSONNALISATION :</w:t>
        <w:br/>
      </w:r>
      <w:r>
        <w:rPr>
          <w:rFonts w:ascii="Consolas" w:hAnsi="Consolas" w:cs="Consolas"/>
          <w:color w:val="333333"/>
          <w:sz w:val="15"/>
        </w:rPr>
        <w:t xml:space="preserve">   │     • bloc de marque SUNU Assurances Vie</w:t>
        <w:br/>
      </w:r>
      <w:r>
        <w:rPr>
          <w:rFonts w:ascii="Consolas" w:hAnsi="Consolas" w:cs="Consolas"/>
          <w:color w:val="333333"/>
          <w:sz w:val="15"/>
        </w:rPr>
        <w:t xml:space="preserve">   │     • nom et prénoms de l'assuré</w:t>
        <w:br/>
      </w:r>
      <w:r>
        <w:rPr>
          <w:rFonts w:ascii="Consolas" w:hAnsi="Consolas" w:cs="Consolas"/>
          <w:color w:val="333333"/>
          <w:sz w:val="15"/>
        </w:rPr>
        <w:t xml:space="preserve">   │     • numéro de carte</w:t>
        <w:br/>
      </w:r>
      <w:r>
        <w:rPr>
          <w:rFonts w:ascii="Consolas" w:hAnsi="Consolas" w:cs="Consolas"/>
          <w:color w:val="333333"/>
          <w:sz w:val="15"/>
        </w:rPr>
        <w:t xml:space="preserve">   │     • date d'expiration</w:t>
        <w:br/>
      </w:r>
      <w:r>
        <w:rPr>
          <w:rFonts w:ascii="Consolas" w:hAnsi="Consolas" w:cs="Consolas"/>
          <w:color w:val="333333"/>
          <w:sz w:val="15"/>
        </w:rPr>
        <w:t xml:space="preserve">   │     • données encodées : UID carte ↔ référence assuré ↔ liste des polices</w:t>
        <w:br/>
      </w:r>
      <w:r>
        <w:rPr>
          <w:rFonts w:ascii="Consolas" w:hAnsi="Consolas" w:cs="Consolas"/>
          <w:color w:val="333333"/>
          <w:sz w:val="15"/>
        </w:rPr>
        <w:t xml:space="preserve">   │</w:t>
        <w:br/>
      </w:r>
      <w:r>
        <w:rPr>
          <w:rFonts w:ascii="Consolas" w:hAnsi="Consolas" w:cs="Consolas"/>
          <w:color w:val="333333"/>
          <w:sz w:val="15"/>
        </w:rPr>
        <w:t xml:space="preserve">   ▼</w:t>
        <w:br/>
      </w:r>
      <w:r>
        <w:rPr>
          <w:rFonts w:ascii="Consolas" w:hAnsi="Consolas" w:cs="Consolas"/>
          <w:color w:val="333333"/>
          <w:sz w:val="15"/>
        </w:rPr>
        <w:t>AGENT CARTES à la station de personnalisation</w:t>
        <w:br/>
      </w:r>
      <w:r>
        <w:rPr>
          <w:rFonts w:ascii="Consolas" w:hAnsi="Consolas" w:cs="Consolas"/>
          <w:color w:val="333333"/>
          <w:sz w:val="15"/>
        </w:rPr>
        <w:t xml:space="preserve">   ├─ imprime la carte personnalisée</w:t>
        <w:br/>
      </w:r>
      <w:r>
        <w:rPr>
          <w:rFonts w:ascii="Consolas" w:hAnsi="Consolas" w:cs="Consolas"/>
          <w:color w:val="333333"/>
          <w:sz w:val="15"/>
        </w:rPr>
        <w:t xml:space="preserve">   ├─ encode la carte</w:t>
        <w:br/>
      </w:r>
      <w:r>
        <w:rPr>
          <w:rFonts w:ascii="Consolas" w:hAnsi="Consolas" w:cs="Consolas"/>
          <w:color w:val="333333"/>
          <w:sz w:val="15"/>
        </w:rPr>
        <w:t xml:space="preserve">   ├─ marque la carte comme ÉCRITE au back-office</w:t>
        <w:br/>
      </w:r>
      <w:r>
        <w:rPr>
          <w:rFonts w:ascii="Consolas" w:hAnsi="Consolas" w:cs="Consolas"/>
          <w:color w:val="333333"/>
          <w:sz w:val="15"/>
        </w:rPr>
        <w:t xml:space="preserve">   ├─ remet ou expédie la carte à l'assuré</w:t>
        <w:br/>
      </w:r>
      <w:r>
        <w:rPr>
          <w:rFonts w:ascii="Consolas" w:hAnsi="Consolas" w:cs="Consolas"/>
          <w:color w:val="333333"/>
          <w:sz w:val="15"/>
        </w:rPr>
        <w:t xml:space="preserve">   ▼</w:t>
        <w:br/>
      </w:r>
      <w:r>
        <w:rPr>
          <w:rFonts w:ascii="Consolas" w:hAnsi="Consolas" w:cs="Consolas"/>
          <w:color w:val="333333"/>
          <w:sz w:val="15"/>
        </w:rPr>
        <w:t xml:space="preserve">   statut de la carte → active</w:t>
      </w:r>
    </w:p>
    <w:p>
      <w:r>
        <w:rPr>
          <w:rFonts w:ascii="Calibri" w:hAnsi="Calibri"/>
          <w:b w:val="0"/>
          <w:i w:val="0"/>
          <w:color w:val="333333"/>
          <w:sz w:val="20"/>
        </w:rPr>
        <w:t xml:space="preserve">La carte porte un </w:t>
      </w:r>
      <w:r>
        <w:rPr>
          <w:rFonts w:ascii="Calibri" w:hAnsi="Calibri"/>
          <w:b/>
          <w:i w:val="0"/>
          <w:color w:val="333333"/>
          <w:sz w:val="20"/>
        </w:rPr>
        <w:t>identifiant, ni monnaie ni donnée personnelle sensible</w:t>
      </w:r>
      <w:r>
        <w:rPr>
          <w:rFonts w:ascii="Calibri" w:hAnsi="Calibri"/>
          <w:b w:val="0"/>
          <w:i w:val="0"/>
          <w:color w:val="333333"/>
          <w:sz w:val="20"/>
        </w:rPr>
        <w:t>. La liste des polices faisant foi réside toujours au back-office ; ce qui est écrit sur la carte permet à un terminal d'identifier rapidement l'assuré et de travailler hors ligne. Justification et analyse de la menace au Document 2, section 7.</w:t>
      </w:r>
    </w:p>
    <w:p>
      <w:pPr>
        <w:pStyle w:val="Heading2"/>
        <w:spacing w:before="280" w:after="80"/>
        <w:keepNext/>
      </w:pPr>
      <w:bookmarkStart w:id="125" w:name="_Toc_s024"/>
      <w:r>
        <w:rPr>
          <w:rFonts w:ascii="Calibri" w:hAnsi="Calibri"/>
          <w:b/>
          <w:color w:val="1B3A5C"/>
          <w:sz w:val="24"/>
        </w:rPr>
        <w:t>6.5 Flux E — Synchronisation SUNULIFE</w:t>
      </w:r>
      <w:bookmarkEnd w:id="125"/>
    </w:p>
    <w:p>
      <w:r>
        <w:rPr>
          <w:rFonts w:ascii="Calibri" w:hAnsi="Calibri"/>
          <w:b w:val="0"/>
          <w:i w:val="0"/>
          <w:color w:val="333333"/>
          <w:sz w:val="20"/>
        </w:rPr>
        <w:t>Voir la section 8.</w:t>
      </w:r>
    </w:p>
    <w:p>
      <w:pPr>
        <w:pStyle w:val="Heading1"/>
        <w:pageBreakBefore/>
        <w:spacing w:before="360" w:after="80"/>
        <w:keepNext/>
        <w:pBdr>
          <w:bottom w:val="single" w:sz="8" w:space="6" w:color="1B3A5C"/>
        </w:pBdr>
      </w:pPr>
      <w:bookmarkStart w:id="126" w:name="_Toc_s025"/>
      <w:r>
        <w:rPr>
          <w:rFonts w:ascii="Calibri" w:hAnsi="Calibri"/>
          <w:b/>
          <w:color w:val="1B3A5C"/>
          <w:sz w:val="30"/>
        </w:rPr>
        <w:t>7. Architecture des cartes (physique et virtuelle)</w:t>
      </w:r>
      <w:bookmarkEnd w:id="126"/>
    </w:p>
    <w:p>
      <w:pPr>
        <w:pStyle w:val="Heading2"/>
        <w:spacing w:before="280" w:after="80"/>
        <w:keepNext/>
      </w:pPr>
      <w:bookmarkStart w:id="127" w:name="_Toc_s026"/>
      <w:r>
        <w:rPr>
          <w:rFonts w:ascii="Calibri" w:hAnsi="Calibri"/>
          <w:b/>
          <w:color w:val="1B3A5C"/>
          <w:sz w:val="24"/>
        </w:rPr>
        <w:t>7.1 Carte physique</w:t>
      </w:r>
      <w:bookmarkEnd w:id="127"/>
    </w:p>
    <w:p>
      <w:pPr>
        <w:spacing w:after="40"/>
        <w:ind w:left="312" w:hanging="198"/>
      </w:pPr>
      <w:r>
        <w:rPr>
          <w:rFonts w:ascii="Calibri" w:hAnsi="Calibri"/>
          <w:b w:val="0"/>
          <w:color w:val="2C5F8A"/>
          <w:sz w:val="20"/>
        </w:rPr>
        <w:t xml:space="preserve">•  </w:t>
      </w:r>
      <w:r>
        <w:rPr>
          <w:rFonts w:ascii="Calibri" w:hAnsi="Calibri"/>
          <w:b/>
          <w:i w:val="0"/>
          <w:color w:val="333333"/>
          <w:sz w:val="20"/>
        </w:rPr>
        <w:t>Support :</w:t>
      </w:r>
      <w:r>
        <w:rPr>
          <w:rFonts w:ascii="Calibri" w:hAnsi="Calibri"/>
          <w:b w:val="0"/>
          <w:i w:val="0"/>
          <w:color w:val="333333"/>
          <w:sz w:val="20"/>
        </w:rPr>
        <w:t xml:space="preserve"> carte aux couleurs de SUNU, personnalisée avec les informations de SUNU Assurances Vie et les nom et prénoms de l'assuré, conformément au TdR.</w:t>
      </w:r>
    </w:p>
    <w:p>
      <w:pPr>
        <w:spacing w:after="40"/>
        <w:ind w:left="312" w:hanging="198"/>
      </w:pPr>
      <w:r>
        <w:rPr>
          <w:rFonts w:ascii="Calibri" w:hAnsi="Calibri"/>
          <w:b w:val="0"/>
          <w:color w:val="2C5F8A"/>
          <w:sz w:val="20"/>
        </w:rPr>
        <w:t xml:space="preserve">•  </w:t>
      </w:r>
      <w:r>
        <w:rPr>
          <w:rFonts w:ascii="Calibri" w:hAnsi="Calibri"/>
          <w:b/>
          <w:i w:val="0"/>
          <w:color w:val="333333"/>
          <w:sz w:val="20"/>
        </w:rPr>
        <w:t>Numérotation :</w:t>
      </w:r>
      <w:r>
        <w:rPr>
          <w:rFonts w:ascii="Calibri" w:hAnsi="Calibri"/>
          <w:b w:val="0"/>
          <w:i w:val="0"/>
          <w:color w:val="333333"/>
          <w:sz w:val="20"/>
        </w:rPr>
        <w:t xml:space="preserve"> le back-office génère le numéro de carte à partir d'un préfixe par unité et d'une séquence de longueur paramétrable ; l'expiration découle de la validité par défaut configurée (mécanisme de paramétrage des cartes existant).</w:t>
      </w:r>
    </w:p>
    <w:p>
      <w:pPr>
        <w:spacing w:after="40"/>
        <w:ind w:left="312" w:hanging="198"/>
      </w:pPr>
      <w:r>
        <w:rPr>
          <w:rFonts w:ascii="Calibri" w:hAnsi="Calibri"/>
          <w:b w:val="0"/>
          <w:color w:val="2C5F8A"/>
          <w:sz w:val="20"/>
        </w:rPr>
        <w:t xml:space="preserve">•  </w:t>
      </w:r>
      <w:r>
        <w:rPr>
          <w:rFonts w:ascii="Calibri" w:hAnsi="Calibri"/>
          <w:b/>
          <w:i w:val="0"/>
          <w:color w:val="333333"/>
          <w:sz w:val="20"/>
        </w:rPr>
        <w:t>Données écrites :</w:t>
      </w:r>
      <w:r>
        <w:rPr>
          <w:rFonts w:ascii="Calibri" w:hAnsi="Calibri"/>
          <w:b w:val="0"/>
          <w:i w:val="0"/>
          <w:color w:val="333333"/>
          <w:sz w:val="20"/>
        </w:rPr>
        <w:t xml:space="preserve"> numéro de série/UID de la carte, référence de l'assuré et liste des emplacements de polices. Le support multi-polices est explicite dans le TdR (« si l'assuré a plusieurs polices, nous souhaitons que la carte puisse conserver cette information »).</w:t>
      </w:r>
    </w:p>
    <w:p>
      <w:pPr>
        <w:spacing w:after="40"/>
        <w:ind w:left="312" w:hanging="198"/>
      </w:pPr>
      <w:r>
        <w:rPr>
          <w:rFonts w:ascii="Calibri" w:hAnsi="Calibri"/>
          <w:b w:val="0"/>
          <w:color w:val="2C5F8A"/>
          <w:sz w:val="20"/>
        </w:rPr>
        <w:t xml:space="preserve">•  </w:t>
      </w:r>
      <w:r>
        <w:rPr>
          <w:rFonts w:ascii="Calibri" w:hAnsi="Calibri"/>
          <w:b/>
          <w:i w:val="0"/>
          <w:color w:val="333333"/>
          <w:sz w:val="20"/>
        </w:rPr>
        <w:t>Cycle de vie :</w:t>
      </w:r>
      <w:r>
        <w:rPr>
          <w:rFonts w:ascii="Calibri" w:hAnsi="Calibri"/>
          <w:b w:val="0"/>
          <w:i w:val="0"/>
          <w:color w:val="333333"/>
          <w:sz w:val="20"/>
        </w:rPr>
        <w:t xml:space="preserve"> non affectée → inactive → active → (bloquée | expirée | remplacée). Le blocage consigne un motif et un horodatage ; le remplacement consigne la chaîne vers la nouvelle carte. Déjà implémenté.</w:t>
      </w:r>
    </w:p>
    <w:p>
      <w:pPr>
        <w:spacing w:after="40"/>
        <w:ind w:left="312" w:hanging="198"/>
      </w:pPr>
      <w:r>
        <w:rPr>
          <w:rFonts w:ascii="Calibri" w:hAnsi="Calibri"/>
          <w:b w:val="0"/>
          <w:color w:val="2C5F8A"/>
          <w:sz w:val="20"/>
        </w:rPr>
        <w:t xml:space="preserve">•  </w:t>
      </w:r>
      <w:r>
        <w:rPr>
          <w:rFonts w:ascii="Calibri" w:hAnsi="Calibri"/>
          <w:b/>
          <w:i w:val="0"/>
          <w:color w:val="333333"/>
          <w:sz w:val="20"/>
        </w:rPr>
        <w:t>Stock :</w:t>
      </w:r>
      <w:r>
        <w:rPr>
          <w:rFonts w:ascii="Calibri" w:hAnsi="Calibri"/>
          <w:b w:val="0"/>
          <w:i w:val="0"/>
          <w:color w:val="333333"/>
          <w:sz w:val="20"/>
        </w:rPr>
        <w:t xml:space="preserve"> les 5 000 cartes sont gérées en stock au back-office ; chaque carte passe de « non affectée » à « affectée » lorsqu'elle est rattachée à un assuré.</w:t>
      </w:r>
    </w:p>
    <w:p>
      <w:pPr>
        <w:pStyle w:val="Heading2"/>
        <w:spacing w:before="280" w:after="80"/>
        <w:keepNext/>
      </w:pPr>
      <w:bookmarkStart w:id="128" w:name="_Toc_s027"/>
      <w:r>
        <w:rPr>
          <w:rFonts w:ascii="Calibri" w:hAnsi="Calibri"/>
          <w:b/>
          <w:color w:val="1B3A5C"/>
          <w:sz w:val="24"/>
        </w:rPr>
        <w:t>7.2 Choix de la technologie de carte (point ouvert OP-3)</w:t>
      </w:r>
      <w:bookmarkEnd w:id="128"/>
    </w:p>
    <w:p>
      <w:r>
        <w:rPr>
          <w:rFonts w:ascii="Calibri" w:hAnsi="Calibri"/>
          <w:b w:val="0"/>
          <w:i w:val="0"/>
          <w:color w:val="333333"/>
          <w:sz w:val="20"/>
        </w:rPr>
        <w:t>Le TdR mentionne une « carte magnétique ». Deux options se présentent, et nous recommandons la seconde :</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r>
          </w:p>
        </w:tc>
        <w:tc>
          <w:tcPr>
            <w:tcW w:type="dxa" w:w="3249"/>
            <w:shd w:val="clear" w:fill="1B3A5C"/>
          </w:tcPr>
          <w:p>
            <w:pPr>
              <w:spacing w:before="60" w:after="60"/>
            </w:pPr>
            <w:r>
              <w:rPr>
                <w:rFonts w:ascii="Calibri" w:hAnsi="Calibri"/>
                <w:b/>
                <w:color w:val="FFFFFF"/>
                <w:sz w:val="17"/>
              </w:rPr>
              <w:t>Piste magnétique</w:t>
            </w:r>
          </w:p>
        </w:tc>
        <w:tc>
          <w:tcPr>
            <w:tcW w:type="dxa" w:w="3249"/>
            <w:shd w:val="clear" w:fill="1B3A5C"/>
          </w:tcPr>
          <w:p>
            <w:pPr>
              <w:spacing w:before="60" w:after="60"/>
            </w:pPr>
            <w:r>
              <w:rPr>
                <w:rFonts w:ascii="Calibri" w:hAnsi="Calibri"/>
                <w:b/>
                <w:color w:val="FFFFFF"/>
                <w:sz w:val="17"/>
              </w:rPr>
              <w:t>Sans contact / NFC</w:t>
            </w:r>
          </w:p>
        </w:tc>
      </w:tr>
      <w:tr>
        <w:tc>
          <w:tcPr>
            <w:tcW w:type="dxa" w:w="3249"/>
          </w:tcPr>
          <w:p>
            <w:pPr>
              <w:spacing w:before="40" w:after="40"/>
            </w:pPr>
            <w:r>
              <w:rPr>
                <w:rFonts w:ascii="Calibri" w:hAnsi="Calibri"/>
                <w:b w:val="0"/>
                <w:i w:val="0"/>
                <w:color w:val="333333"/>
                <w:sz w:val="17"/>
              </w:rPr>
              <w:t>Coût par carte</w:t>
            </w:r>
          </w:p>
        </w:tc>
        <w:tc>
          <w:tcPr>
            <w:tcW w:type="dxa" w:w="3249"/>
          </w:tcPr>
          <w:p>
            <w:pPr>
              <w:spacing w:before="40" w:after="40"/>
            </w:pPr>
            <w:r>
              <w:rPr>
                <w:rFonts w:ascii="Calibri" w:hAnsi="Calibri"/>
                <w:b w:val="0"/>
                <w:i w:val="0"/>
                <w:color w:val="333333"/>
                <w:sz w:val="17"/>
              </w:rPr>
              <w:t>Plus faible</w:t>
            </w:r>
          </w:p>
        </w:tc>
        <w:tc>
          <w:tcPr>
            <w:tcW w:type="dxa" w:w="3249"/>
          </w:tcPr>
          <w:p>
            <w:pPr>
              <w:spacing w:before="40" w:after="40"/>
            </w:pPr>
            <w:r>
              <w:rPr>
                <w:rFonts w:ascii="Calibri" w:hAnsi="Calibri"/>
                <w:b w:val="0"/>
                <w:i w:val="0"/>
                <w:color w:val="333333"/>
                <w:sz w:val="17"/>
              </w:rPr>
              <w:t>Légèrement supérieur</w:t>
            </w:r>
          </w:p>
        </w:tc>
      </w:tr>
      <w:tr>
        <w:tc>
          <w:tcPr>
            <w:tcW w:type="dxa" w:w="3249"/>
            <w:shd w:val="clear" w:fill="F2F6FA"/>
          </w:tcPr>
          <w:p>
            <w:pPr>
              <w:spacing w:before="40" w:after="40"/>
            </w:pPr>
            <w:r>
              <w:rPr>
                <w:rFonts w:ascii="Calibri" w:hAnsi="Calibri"/>
                <w:b w:val="0"/>
                <w:i w:val="0"/>
                <w:color w:val="333333"/>
                <w:sz w:val="17"/>
              </w:rPr>
              <w:t>Résistance aux conditions de terrain</w:t>
            </w:r>
          </w:p>
        </w:tc>
        <w:tc>
          <w:tcPr>
            <w:tcW w:type="dxa" w:w="3249"/>
            <w:shd w:val="clear" w:fill="F2F6FA"/>
          </w:tcPr>
          <w:p>
            <w:pPr>
              <w:spacing w:before="40" w:after="40"/>
            </w:pPr>
            <w:r>
              <w:rPr>
                <w:rFonts w:ascii="Calibri" w:hAnsi="Calibri"/>
                <w:b w:val="0"/>
                <w:i w:val="0"/>
                <w:color w:val="333333"/>
                <w:sz w:val="17"/>
              </w:rPr>
              <w:t>Faible — la piste s'use et se démagnétise</w:t>
            </w:r>
          </w:p>
        </w:tc>
        <w:tc>
          <w:tcPr>
            <w:tcW w:type="dxa" w:w="3249"/>
            <w:shd w:val="clear" w:fill="F2F6FA"/>
          </w:tcPr>
          <w:p>
            <w:pPr>
              <w:spacing w:before="40" w:after="40"/>
            </w:pPr>
            <w:r>
              <w:rPr>
                <w:rFonts w:ascii="Calibri" w:hAnsi="Calibri"/>
                <w:b w:val="0"/>
                <w:i w:val="0"/>
                <w:color w:val="333333"/>
                <w:sz w:val="17"/>
              </w:rPr>
              <w:t>Bonne</w:t>
            </w:r>
          </w:p>
        </w:tc>
      </w:tr>
      <w:tr>
        <w:tc>
          <w:tcPr>
            <w:tcW w:type="dxa" w:w="3249"/>
          </w:tcPr>
          <w:p>
            <w:pPr>
              <w:spacing w:before="40" w:after="40"/>
            </w:pPr>
            <w:r>
              <w:rPr>
                <w:rFonts w:ascii="Calibri" w:hAnsi="Calibri"/>
                <w:b w:val="0"/>
                <w:i w:val="0"/>
                <w:color w:val="333333"/>
                <w:sz w:val="17"/>
              </w:rPr>
              <w:t>Stockage multi-polices sur la carte</w:t>
            </w:r>
          </w:p>
        </w:tc>
        <w:tc>
          <w:tcPr>
            <w:tcW w:type="dxa" w:w="3249"/>
          </w:tcPr>
          <w:p>
            <w:pPr>
              <w:spacing w:before="40" w:after="40"/>
            </w:pPr>
            <w:r>
              <w:rPr>
                <w:rFonts w:ascii="Calibri" w:hAnsi="Calibri"/>
                <w:b w:val="0"/>
                <w:i w:val="0"/>
                <w:color w:val="333333"/>
                <w:sz w:val="17"/>
              </w:rPr>
              <w:t>Très limité (environ 100 caractères exploitables)</w:t>
            </w:r>
          </w:p>
        </w:tc>
        <w:tc>
          <w:tcPr>
            <w:tcW w:type="dxa" w:w="3249"/>
          </w:tcPr>
          <w:p>
            <w:pPr>
              <w:spacing w:before="40" w:after="40"/>
            </w:pPr>
            <w:r>
              <w:rPr>
                <w:rFonts w:ascii="Calibri" w:hAnsi="Calibri"/>
                <w:b w:val="0"/>
                <w:i w:val="0"/>
                <w:color w:val="333333"/>
                <w:sz w:val="17"/>
              </w:rPr>
              <w:t>Confortable</w:t>
            </w:r>
          </w:p>
        </w:tc>
      </w:tr>
      <w:tr>
        <w:tc>
          <w:tcPr>
            <w:tcW w:type="dxa" w:w="3249"/>
            <w:shd w:val="clear" w:fill="F2F6FA"/>
          </w:tcPr>
          <w:p>
            <w:pPr>
              <w:spacing w:before="40" w:after="40"/>
            </w:pPr>
            <w:r>
              <w:rPr>
                <w:rFonts w:ascii="Calibri" w:hAnsi="Calibri"/>
                <w:b w:val="0"/>
                <w:i w:val="0"/>
                <w:color w:val="333333"/>
                <w:sz w:val="17"/>
              </w:rPr>
              <w:t>Sécurité</w:t>
            </w:r>
          </w:p>
        </w:tc>
        <w:tc>
          <w:tcPr>
            <w:tcW w:type="dxa" w:w="3249"/>
            <w:shd w:val="clear" w:fill="F2F6FA"/>
          </w:tcPr>
          <w:p>
            <w:pPr>
              <w:spacing w:before="40" w:after="40"/>
            </w:pPr>
            <w:r>
              <w:rPr>
                <w:rFonts w:ascii="Calibri" w:hAnsi="Calibri"/>
                <w:b w:val="0"/>
                <w:i w:val="0"/>
                <w:color w:val="333333"/>
                <w:sz w:val="17"/>
              </w:rPr>
              <w:t>Clonable sans difficulté, aucune authentification</w:t>
            </w:r>
          </w:p>
        </w:tc>
        <w:tc>
          <w:tcPr>
            <w:tcW w:type="dxa" w:w="3249"/>
            <w:shd w:val="clear" w:fill="F2F6FA"/>
          </w:tcPr>
          <w:p>
            <w:pPr>
              <w:spacing w:before="40" w:after="40"/>
            </w:pPr>
            <w:r>
              <w:rPr>
                <w:rFonts w:ascii="Calibri" w:hAnsi="Calibri"/>
                <w:b w:val="0"/>
                <w:i w:val="0"/>
                <w:color w:val="333333"/>
                <w:sz w:val="17"/>
              </w:rPr>
              <w:t>Prend en charge l'authentification mutuelle et des clés par carte</w:t>
            </w:r>
          </w:p>
        </w:tc>
      </w:tr>
      <w:tr>
        <w:tc>
          <w:tcPr>
            <w:tcW w:type="dxa" w:w="3249"/>
          </w:tcPr>
          <w:p>
            <w:pPr>
              <w:spacing w:before="40" w:after="40"/>
            </w:pPr>
            <w:r>
              <w:rPr>
                <w:rFonts w:ascii="Calibri" w:hAnsi="Calibri"/>
                <w:b w:val="0"/>
                <w:i w:val="0"/>
                <w:color w:val="333333"/>
                <w:sz w:val="17"/>
              </w:rPr>
              <w:t>Compatibilité TPE sur les terminaux visés</w:t>
            </w:r>
          </w:p>
        </w:tc>
        <w:tc>
          <w:tcPr>
            <w:tcW w:type="dxa" w:w="3249"/>
          </w:tcPr>
          <w:p>
            <w:pPr>
              <w:spacing w:before="40" w:after="40"/>
            </w:pPr>
            <w:r>
              <w:rPr>
                <w:rFonts w:ascii="Calibri" w:hAnsi="Calibri"/>
                <w:b w:val="0"/>
                <w:i w:val="0"/>
                <w:color w:val="333333"/>
                <w:sz w:val="17"/>
              </w:rPr>
              <w:t>Oui</w:t>
            </w:r>
          </w:p>
        </w:tc>
        <w:tc>
          <w:tcPr>
            <w:tcW w:type="dxa" w:w="3249"/>
          </w:tcPr>
          <w:p>
            <w:pPr>
              <w:spacing w:before="40" w:after="40"/>
            </w:pPr>
            <w:r>
              <w:rPr>
                <w:rFonts w:ascii="Calibri" w:hAnsi="Calibri"/>
                <w:b w:val="0"/>
                <w:i w:val="0"/>
                <w:color w:val="333333"/>
                <w:sz w:val="17"/>
              </w:rPr>
              <w:t>Oui — les terminaux intègrent déjà un lecteur NFC dans la solution existante</w:t>
            </w:r>
          </w:p>
        </w:tc>
      </w:tr>
      <w:tr>
        <w:tc>
          <w:tcPr>
            <w:tcW w:type="dxa" w:w="3249"/>
            <w:shd w:val="clear" w:fill="F2F6FA"/>
          </w:tcPr>
          <w:p>
            <w:pPr>
              <w:spacing w:before="40" w:after="40"/>
            </w:pPr>
            <w:r>
              <w:rPr>
                <w:rFonts w:ascii="Calibri" w:hAnsi="Calibri"/>
                <w:b w:val="0"/>
                <w:i w:val="0"/>
                <w:color w:val="333333"/>
                <w:sz w:val="17"/>
              </w:rPr>
              <w:t>Recommandation</w:t>
            </w:r>
          </w:p>
        </w:tc>
        <w:tc>
          <w:tcPr>
            <w:tcW w:type="dxa" w:w="3249"/>
            <w:shd w:val="clear" w:fill="F2F6FA"/>
          </w:tcPr>
          <w:p>
            <w:pPr>
              <w:spacing w:before="40" w:after="40"/>
            </w:pPr>
          </w:p>
        </w:tc>
        <w:tc>
          <w:tcPr>
            <w:tcW w:type="dxa" w:w="3249"/>
            <w:shd w:val="clear" w:fill="F2F6FA"/>
          </w:tcPr>
          <w:p>
            <w:pPr>
              <w:spacing w:before="40" w:after="40"/>
            </w:pPr>
            <w:r>
              <w:rPr>
                <w:rFonts w:ascii="Calibri" w:hAnsi="Calibri"/>
                <w:b/>
                <w:i w:val="0"/>
                <w:color w:val="333333"/>
                <w:sz w:val="17"/>
              </w:rPr>
              <w:t>Préférée</w:t>
            </w:r>
          </w:p>
        </w:tc>
      </w:tr>
    </w:tbl>
    <w:p>
      <w:pPr>
        <w:spacing w:after="40"/>
      </w:pPr>
    </w:p>
    <w:p>
      <w:r>
        <w:rPr>
          <w:rFonts w:ascii="Calibri" w:hAnsi="Calibri"/>
          <w:b/>
          <w:i w:val="0"/>
          <w:color w:val="333333"/>
          <w:sz w:val="20"/>
        </w:rPr>
        <w:t>Recommandation :</w:t>
      </w:r>
      <w:r>
        <w:rPr>
          <w:rFonts w:ascii="Calibri" w:hAnsi="Calibri"/>
          <w:b w:val="0"/>
          <w:i w:val="0"/>
          <w:color w:val="333333"/>
          <w:sz w:val="20"/>
        </w:rPr>
        <w:t xml:space="preserve"> cartes sans contact. La piste magnétique ne peut pas porter une charge utile multi-polices significative et n'offre aucune protection contre le clonage. Si SUNU préfère des cartes hybrides (imprimées + piste + puce), l'architecture le permet ; le contenu encodé et le fichier de personnalisation sont identiques.</w:t>
      </w:r>
    </w:p>
    <w:p>
      <w:pPr>
        <w:pStyle w:val="Heading2"/>
        <w:spacing w:before="280" w:after="80"/>
        <w:keepNext/>
      </w:pPr>
      <w:bookmarkStart w:id="129" w:name="_Toc_s028"/>
      <w:r>
        <w:rPr>
          <w:rFonts w:ascii="Calibri" w:hAnsi="Calibri"/>
          <w:b/>
          <w:color w:val="1B3A5C"/>
          <w:sz w:val="24"/>
        </w:rPr>
        <w:t>7.3 Carte virtuelle — QR Code (courriel §4)</w:t>
      </w:r>
      <w:bookmarkEnd w:id="129"/>
    </w:p>
    <w:p>
      <w:r>
        <w:rPr>
          <w:rFonts w:ascii="Calibri" w:hAnsi="Calibri"/>
          <w:b w:val="0"/>
          <w:i w:val="0"/>
          <w:color w:val="333333"/>
          <w:sz w:val="20"/>
        </w:rPr>
        <w:t xml:space="preserve">Une carte virtuelle est un </w:t>
      </w:r>
      <w:r>
        <w:rPr>
          <w:rFonts w:ascii="Calibri" w:hAnsi="Calibri"/>
          <w:b/>
          <w:i w:val="0"/>
          <w:color w:val="333333"/>
          <w:sz w:val="20"/>
        </w:rPr>
        <w:t>justificatif signé</w:t>
      </w:r>
      <w:r>
        <w:rPr>
          <w:rFonts w:ascii="Calibri" w:hAnsi="Calibri"/>
          <w:b w:val="0"/>
          <w:i w:val="0"/>
          <w:color w:val="333333"/>
          <w:sz w:val="20"/>
        </w:rPr>
        <w:t>, non la photographie d'un numéro.</w:t>
      </w:r>
    </w:p>
    <w:p>
      <w:pPr>
        <w:spacing w:before="120" w:after="160" w:line="240" w:lineRule="auto"/>
        <w:ind w:left="113"/>
        <w:shd w:val="clear" w:fill="F4F5F2"/>
        <w:pBdr>
          <w:left w:val="single" w:sz="12" w:space="6" w:color="1B3A5C"/>
        </w:pBdr>
      </w:pPr>
      <w:r>
        <w:rPr>
          <w:rFonts w:ascii="Consolas" w:hAnsi="Consolas" w:cs="Consolas"/>
          <w:color w:val="333333"/>
          <w:sz w:val="15"/>
        </w:rPr>
        <w:t>Charge utile QR (compacte, base64url) :</w:t>
        <w:br/>
      </w:r>
      <w:r>
        <w:rPr>
          <w:rFonts w:ascii="Consolas" w:hAnsi="Consolas" w:cs="Consolas"/>
          <w:color w:val="333333"/>
          <w:sz w:val="15"/>
        </w:rPr>
        <w:t>{</w:t>
        <w:br/>
      </w:r>
      <w:r>
        <w:rPr>
          <w:rFonts w:ascii="Consolas" w:hAnsi="Consolas" w:cs="Consolas"/>
          <w:color w:val="333333"/>
          <w:sz w:val="15"/>
        </w:rPr>
        <w:t xml:space="preserve">  "v":   1,                       version du schéma</w:t>
        <w:br/>
      </w:r>
      <w:r>
        <w:rPr>
          <w:rFonts w:ascii="Consolas" w:hAnsi="Consolas" w:cs="Consolas"/>
          <w:color w:val="333333"/>
          <w:sz w:val="15"/>
        </w:rPr>
        <w:t xml:space="preserve">  "cid": "SUNU-BF-00012345",      identifiant du justificatif</w:t>
        <w:br/>
      </w:r>
      <w:r>
        <w:rPr>
          <w:rFonts w:ascii="Consolas" w:hAnsi="Consolas" w:cs="Consolas"/>
          <w:color w:val="333333"/>
          <w:sz w:val="15"/>
        </w:rPr>
        <w:t xml:space="preserve">  "ins": "CLI-000987",            référence de l'assuré</w:t>
        <w:br/>
      </w:r>
      <w:r>
        <w:rPr>
          <w:rFonts w:ascii="Consolas" w:hAnsi="Consolas" w:cs="Consolas"/>
          <w:color w:val="333333"/>
          <w:sz w:val="15"/>
        </w:rPr>
        <w:t xml:space="preserve">  "nm":  "OUEDRAOGO Awa",         nom pour confirmation à l'écran</w:t>
        <w:br/>
      </w:r>
      <w:r>
        <w:rPr>
          <w:rFonts w:ascii="Consolas" w:hAnsi="Consolas" w:cs="Consolas"/>
          <w:color w:val="333333"/>
          <w:sz w:val="15"/>
        </w:rPr>
        <w:t xml:space="preserve">  "pol": ["P-2026-0043","P-2026-0044"],   références de polices</w:t>
        <w:br/>
      </w:r>
      <w:r>
        <w:rPr>
          <w:rFonts w:ascii="Consolas" w:hAnsi="Consolas" w:cs="Consolas"/>
          <w:color w:val="333333"/>
          <w:sz w:val="15"/>
        </w:rPr>
        <w:t xml:space="preserve">  "iat": 1756598400,              émis le</w:t>
        <w:br/>
      </w:r>
      <w:r>
        <w:rPr>
          <w:rFonts w:ascii="Consolas" w:hAnsi="Consolas" w:cs="Consolas"/>
          <w:color w:val="333333"/>
          <w:sz w:val="15"/>
        </w:rPr>
        <w:t xml:space="preserve">  "exp": 1788134400,              expiration</w:t>
        <w:br/>
      </w:r>
      <w:r>
        <w:rPr>
          <w:rFonts w:ascii="Consolas" w:hAnsi="Consolas" w:cs="Consolas"/>
          <w:color w:val="333333"/>
          <w:sz w:val="15"/>
        </w:rPr>
        <w:t xml:space="preserve">  "kid": "sunu-2026-k1"           version de la clé de signature</w:t>
        <w:br/>
      </w:r>
      <w:r>
        <w:rPr>
          <w:rFonts w:ascii="Consolas" w:hAnsi="Consolas" w:cs="Consolas"/>
          <w:color w:val="333333"/>
          <w:sz w:val="15"/>
        </w:rPr>
        <w:t>}</w:t>
        <w:br/>
      </w:r>
      <w:r>
        <w:rPr>
          <w:rFonts w:ascii="Consolas" w:hAnsi="Consolas" w:cs="Consolas"/>
          <w:color w:val="333333"/>
          <w:sz w:val="15"/>
        </w:rPr>
        <w:t>+ signature détachée (HMAC-SHA256 ou ECDSA P-256)</w:t>
      </w:r>
    </w:p>
    <w:p>
      <w:r>
        <w:rPr>
          <w:rFonts w:ascii="Calibri" w:hAnsi="Calibri"/>
          <w:b w:val="0"/>
          <w:i w:val="0"/>
          <w:color w:val="333333"/>
          <w:sz w:val="20"/>
        </w:rPr>
        <w:t>Propriétés :</w:t>
      </w:r>
    </w:p>
    <w:p>
      <w:pPr>
        <w:spacing w:after="40"/>
        <w:ind w:left="312" w:hanging="198"/>
      </w:pPr>
      <w:r>
        <w:rPr>
          <w:rFonts w:ascii="Calibri" w:hAnsi="Calibri"/>
          <w:b/>
          <w:color w:val="2C5F8A"/>
          <w:sz w:val="20"/>
        </w:rPr>
        <w:t xml:space="preserve">1.  </w:t>
      </w:r>
      <w:r>
        <w:rPr>
          <w:rFonts w:ascii="Calibri" w:hAnsi="Calibri"/>
          <w:b/>
          <w:i w:val="0"/>
          <w:color w:val="333333"/>
          <w:sz w:val="20"/>
        </w:rPr>
        <w:t>Vérifiable hors ligne.</w:t>
      </w:r>
      <w:r>
        <w:rPr>
          <w:rFonts w:ascii="Calibri" w:hAnsi="Calibri"/>
          <w:b w:val="0"/>
          <w:i w:val="0"/>
          <w:color w:val="333333"/>
          <w:sz w:val="20"/>
        </w:rPr>
        <w:t xml:space="preserve"> Le TPE détient la clé publique (ou la clé HMAC partagée dans son coffre) et valide la signature sans réseau. Un QR contrefait est rejeté sur l'appareil.</w:t>
      </w:r>
    </w:p>
    <w:p>
      <w:pPr>
        <w:spacing w:after="40"/>
        <w:ind w:left="312" w:hanging="198"/>
      </w:pPr>
      <w:r>
        <w:rPr>
          <w:rFonts w:ascii="Calibri" w:hAnsi="Calibri"/>
          <w:b/>
          <w:color w:val="2C5F8A"/>
          <w:sz w:val="20"/>
        </w:rPr>
        <w:t xml:space="preserve">2.  </w:t>
      </w:r>
      <w:r>
        <w:rPr>
          <w:rFonts w:ascii="Calibri" w:hAnsi="Calibri"/>
          <w:b/>
          <w:i w:val="0"/>
          <w:color w:val="333333"/>
          <w:sz w:val="20"/>
        </w:rPr>
        <w:t>Révocable.</w:t>
      </w:r>
      <w:r>
        <w:rPr>
          <w:rFonts w:ascii="Calibri" w:hAnsi="Calibri"/>
          <w:b w:val="0"/>
          <w:i w:val="0"/>
          <w:color w:val="333333"/>
          <w:sz w:val="20"/>
        </w:rPr>
        <w:t xml:space="preserve"> Une liste de révocation est poussée vers les terminaux à chaque synchronisation. La révocation est immédiate au back-office et effective sur le terminal à sa prochaine synchronisation.</w:t>
      </w:r>
    </w:p>
    <w:p>
      <w:pPr>
        <w:spacing w:after="40"/>
        <w:ind w:left="312" w:hanging="198"/>
      </w:pPr>
      <w:r>
        <w:rPr>
          <w:rFonts w:ascii="Calibri" w:hAnsi="Calibri"/>
          <w:b/>
          <w:color w:val="2C5F8A"/>
          <w:sz w:val="20"/>
        </w:rPr>
        <w:t xml:space="preserve">3.  </w:t>
      </w:r>
      <w:r>
        <w:rPr>
          <w:rFonts w:ascii="Calibri" w:hAnsi="Calibri"/>
          <w:b/>
          <w:i w:val="0"/>
          <w:color w:val="333333"/>
          <w:sz w:val="20"/>
        </w:rPr>
        <w:t>Limitée dans le temps.</w:t>
      </w:r>
      <w:r>
        <w:rPr>
          <w:rFonts w:ascii="Calibri" w:hAnsi="Calibri"/>
          <w:b w:val="0"/>
          <w:i w:val="0"/>
          <w:color w:val="333333"/>
          <w:sz w:val="20"/>
        </w:rPr>
        <w:t xml:space="preserve"> Les justificatifs expirent et sont réémis, ce qui borne la fenêtre d'exploitation d'un QR divulgué.</w:t>
      </w:r>
    </w:p>
    <w:p>
      <w:pPr>
        <w:spacing w:after="40"/>
        <w:ind w:left="312" w:hanging="198"/>
      </w:pPr>
      <w:r>
        <w:rPr>
          <w:rFonts w:ascii="Calibri" w:hAnsi="Calibri"/>
          <w:b/>
          <w:color w:val="2C5F8A"/>
          <w:sz w:val="20"/>
        </w:rPr>
        <w:t xml:space="preserve">4.  </w:t>
      </w:r>
      <w:r>
        <w:rPr>
          <w:rFonts w:ascii="Calibri" w:hAnsi="Calibri"/>
          <w:b/>
          <w:i w:val="0"/>
          <w:color w:val="333333"/>
          <w:sz w:val="20"/>
        </w:rPr>
        <w:t>Non monétaire.</w:t>
      </w:r>
      <w:r>
        <w:rPr>
          <w:rFonts w:ascii="Calibri" w:hAnsi="Calibri"/>
          <w:b w:val="0"/>
          <w:i w:val="0"/>
          <w:color w:val="333333"/>
          <w:sz w:val="20"/>
        </w:rPr>
        <w:t xml:space="preserve"> Le QR identifie l'assuré ; il n'autorise rien. Le paiement exige toujours la session authentifiée du collecteur et, si SUNU l'active, le code ou la biométrie de l'assuré.</w:t>
      </w:r>
    </w:p>
    <w:p>
      <w:pPr>
        <w:spacing w:after="40"/>
        <w:ind w:left="312" w:hanging="198"/>
      </w:pPr>
      <w:r>
        <w:rPr>
          <w:rFonts w:ascii="Calibri" w:hAnsi="Calibri"/>
          <w:b/>
          <w:color w:val="2C5F8A"/>
          <w:sz w:val="20"/>
        </w:rPr>
        <w:t xml:space="preserve">5.  </w:t>
      </w:r>
      <w:r>
        <w:rPr>
          <w:rFonts w:ascii="Calibri" w:hAnsi="Calibri"/>
          <w:b/>
          <w:i w:val="0"/>
          <w:color w:val="333333"/>
          <w:sz w:val="20"/>
        </w:rPr>
        <w:t>Diffusion.</w:t>
      </w:r>
      <w:r>
        <w:rPr>
          <w:rFonts w:ascii="Calibri" w:hAnsi="Calibri"/>
          <w:b w:val="0"/>
          <w:i w:val="0"/>
          <w:color w:val="333333"/>
          <w:sz w:val="20"/>
        </w:rPr>
        <w:t xml:space="preserve"> Imprimé sur les conditions particulières, envoyé par lien SMS, ou affiché dans une future application destinée aux assurés. Aucun matériel requis — c'est ce qui en fait le canal économique pour un assuré ayant perdu sa carte ou vivant loin d'un point de personnalisation.</w:t>
      </w:r>
    </w:p>
    <w:p>
      <w:r>
        <w:rPr>
          <w:rFonts w:ascii="Calibri" w:hAnsi="Calibri"/>
          <w:b w:val="0"/>
          <w:i w:val="0"/>
          <w:color w:val="333333"/>
          <w:sz w:val="20"/>
        </w:rPr>
        <w:t xml:space="preserve">La carte physique et la carte virtuelle résolvent vers la </w:t>
      </w:r>
      <w:r>
        <w:rPr>
          <w:rFonts w:ascii="Calibri" w:hAnsi="Calibri"/>
          <w:b/>
          <w:i w:val="0"/>
          <w:color w:val="333333"/>
          <w:sz w:val="20"/>
        </w:rPr>
        <w:t>même identité d'assuré</w:t>
      </w:r>
      <w:r>
        <w:rPr>
          <w:rFonts w:ascii="Calibri" w:hAnsi="Calibri"/>
          <w:b w:val="0"/>
          <w:i w:val="0"/>
          <w:color w:val="333333"/>
          <w:sz w:val="20"/>
        </w:rPr>
        <w:t xml:space="preserve"> ; le TPE les traite comme deux lecteurs vers une seule recherche.</w:t>
      </w:r>
    </w:p>
    <w:p>
      <w:pPr>
        <w:pStyle w:val="Heading1"/>
        <w:pageBreakBefore/>
        <w:spacing w:before="360" w:after="80"/>
        <w:keepNext/>
        <w:pBdr>
          <w:bottom w:val="single" w:sz="8" w:space="6" w:color="1B3A5C"/>
        </w:pBdr>
      </w:pPr>
      <w:bookmarkStart w:id="130" w:name="_Toc_s029"/>
      <w:r>
        <w:rPr>
          <w:rFonts w:ascii="Calibri" w:hAnsi="Calibri"/>
          <w:b/>
          <w:color w:val="1B3A5C"/>
          <w:sz w:val="30"/>
        </w:rPr>
        <w:t>8. Architecture d'intégration SUNULIFE (courriel §1 — exigence prioritaire)</w:t>
      </w:r>
      <w:bookmarkEnd w:id="130"/>
    </w:p>
    <w:p>
      <w:r>
        <w:rPr>
          <w:rFonts w:ascii="Calibri" w:hAnsi="Calibri"/>
          <w:b w:val="0"/>
          <w:i w:val="0"/>
          <w:color w:val="333333"/>
          <w:sz w:val="20"/>
        </w:rPr>
        <w:t xml:space="preserve">SUNU a indiqué qu'une part importante de ses clients existe déjà dans SUNULIFE et a demandé que la solution récupère régulièrement, via API, les données clients à jour et les informations de polices, et que cela soit pris en compte dès la conception de l'architecture. La présente section constitue la réponse architecturale et, tout autant, la </w:t>
      </w:r>
      <w:r>
        <w:rPr>
          <w:rFonts w:ascii="Calibri" w:hAnsi="Calibri"/>
          <w:b/>
          <w:i w:val="0"/>
          <w:color w:val="333333"/>
          <w:sz w:val="20"/>
        </w:rPr>
        <w:t>liste de ce dont nous avons besoin de la part de SUNU</w:t>
      </w:r>
      <w:r>
        <w:rPr>
          <w:rFonts w:ascii="Calibri" w:hAnsi="Calibri"/>
          <w:b w:val="0"/>
          <w:i w:val="0"/>
          <w:color w:val="333333"/>
          <w:sz w:val="20"/>
        </w:rPr>
        <w:t xml:space="preserve"> pour la réaliser.</w:t>
      </w:r>
    </w:p>
    <w:p>
      <w:pPr>
        <w:pStyle w:val="Heading2"/>
        <w:spacing w:before="280" w:after="80"/>
        <w:keepNext/>
      </w:pPr>
      <w:bookmarkStart w:id="131" w:name="_Toc_s030"/>
      <w:r>
        <w:rPr>
          <w:rFonts w:ascii="Calibri" w:hAnsi="Calibri"/>
          <w:b/>
          <w:color w:val="1B3A5C"/>
          <w:sz w:val="24"/>
        </w:rPr>
        <w:t>8.1 Principes d'intégration</w:t>
      </w:r>
      <w:bookmarkEnd w:id="131"/>
    </w:p>
    <w:p>
      <w:pPr>
        <w:spacing w:after="40"/>
        <w:ind w:left="312" w:hanging="198"/>
      </w:pPr>
      <w:r>
        <w:rPr>
          <w:rFonts w:ascii="Calibri" w:hAnsi="Calibri"/>
          <w:b/>
          <w:color w:val="2C5F8A"/>
          <w:sz w:val="20"/>
        </w:rPr>
        <w:t xml:space="preserve">1.  </w:t>
      </w:r>
      <w:r>
        <w:rPr>
          <w:rFonts w:ascii="Calibri" w:hAnsi="Calibri"/>
          <w:b/>
          <w:i w:val="0"/>
          <w:color w:val="333333"/>
          <w:sz w:val="20"/>
        </w:rPr>
        <w:t>SUNULIFE fait foi pour l'identité de l'assuré et les contrats.</w:t>
      </w:r>
      <w:r>
        <w:rPr>
          <w:rFonts w:ascii="Calibri" w:hAnsi="Calibri"/>
          <w:b w:val="0"/>
          <w:i w:val="0"/>
          <w:color w:val="333333"/>
          <w:sz w:val="20"/>
        </w:rPr>
        <w:t xml:space="preserve"> La solution reflète, elle ne possède pas.</w:t>
      </w:r>
    </w:p>
    <w:p>
      <w:pPr>
        <w:spacing w:after="40"/>
        <w:ind w:left="312" w:hanging="198"/>
      </w:pPr>
      <w:r>
        <w:rPr>
          <w:rFonts w:ascii="Calibri" w:hAnsi="Calibri"/>
          <w:b/>
          <w:color w:val="2C5F8A"/>
          <w:sz w:val="20"/>
        </w:rPr>
        <w:t xml:space="preserve">2.  </w:t>
      </w:r>
      <w:r>
        <w:rPr>
          <w:rFonts w:ascii="Calibri" w:hAnsi="Calibri"/>
          <w:b/>
          <w:i w:val="0"/>
          <w:color w:val="333333"/>
          <w:sz w:val="20"/>
        </w:rPr>
        <w:t>La solution fait foi pour les événements d'encaissement terrain.</w:t>
      </w:r>
      <w:r>
        <w:rPr>
          <w:rFonts w:ascii="Calibri" w:hAnsi="Calibri"/>
          <w:b w:val="0"/>
          <w:i w:val="0"/>
          <w:color w:val="333333"/>
          <w:sz w:val="20"/>
        </w:rPr>
        <w:t xml:space="preserve"> SUNULIFE les reçoit.</w:t>
      </w:r>
    </w:p>
    <w:p>
      <w:pPr>
        <w:spacing w:after="40"/>
        <w:ind w:left="312" w:hanging="198"/>
      </w:pPr>
      <w:r>
        <w:rPr>
          <w:rFonts w:ascii="Calibri" w:hAnsi="Calibri"/>
          <w:b/>
          <w:color w:val="2C5F8A"/>
          <w:sz w:val="20"/>
        </w:rPr>
        <w:t xml:space="preserve">3.  </w:t>
      </w:r>
      <w:r>
        <w:rPr>
          <w:rFonts w:ascii="Calibri" w:hAnsi="Calibri"/>
          <w:b/>
          <w:i w:val="0"/>
          <w:color w:val="333333"/>
          <w:sz w:val="20"/>
        </w:rPr>
        <w:t>Aucun couplage bloquant.</w:t>
      </w:r>
      <w:r>
        <w:rPr>
          <w:rFonts w:ascii="Calibri" w:hAnsi="Calibri"/>
          <w:b w:val="0"/>
          <w:i w:val="0"/>
          <w:color w:val="333333"/>
          <w:sz w:val="20"/>
        </w:rPr>
        <w:t xml:space="preserve"> L'indisponibilité de SUNULIFE dégrade la fraîcheur des données, jamais la disponibilité de l'encaissement.</w:t>
      </w:r>
    </w:p>
    <w:p>
      <w:pPr>
        <w:spacing w:after="40"/>
        <w:ind w:left="312" w:hanging="198"/>
      </w:pPr>
      <w:r>
        <w:rPr>
          <w:rFonts w:ascii="Calibri" w:hAnsi="Calibri"/>
          <w:b/>
          <w:color w:val="2C5F8A"/>
          <w:sz w:val="20"/>
        </w:rPr>
        <w:t xml:space="preserve">4.  </w:t>
      </w:r>
      <w:r>
        <w:rPr>
          <w:rFonts w:ascii="Calibri" w:hAnsi="Calibri"/>
          <w:b/>
          <w:i w:val="0"/>
          <w:color w:val="333333"/>
          <w:sz w:val="20"/>
        </w:rPr>
        <w:t>Tout échange est journalisé et rejouable.</w:t>
      </w:r>
      <w:r>
        <w:rPr>
          <w:rFonts w:ascii="Calibri" w:hAnsi="Calibri"/>
          <w:b w:val="0"/>
          <w:i w:val="0"/>
          <w:color w:val="333333"/>
          <w:sz w:val="20"/>
        </w:rPr>
        <w:t xml:space="preserve"> </w:t>
      </w:r>
      <w:r>
        <w:rPr>
          <w:rFonts w:ascii="Consolas" w:hAnsi="Consolas"/>
          <w:b w:val="0"/>
          <w:i w:val="0"/>
          <w:color w:val="1B3A5C"/>
          <w:sz w:val="19"/>
        </w:rPr>
        <w:t>sunulife_sync_log</w:t>
      </w:r>
      <w:r>
        <w:rPr>
          <w:rFonts w:ascii="Calibri" w:hAnsi="Calibri"/>
          <w:b w:val="0"/>
          <w:i w:val="0"/>
          <w:color w:val="333333"/>
          <w:sz w:val="20"/>
        </w:rPr>
        <w:t xml:space="preserve"> consigne la requête, la réponse, le statut et les tentatives ; tout élément en échec peut être rejoué sans dupliquer un événement financier (clés d'idempotence, section 5.3).</w:t>
      </w:r>
    </w:p>
    <w:p>
      <w:pPr>
        <w:spacing w:after="40"/>
        <w:ind w:left="312" w:hanging="198"/>
      </w:pPr>
      <w:r>
        <w:rPr>
          <w:rFonts w:ascii="Calibri" w:hAnsi="Calibri"/>
          <w:b/>
          <w:color w:val="2C5F8A"/>
          <w:sz w:val="20"/>
        </w:rPr>
        <w:t xml:space="preserve">5.  </w:t>
      </w:r>
      <w:r>
        <w:rPr>
          <w:rFonts w:ascii="Calibri" w:hAnsi="Calibri"/>
          <w:b/>
          <w:i w:val="0"/>
          <w:color w:val="333333"/>
          <w:sz w:val="20"/>
        </w:rPr>
        <w:t>L'export Excel reste disponible en permanence</w:t>
      </w:r>
      <w:r>
        <w:rPr>
          <w:rFonts w:ascii="Calibri" w:hAnsi="Calibri"/>
          <w:b w:val="0"/>
          <w:i w:val="0"/>
          <w:color w:val="333333"/>
          <w:sz w:val="20"/>
        </w:rPr>
        <w:t>, en tant que repli contractuel du Besoin 2 du TdR. L'automatisation supprime le travail manuel ; elle ne supprime pas l'option manuelle.</w:t>
      </w:r>
    </w:p>
    <w:p>
      <w:pPr>
        <w:pStyle w:val="Heading2"/>
        <w:spacing w:before="280" w:after="80"/>
        <w:keepNext/>
      </w:pPr>
      <w:bookmarkStart w:id="132" w:name="_Toc_s031"/>
      <w:r>
        <w:rPr>
          <w:rFonts w:ascii="Calibri" w:hAnsi="Calibri"/>
          <w:b/>
          <w:color w:val="1B3A5C"/>
          <w:sz w:val="24"/>
        </w:rPr>
        <w:t>8.2 Surface d'intégration — ce dont nous avons besoin de SUNULIFE</w:t>
      </w:r>
      <w:bookmarkEnd w:id="13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907"/>
            <w:shd w:val="clear" w:fill="1B3A5C"/>
          </w:tcPr>
          <w:p>
            <w:pPr>
              <w:spacing w:before="60" w:after="60"/>
            </w:pPr>
            <w:r>
              <w:rPr>
                <w:rFonts w:ascii="Calibri" w:hAnsi="Calibri"/>
                <w:b/>
                <w:color w:val="FFFFFF"/>
                <w:sz w:val="17"/>
              </w:rPr>
              <w:t>#</w:t>
            </w:r>
          </w:p>
        </w:tc>
        <w:tc>
          <w:tcPr>
            <w:tcW w:type="dxa" w:w="2126"/>
            <w:shd w:val="clear" w:fill="1B3A5C"/>
          </w:tcPr>
          <w:p>
            <w:pPr>
              <w:spacing w:before="60" w:after="60"/>
            </w:pPr>
            <w:r>
              <w:rPr>
                <w:rFonts w:ascii="Calibri" w:hAnsi="Calibri"/>
                <w:b/>
                <w:color w:val="FFFFFF"/>
                <w:sz w:val="17"/>
              </w:rPr>
              <w:t>Sens</w:t>
            </w:r>
          </w:p>
        </w:tc>
        <w:tc>
          <w:tcPr>
            <w:tcW w:type="dxa" w:w="2126"/>
            <w:shd w:val="clear" w:fill="1B3A5C"/>
          </w:tcPr>
          <w:p>
            <w:pPr>
              <w:spacing w:before="60" w:after="60"/>
            </w:pPr>
            <w:r>
              <w:rPr>
                <w:rFonts w:ascii="Calibri" w:hAnsi="Calibri"/>
                <w:b/>
                <w:color w:val="FFFFFF"/>
                <w:sz w:val="17"/>
              </w:rPr>
              <w:t>Capacité</w:t>
            </w:r>
          </w:p>
        </w:tc>
        <w:tc>
          <w:tcPr>
            <w:tcW w:type="dxa" w:w="2126"/>
            <w:shd w:val="clear" w:fill="1B3A5C"/>
          </w:tcPr>
          <w:p>
            <w:pPr>
              <w:spacing w:before="60" w:after="60"/>
            </w:pPr>
            <w:r>
              <w:rPr>
                <w:rFonts w:ascii="Calibri" w:hAnsi="Calibri"/>
                <w:b/>
                <w:color w:val="FFFFFF"/>
                <w:sz w:val="17"/>
              </w:rPr>
              <w:t>Objet</w:t>
            </w:r>
          </w:p>
        </w:tc>
        <w:tc>
          <w:tcPr>
            <w:tcW w:type="dxa" w:w="2126"/>
            <w:shd w:val="clear" w:fill="1B3A5C"/>
          </w:tcPr>
          <w:p>
            <w:pPr>
              <w:spacing w:before="60" w:after="60"/>
            </w:pPr>
            <w:r>
              <w:rPr>
                <w:rFonts w:ascii="Calibri" w:hAnsi="Calibri"/>
                <w:b/>
                <w:color w:val="FFFFFF"/>
                <w:sz w:val="17"/>
              </w:rPr>
              <w:t>Fréquence</w:t>
            </w:r>
          </w:p>
        </w:tc>
      </w:tr>
      <w:tr>
        <w:tc>
          <w:tcPr>
            <w:tcW w:type="dxa" w:w="907"/>
          </w:tcPr>
          <w:p>
            <w:pPr>
              <w:spacing w:before="40" w:after="40"/>
            </w:pPr>
            <w:r>
              <w:rPr>
                <w:rFonts w:ascii="Calibri" w:hAnsi="Calibri"/>
                <w:b w:val="0"/>
                <w:i w:val="0"/>
                <w:color w:val="333333"/>
                <w:sz w:val="17"/>
              </w:rPr>
              <w:t>S1</w:t>
            </w:r>
          </w:p>
        </w:tc>
        <w:tc>
          <w:tcPr>
            <w:tcW w:type="dxa" w:w="2126"/>
          </w:tcPr>
          <w:p>
            <w:pPr>
              <w:spacing w:before="40" w:after="40"/>
            </w:pPr>
            <w:r>
              <w:rPr>
                <w:rFonts w:ascii="Calibri" w:hAnsi="Calibri"/>
                <w:b w:val="0"/>
                <w:i w:val="0"/>
                <w:color w:val="333333"/>
                <w:sz w:val="17"/>
              </w:rPr>
              <w:t>Lecture</w:t>
            </w:r>
          </w:p>
        </w:tc>
        <w:tc>
          <w:tcPr>
            <w:tcW w:type="dxa" w:w="2126"/>
          </w:tcPr>
          <w:p>
            <w:pPr>
              <w:spacing w:before="40" w:after="40"/>
            </w:pPr>
            <w:r>
              <w:rPr>
                <w:rFonts w:ascii="Calibri" w:hAnsi="Calibri"/>
                <w:b/>
                <w:i w:val="0"/>
                <w:color w:val="333333"/>
                <w:sz w:val="17"/>
              </w:rPr>
              <w:t>Recherche / consultation client</w:t>
            </w:r>
            <w:r>
              <w:rPr>
                <w:rFonts w:ascii="Calibri" w:hAnsi="Calibri"/>
                <w:b w:val="0"/>
                <w:i w:val="0"/>
                <w:color w:val="333333"/>
                <w:sz w:val="17"/>
              </w:rPr>
              <w:t xml:space="preserve"> par numéro national (CNIB), numéro de police, téléphone ou numéro client</w:t>
            </w:r>
          </w:p>
        </w:tc>
        <w:tc>
          <w:tcPr>
            <w:tcW w:type="dxa" w:w="2126"/>
          </w:tcPr>
          <w:p>
            <w:pPr>
              <w:spacing w:before="40" w:after="40"/>
            </w:pPr>
            <w:r>
              <w:rPr>
                <w:rFonts w:ascii="Calibri" w:hAnsi="Calibri"/>
                <w:b w:val="0"/>
                <w:i w:val="0"/>
                <w:color w:val="333333"/>
                <w:sz w:val="17"/>
              </w:rPr>
              <w:t>Identification terrain d'un assuré existant ; éviter les doublons</w:t>
            </w:r>
          </w:p>
        </w:tc>
        <w:tc>
          <w:tcPr>
            <w:tcW w:type="dxa" w:w="2126"/>
          </w:tcPr>
          <w:p>
            <w:pPr>
              <w:spacing w:before="40" w:after="40"/>
            </w:pPr>
            <w:r>
              <w:rPr>
                <w:rFonts w:ascii="Calibri" w:hAnsi="Calibri"/>
                <w:b w:val="0"/>
                <w:i w:val="0"/>
                <w:color w:val="333333"/>
                <w:sz w:val="17"/>
              </w:rPr>
              <w:t>À la demande + delta nocturne</w:t>
            </w:r>
          </w:p>
        </w:tc>
      </w:tr>
      <w:tr>
        <w:tc>
          <w:tcPr>
            <w:tcW w:type="dxa" w:w="907"/>
            <w:shd w:val="clear" w:fill="F2F6FA"/>
          </w:tcPr>
          <w:p>
            <w:pPr>
              <w:spacing w:before="40" w:after="40"/>
            </w:pPr>
            <w:r>
              <w:rPr>
                <w:rFonts w:ascii="Calibri" w:hAnsi="Calibri"/>
                <w:b w:val="0"/>
                <w:i w:val="0"/>
                <w:color w:val="333333"/>
                <w:sz w:val="17"/>
              </w:rPr>
              <w:t>S2</w:t>
            </w:r>
          </w:p>
        </w:tc>
        <w:tc>
          <w:tcPr>
            <w:tcW w:type="dxa" w:w="2126"/>
            <w:shd w:val="clear" w:fill="F2F6FA"/>
          </w:tcPr>
          <w:p>
            <w:pPr>
              <w:spacing w:before="40" w:after="40"/>
            </w:pPr>
            <w:r>
              <w:rPr>
                <w:rFonts w:ascii="Calibri" w:hAnsi="Calibri"/>
                <w:b w:val="0"/>
                <w:i w:val="0"/>
                <w:color w:val="333333"/>
                <w:sz w:val="17"/>
              </w:rPr>
              <w:t>Lecture</w:t>
            </w:r>
          </w:p>
        </w:tc>
        <w:tc>
          <w:tcPr>
            <w:tcW w:type="dxa" w:w="2126"/>
            <w:shd w:val="clear" w:fill="F2F6FA"/>
          </w:tcPr>
          <w:p>
            <w:pPr>
              <w:spacing w:before="40" w:after="40"/>
            </w:pPr>
            <w:r>
              <w:rPr>
                <w:rFonts w:ascii="Calibri" w:hAnsi="Calibri"/>
                <w:b/>
                <w:i w:val="0"/>
                <w:color w:val="333333"/>
                <w:sz w:val="17"/>
              </w:rPr>
              <w:t>Delta du référentiel client</w:t>
            </w:r>
            <w:r>
              <w:rPr>
                <w:rFonts w:ascii="Calibri" w:hAnsi="Calibri"/>
                <w:b w:val="0"/>
                <w:i w:val="0"/>
                <w:color w:val="333333"/>
                <w:sz w:val="17"/>
              </w:rPr>
              <w:t xml:space="preserve"> — clients créés ou modifiés depuis un horodatage</w:t>
            </w:r>
          </w:p>
        </w:tc>
        <w:tc>
          <w:tcPr>
            <w:tcW w:type="dxa" w:w="2126"/>
            <w:shd w:val="clear" w:fill="F2F6FA"/>
          </w:tcPr>
          <w:p>
            <w:pPr>
              <w:spacing w:before="40" w:after="40"/>
            </w:pPr>
            <w:r>
              <w:rPr>
                <w:rFonts w:ascii="Calibri" w:hAnsi="Calibri"/>
                <w:b w:val="0"/>
                <w:i w:val="0"/>
                <w:color w:val="333333"/>
                <w:sz w:val="17"/>
              </w:rPr>
              <w:t>Maintenir le miroir local à jour</w:t>
            </w:r>
          </w:p>
        </w:tc>
        <w:tc>
          <w:tcPr>
            <w:tcW w:type="dxa" w:w="2126"/>
            <w:shd w:val="clear" w:fill="F2F6FA"/>
          </w:tcPr>
          <w:p>
            <w:pPr>
              <w:spacing w:before="40" w:after="40"/>
            </w:pPr>
            <w:r>
              <w:rPr>
                <w:rFonts w:ascii="Calibri" w:hAnsi="Calibri"/>
                <w:b w:val="0"/>
                <w:i w:val="0"/>
                <w:color w:val="333333"/>
                <w:sz w:val="17"/>
              </w:rPr>
              <w:t>Nocturne (paramétrable)</w:t>
            </w:r>
          </w:p>
        </w:tc>
      </w:tr>
      <w:tr>
        <w:tc>
          <w:tcPr>
            <w:tcW w:type="dxa" w:w="907"/>
          </w:tcPr>
          <w:p>
            <w:pPr>
              <w:spacing w:before="40" w:after="40"/>
            </w:pPr>
            <w:r>
              <w:rPr>
                <w:rFonts w:ascii="Calibri" w:hAnsi="Calibri"/>
                <w:b w:val="0"/>
                <w:i w:val="0"/>
                <w:color w:val="333333"/>
                <w:sz w:val="17"/>
              </w:rPr>
              <w:t>S3</w:t>
            </w:r>
          </w:p>
        </w:tc>
        <w:tc>
          <w:tcPr>
            <w:tcW w:type="dxa" w:w="2126"/>
          </w:tcPr>
          <w:p>
            <w:pPr>
              <w:spacing w:before="40" w:after="40"/>
            </w:pPr>
            <w:r>
              <w:rPr>
                <w:rFonts w:ascii="Calibri" w:hAnsi="Calibri"/>
                <w:b w:val="0"/>
                <w:i w:val="0"/>
                <w:color w:val="333333"/>
                <w:sz w:val="17"/>
              </w:rPr>
              <w:t>Lecture</w:t>
            </w:r>
          </w:p>
        </w:tc>
        <w:tc>
          <w:tcPr>
            <w:tcW w:type="dxa" w:w="2126"/>
          </w:tcPr>
          <w:p>
            <w:pPr>
              <w:spacing w:before="40" w:after="40"/>
            </w:pPr>
            <w:r>
              <w:rPr>
                <w:rFonts w:ascii="Calibri" w:hAnsi="Calibri"/>
                <w:b/>
                <w:i w:val="0"/>
                <w:color w:val="333333"/>
                <w:sz w:val="17"/>
              </w:rPr>
              <w:t>Liste des polices d'un client</w:t>
            </w:r>
            <w:r>
              <w:rPr>
                <w:rFonts w:ascii="Calibri" w:hAnsi="Calibri"/>
                <w:b w:val="0"/>
                <w:i w:val="0"/>
                <w:color w:val="333333"/>
                <w:sz w:val="17"/>
              </w:rPr>
              <w:t xml:space="preserve"> — numéro, produit, statut, date d'effet, montant de prime, périodicité, prochaine échéance, solde restant dû</w:t>
            </w:r>
          </w:p>
        </w:tc>
        <w:tc>
          <w:tcPr>
            <w:tcW w:type="dxa" w:w="2126"/>
          </w:tcPr>
          <w:p>
            <w:pPr>
              <w:spacing w:before="40" w:after="40"/>
            </w:pPr>
            <w:r>
              <w:rPr>
                <w:rFonts w:ascii="Calibri" w:hAnsi="Calibri"/>
                <w:b w:val="0"/>
                <w:i w:val="0"/>
                <w:color w:val="333333"/>
                <w:sz w:val="17"/>
              </w:rPr>
              <w:t>Alimenter la carte et l'écran de sélection de police du TPE</w:t>
            </w:r>
          </w:p>
        </w:tc>
        <w:tc>
          <w:tcPr>
            <w:tcW w:type="dxa" w:w="2126"/>
          </w:tcPr>
          <w:p>
            <w:pPr>
              <w:spacing w:before="40" w:after="40"/>
            </w:pPr>
            <w:r>
              <w:rPr>
                <w:rFonts w:ascii="Calibri" w:hAnsi="Calibri"/>
                <w:b w:val="0"/>
                <w:i w:val="0"/>
                <w:color w:val="333333"/>
                <w:sz w:val="17"/>
              </w:rPr>
              <w:t>Delta nocturne + à la demande</w:t>
            </w:r>
          </w:p>
        </w:tc>
      </w:tr>
      <w:tr>
        <w:tc>
          <w:tcPr>
            <w:tcW w:type="dxa" w:w="907"/>
            <w:shd w:val="clear" w:fill="F2F6FA"/>
          </w:tcPr>
          <w:p>
            <w:pPr>
              <w:spacing w:before="40" w:after="40"/>
            </w:pPr>
            <w:r>
              <w:rPr>
                <w:rFonts w:ascii="Calibri" w:hAnsi="Calibri"/>
                <w:b w:val="0"/>
                <w:i w:val="0"/>
                <w:color w:val="333333"/>
                <w:sz w:val="17"/>
              </w:rPr>
              <w:t>S4</w:t>
            </w:r>
          </w:p>
        </w:tc>
        <w:tc>
          <w:tcPr>
            <w:tcW w:type="dxa" w:w="2126"/>
            <w:shd w:val="clear" w:fill="F2F6FA"/>
          </w:tcPr>
          <w:p>
            <w:pPr>
              <w:spacing w:before="40" w:after="40"/>
            </w:pPr>
            <w:r>
              <w:rPr>
                <w:rFonts w:ascii="Calibri" w:hAnsi="Calibri"/>
                <w:b w:val="0"/>
                <w:i w:val="0"/>
                <w:color w:val="333333"/>
                <w:sz w:val="17"/>
              </w:rPr>
              <w:t>Lecture</w:t>
            </w:r>
          </w:p>
        </w:tc>
        <w:tc>
          <w:tcPr>
            <w:tcW w:type="dxa" w:w="2126"/>
            <w:shd w:val="clear" w:fill="F2F6FA"/>
          </w:tcPr>
          <w:p>
            <w:pPr>
              <w:spacing w:before="40" w:after="40"/>
            </w:pPr>
            <w:r>
              <w:rPr>
                <w:rFonts w:ascii="Calibri" w:hAnsi="Calibri"/>
                <w:b/>
                <w:i w:val="0"/>
                <w:color w:val="333333"/>
                <w:sz w:val="17"/>
              </w:rPr>
              <w:t>Catalogue produits</w:t>
            </w:r>
            <w:r>
              <w:rPr>
                <w:rFonts w:ascii="Calibri" w:hAnsi="Calibri"/>
                <w:b w:val="0"/>
                <w:i w:val="0"/>
                <w:color w:val="333333"/>
                <w:sz w:val="17"/>
              </w:rPr>
              <w:t xml:space="preserve"> — codes et libellés</w:t>
            </w:r>
          </w:p>
        </w:tc>
        <w:tc>
          <w:tcPr>
            <w:tcW w:type="dxa" w:w="2126"/>
            <w:shd w:val="clear" w:fill="F2F6FA"/>
          </w:tcPr>
          <w:p>
            <w:pPr>
              <w:spacing w:before="40" w:after="40"/>
            </w:pPr>
            <w:r>
              <w:rPr>
                <w:rFonts w:ascii="Calibri" w:hAnsi="Calibri"/>
                <w:b w:val="0"/>
                <w:i w:val="0"/>
                <w:color w:val="333333"/>
                <w:sz w:val="17"/>
              </w:rPr>
              <w:t>Aligner les références produits</w:t>
            </w:r>
          </w:p>
        </w:tc>
        <w:tc>
          <w:tcPr>
            <w:tcW w:type="dxa" w:w="2126"/>
            <w:shd w:val="clear" w:fill="F2F6FA"/>
          </w:tcPr>
          <w:p>
            <w:pPr>
              <w:spacing w:before="40" w:after="40"/>
            </w:pPr>
            <w:r>
              <w:rPr>
                <w:rFonts w:ascii="Calibri" w:hAnsi="Calibri"/>
                <w:b w:val="0"/>
                <w:i w:val="0"/>
                <w:color w:val="333333"/>
                <w:sz w:val="17"/>
              </w:rPr>
              <w:t>Hebdomadaire</w:t>
            </w:r>
          </w:p>
        </w:tc>
      </w:tr>
      <w:tr>
        <w:tc>
          <w:tcPr>
            <w:tcW w:type="dxa" w:w="907"/>
          </w:tcPr>
          <w:p>
            <w:pPr>
              <w:spacing w:before="40" w:after="40"/>
            </w:pPr>
            <w:r>
              <w:rPr>
                <w:rFonts w:ascii="Calibri" w:hAnsi="Calibri"/>
                <w:b w:val="0"/>
                <w:i w:val="0"/>
                <w:color w:val="333333"/>
                <w:sz w:val="17"/>
              </w:rPr>
              <w:t>S5</w:t>
            </w:r>
          </w:p>
        </w:tc>
        <w:tc>
          <w:tcPr>
            <w:tcW w:type="dxa" w:w="2126"/>
          </w:tcPr>
          <w:p>
            <w:pPr>
              <w:spacing w:before="40" w:after="40"/>
            </w:pPr>
            <w:r>
              <w:rPr>
                <w:rFonts w:ascii="Calibri" w:hAnsi="Calibri"/>
                <w:b w:val="0"/>
                <w:i w:val="0"/>
                <w:color w:val="333333"/>
                <w:sz w:val="17"/>
              </w:rPr>
              <w:t>Écriture</w:t>
            </w:r>
          </w:p>
        </w:tc>
        <w:tc>
          <w:tcPr>
            <w:tcW w:type="dxa" w:w="2126"/>
          </w:tcPr>
          <w:p>
            <w:pPr>
              <w:spacing w:before="40" w:after="40"/>
            </w:pPr>
            <w:r>
              <w:rPr>
                <w:rFonts w:ascii="Calibri" w:hAnsi="Calibri"/>
                <w:b/>
                <w:i w:val="0"/>
                <w:color w:val="333333"/>
                <w:sz w:val="17"/>
              </w:rPr>
              <w:t>Notification d'encaissement de prime</w:t>
            </w:r>
            <w:r>
              <w:rPr>
                <w:rFonts w:ascii="Calibri" w:hAnsi="Calibri"/>
                <w:b w:val="0"/>
                <w:i w:val="0"/>
                <w:color w:val="333333"/>
                <w:sz w:val="17"/>
              </w:rPr>
              <w:t xml:space="preserve"> — numéro de police, montant, date de valeur, numéro de reçu, référence du collecteur, instrument de paiement, clé d'idempotence unique</w:t>
            </w:r>
          </w:p>
        </w:tc>
        <w:tc>
          <w:tcPr>
            <w:tcW w:type="dxa" w:w="2126"/>
          </w:tcPr>
          <w:p>
            <w:pPr>
              <w:spacing w:before="40" w:after="40"/>
            </w:pPr>
            <w:r>
              <w:rPr>
                <w:rFonts w:ascii="Calibri" w:hAnsi="Calibri"/>
                <w:b w:val="0"/>
                <w:i w:val="0"/>
                <w:color w:val="333333"/>
                <w:sz w:val="17"/>
              </w:rPr>
              <w:t>Mise à jour automatique des encaissements (TdR Besoin 4)</w:t>
            </w:r>
          </w:p>
        </w:tc>
        <w:tc>
          <w:tcPr>
            <w:tcW w:type="dxa" w:w="2126"/>
          </w:tcPr>
          <w:p>
            <w:pPr>
              <w:spacing w:before="40" w:after="40"/>
            </w:pPr>
            <w:r>
              <w:rPr>
                <w:rFonts w:ascii="Calibri" w:hAnsi="Calibri"/>
                <w:b w:val="0"/>
                <w:i w:val="0"/>
                <w:color w:val="333333"/>
                <w:sz w:val="17"/>
              </w:rPr>
              <w:t>Quasi temps réel, mise en file</w:t>
            </w:r>
          </w:p>
        </w:tc>
      </w:tr>
      <w:tr>
        <w:tc>
          <w:tcPr>
            <w:tcW w:type="dxa" w:w="907"/>
            <w:shd w:val="clear" w:fill="F2F6FA"/>
          </w:tcPr>
          <w:p>
            <w:pPr>
              <w:spacing w:before="40" w:after="40"/>
            </w:pPr>
            <w:r>
              <w:rPr>
                <w:rFonts w:ascii="Calibri" w:hAnsi="Calibri"/>
                <w:b w:val="0"/>
                <w:i w:val="0"/>
                <w:color w:val="333333"/>
                <w:sz w:val="17"/>
              </w:rPr>
              <w:t>S6</w:t>
            </w:r>
          </w:p>
        </w:tc>
        <w:tc>
          <w:tcPr>
            <w:tcW w:type="dxa" w:w="2126"/>
            <w:shd w:val="clear" w:fill="F2F6FA"/>
          </w:tcPr>
          <w:p>
            <w:pPr>
              <w:spacing w:before="40" w:after="40"/>
            </w:pPr>
            <w:r>
              <w:rPr>
                <w:rFonts w:ascii="Calibri" w:hAnsi="Calibri"/>
                <w:b w:val="0"/>
                <w:i w:val="0"/>
                <w:color w:val="333333"/>
                <w:sz w:val="17"/>
              </w:rPr>
              <w:t>Écriture</w:t>
            </w:r>
          </w:p>
        </w:tc>
        <w:tc>
          <w:tcPr>
            <w:tcW w:type="dxa" w:w="2126"/>
            <w:shd w:val="clear" w:fill="F2F6FA"/>
          </w:tcPr>
          <w:p>
            <w:pPr>
              <w:spacing w:before="40" w:after="40"/>
            </w:pPr>
            <w:r>
              <w:rPr>
                <w:rFonts w:ascii="Calibri" w:hAnsi="Calibri"/>
                <w:b/>
                <w:i w:val="0"/>
                <w:color w:val="333333"/>
                <w:sz w:val="17"/>
              </w:rPr>
              <w:t>Nouvelle souscription / proposition</w:t>
            </w:r>
            <w:r>
              <w:rPr>
                <w:rFonts w:ascii="Calibri" w:hAnsi="Calibri"/>
                <w:b w:val="0"/>
                <w:i w:val="0"/>
                <w:color w:val="333333"/>
                <w:sz w:val="17"/>
              </w:rPr>
              <w:t xml:space="preserve"> — numéro de proposition, produit, identité de l'assuré, première prime, frais de police, documents</w:t>
            </w:r>
          </w:p>
        </w:tc>
        <w:tc>
          <w:tcPr>
            <w:tcW w:type="dxa" w:w="2126"/>
            <w:shd w:val="clear" w:fill="F2F6FA"/>
          </w:tcPr>
          <w:p>
            <w:pPr>
              <w:spacing w:before="40" w:after="40"/>
            </w:pPr>
            <w:r>
              <w:rPr>
                <w:rFonts w:ascii="Calibri" w:hAnsi="Calibri"/>
                <w:b w:val="0"/>
                <w:i w:val="0"/>
                <w:color w:val="333333"/>
                <w:sz w:val="17"/>
              </w:rPr>
              <w:t>Créer le contrat dans SUNULIFE et retourner le numéro de police</w:t>
            </w:r>
          </w:p>
        </w:tc>
        <w:tc>
          <w:tcPr>
            <w:tcW w:type="dxa" w:w="2126"/>
            <w:shd w:val="clear" w:fill="F2F6FA"/>
          </w:tcPr>
          <w:p>
            <w:pPr>
              <w:spacing w:before="40" w:after="40"/>
            </w:pPr>
            <w:r>
              <w:rPr>
                <w:rFonts w:ascii="Calibri" w:hAnsi="Calibri"/>
                <w:b w:val="0"/>
                <w:i w:val="0"/>
                <w:color w:val="333333"/>
                <w:sz w:val="17"/>
              </w:rPr>
              <w:t>À l'acceptation back-office</w:t>
            </w:r>
          </w:p>
        </w:tc>
      </w:tr>
      <w:tr>
        <w:tc>
          <w:tcPr>
            <w:tcW w:type="dxa" w:w="907"/>
          </w:tcPr>
          <w:p>
            <w:pPr>
              <w:spacing w:before="40" w:after="40"/>
            </w:pPr>
            <w:r>
              <w:rPr>
                <w:rFonts w:ascii="Calibri" w:hAnsi="Calibri"/>
                <w:b w:val="0"/>
                <w:i w:val="0"/>
                <w:color w:val="333333"/>
                <w:sz w:val="17"/>
              </w:rPr>
              <w:t>S7</w:t>
            </w:r>
          </w:p>
        </w:tc>
        <w:tc>
          <w:tcPr>
            <w:tcW w:type="dxa" w:w="2126"/>
          </w:tcPr>
          <w:p>
            <w:pPr>
              <w:spacing w:before="40" w:after="40"/>
            </w:pPr>
            <w:r>
              <w:rPr>
                <w:rFonts w:ascii="Calibri" w:hAnsi="Calibri"/>
                <w:b w:val="0"/>
                <w:i w:val="0"/>
                <w:color w:val="333333"/>
                <w:sz w:val="17"/>
              </w:rPr>
              <w:t>Lecture</w:t>
            </w:r>
          </w:p>
        </w:tc>
        <w:tc>
          <w:tcPr>
            <w:tcW w:type="dxa" w:w="2126"/>
          </w:tcPr>
          <w:p>
            <w:pPr>
              <w:spacing w:before="40" w:after="40"/>
            </w:pPr>
            <w:r>
              <w:rPr>
                <w:rFonts w:ascii="Calibri" w:hAnsi="Calibri"/>
                <w:b/>
                <w:i w:val="0"/>
                <w:color w:val="333333"/>
                <w:sz w:val="17"/>
              </w:rPr>
              <w:t>Accusé de réception / statut de comptabilisation</w:t>
            </w:r>
            <w:r>
              <w:rPr>
                <w:rFonts w:ascii="Calibri" w:hAnsi="Calibri"/>
                <w:b w:val="0"/>
                <w:i w:val="0"/>
                <w:color w:val="333333"/>
                <w:sz w:val="17"/>
              </w:rPr>
              <w:t xml:space="preserve"> d'un encaissement transmis</w:t>
            </w:r>
          </w:p>
        </w:tc>
        <w:tc>
          <w:tcPr>
            <w:tcW w:type="dxa" w:w="2126"/>
          </w:tcPr>
          <w:p>
            <w:pPr>
              <w:spacing w:before="40" w:after="40"/>
            </w:pPr>
            <w:r>
              <w:rPr>
                <w:rFonts w:ascii="Calibri" w:hAnsi="Calibri"/>
                <w:b w:val="0"/>
                <w:i w:val="0"/>
                <w:color w:val="333333"/>
                <w:sz w:val="17"/>
              </w:rPr>
              <w:t>Rapprochement ; preuve de la bonne prise en compte</w:t>
            </w:r>
          </w:p>
        </w:tc>
        <w:tc>
          <w:tcPr>
            <w:tcW w:type="dxa" w:w="2126"/>
          </w:tcPr>
          <w:p>
            <w:pPr>
              <w:spacing w:before="40" w:after="40"/>
            </w:pPr>
            <w:r>
              <w:rPr>
                <w:rFonts w:ascii="Calibri" w:hAnsi="Calibri"/>
                <w:b w:val="0"/>
                <w:i w:val="0"/>
                <w:color w:val="333333"/>
                <w:sz w:val="17"/>
              </w:rPr>
              <w:t>Interrogation ou rappel (callback)</w:t>
            </w:r>
          </w:p>
        </w:tc>
      </w:tr>
    </w:tbl>
    <w:p>
      <w:pPr>
        <w:spacing w:after="40"/>
      </w:pPr>
    </w:p>
    <w:p>
      <w:pPr>
        <w:pStyle w:val="Heading2"/>
        <w:spacing w:before="280" w:after="80"/>
        <w:keepNext/>
      </w:pPr>
      <w:bookmarkStart w:id="133" w:name="_Toc_s032"/>
      <w:r>
        <w:rPr>
          <w:rFonts w:ascii="Calibri" w:hAnsi="Calibri"/>
          <w:b/>
          <w:color w:val="1B3A5C"/>
          <w:sz w:val="24"/>
        </w:rPr>
        <w:t>8.3 Modèle de synchronisation</w:t>
      </w:r>
      <w:bookmarkEnd w:id="133"/>
    </w:p>
    <w:p>
      <w:pPr>
        <w:spacing w:before="200" w:after="80"/>
        <w:jc w:val="center"/>
      </w:pPr>
      <w:r>
        <w:drawing>
          <wp:inline xmlns:a="http://schemas.openxmlformats.org/drawingml/2006/main" xmlns:pic="http://schemas.openxmlformats.org/drawingml/2006/picture">
            <wp:extent cx="5903999" cy="4247999"/>
            <wp:docPr id="4" name="Picture 4"/>
            <wp:cNvGraphicFramePr>
              <a:graphicFrameLocks noChangeAspect="1"/>
            </wp:cNvGraphicFramePr>
            <a:graphic>
              <a:graphicData uri="http://schemas.openxmlformats.org/drawingml/2006/picture">
                <pic:pic>
                  <pic:nvPicPr>
                    <pic:cNvPr id="0" name="03-sunulife-integration-fr.png"/>
                    <pic:cNvPicPr/>
                  </pic:nvPicPr>
                  <pic:blipFill>
                    <a:blip r:embed="rId14"/>
                    <a:stretch>
                      <a:fillRect/>
                    </a:stretch>
                  </pic:blipFill>
                  <pic:spPr>
                    <a:xfrm>
                      <a:off x="0" y="0"/>
                      <a:ext cx="5903999" cy="4247999"/>
                    </a:xfrm>
                    <a:prstGeom prst="rect"/>
                  </pic:spPr>
                </pic:pic>
              </a:graphicData>
            </a:graphic>
          </wp:inline>
        </w:drawing>
      </w:r>
    </w:p>
    <w:p>
      <w:pPr>
        <w:spacing w:after="240"/>
        <w:ind w:left="113"/>
        <w:jc w:val="left"/>
        <w:pBdr>
          <w:top w:val="single" w:sz="6" w:space="6" w:color="C9D4E0"/>
        </w:pBdr>
      </w:pPr>
      <w:r>
        <w:rPr>
          <w:rFonts w:ascii="Calibri" w:hAnsi="Calibri"/>
          <w:i/>
          <w:color w:val="666666"/>
          <w:sz w:val="17"/>
        </w:rPr>
        <w:t>Figure 3 — Intégration SUNULIFE et son phasage. La phase 0 porte le pilote de septembre au moyen d'une extraction de fichier et de l'export Excel ; l'API s'insère ensuite derrière le même adaptateur.</w:t>
      </w:r>
    </w:p>
    <w:p>
      <w:r>
        <w:rPr>
          <w:rFonts w:ascii="Calibri" w:hAnsi="Calibri"/>
          <w:b/>
          <w:i w:val="0"/>
          <w:color w:val="333333"/>
          <w:sz w:val="20"/>
        </w:rPr>
        <w:t>Note de réutilisation.</w:t>
      </w:r>
      <w:r>
        <w:rPr>
          <w:rFonts w:ascii="Calibri" w:hAnsi="Calibri"/>
          <w:b w:val="0"/>
          <w:i w:val="0"/>
          <w:color w:val="333333"/>
          <w:sz w:val="20"/>
        </w:rPr>
        <w:t xml:space="preserve"> La plateforme met déjà en œuvre exactement ce schéma d'adaptateur pour les systèmes bancaires centraux : une définition de système externe configurable avec URL de base, stratégie d'authentification (JWT bearer, HTTP basic, OAuth password), identifiants détenus séparément par institution, et </w:t>
      </w:r>
      <w:r>
        <w:rPr>
          <w:rFonts w:ascii="Calibri" w:hAnsi="Calibri"/>
          <w:b/>
          <w:i w:val="0"/>
          <w:color w:val="333333"/>
          <w:sz w:val="20"/>
        </w:rPr>
        <w:t>mapping des champs de requête et de réponse avec transformations</w:t>
      </w:r>
      <w:r>
        <w:rPr>
          <w:rFonts w:ascii="Calibri" w:hAnsi="Calibri"/>
          <w:b w:val="0"/>
          <w:i w:val="0"/>
          <w:color w:val="333333"/>
          <w:sz w:val="20"/>
        </w:rPr>
        <w:t xml:space="preserve">, par type de transaction. SUNULIFE devient un pilote dans ce cadre. C'est pourquoi S1–S7 peuvent être livrés rapidement </w:t>
      </w:r>
      <w:r>
        <w:rPr>
          <w:rFonts w:ascii="Calibri" w:hAnsi="Calibri"/>
          <w:b w:val="0"/>
          <w:i/>
          <w:color w:val="333333"/>
          <w:sz w:val="20"/>
        </w:rPr>
        <w:t>une fois l'API documentée</w:t>
      </w:r>
      <w:r>
        <w:rPr>
          <w:rFonts w:ascii="Calibri" w:hAnsi="Calibri"/>
          <w:b w:val="0"/>
          <w:i w:val="0"/>
          <w:color w:val="333333"/>
          <w:sz w:val="20"/>
        </w:rPr>
        <w:t xml:space="preserve"> — la tuyauterie existe.</w:t>
      </w:r>
    </w:p>
    <w:p>
      <w:r>
        <w:rPr>
          <w:rFonts w:ascii="Calibri" w:hAnsi="Calibri"/>
          <w:b/>
          <w:i w:val="0"/>
          <w:color w:val="333333"/>
          <w:sz w:val="20"/>
        </w:rPr>
        <w:t>Règles de conflit.</w:t>
      </w:r>
    </w:p>
    <w:p>
      <w:pPr>
        <w:spacing w:after="40"/>
        <w:ind w:left="312" w:hanging="198"/>
      </w:pPr>
      <w:r>
        <w:rPr>
          <w:rFonts w:ascii="Calibri" w:hAnsi="Calibri"/>
          <w:b w:val="0"/>
          <w:color w:val="2C5F8A"/>
          <w:sz w:val="20"/>
        </w:rPr>
        <w:t xml:space="preserve">•  </w:t>
      </w:r>
      <w:r>
        <w:rPr>
          <w:rFonts w:ascii="Calibri" w:hAnsi="Calibri"/>
          <w:b w:val="0"/>
          <w:i w:val="0"/>
          <w:color w:val="333333"/>
          <w:sz w:val="20"/>
        </w:rPr>
        <w:t>Un champ client ou police diverge entre le miroir et SUNULIFE → SUNULIFE l'emporte, la valeur précédente est consignée dans la piste d'audit.</w:t>
      </w:r>
    </w:p>
    <w:p>
      <w:pPr>
        <w:spacing w:after="40"/>
        <w:ind w:left="312" w:hanging="198"/>
      </w:pPr>
      <w:r>
        <w:rPr>
          <w:rFonts w:ascii="Calibri" w:hAnsi="Calibri"/>
          <w:b w:val="0"/>
          <w:color w:val="2C5F8A"/>
          <w:sz w:val="20"/>
        </w:rPr>
        <w:t xml:space="preserve">•  </w:t>
      </w:r>
      <w:r>
        <w:rPr>
          <w:rFonts w:ascii="Calibri" w:hAnsi="Calibri"/>
          <w:b w:val="0"/>
          <w:i w:val="0"/>
          <w:color w:val="333333"/>
          <w:sz w:val="20"/>
        </w:rPr>
        <w:t>Un assuré créé localement est ensuite rapproché d'un client SUNULIFE (par CNIB ou téléphone) → les enregistrements sont fusionnés, la référence locale est conservée comme alias, les encaissements sont réaffectés.</w:t>
      </w:r>
    </w:p>
    <w:p>
      <w:pPr>
        <w:spacing w:after="40"/>
        <w:ind w:left="312" w:hanging="198"/>
      </w:pPr>
      <w:r>
        <w:rPr>
          <w:rFonts w:ascii="Calibri" w:hAnsi="Calibri"/>
          <w:b w:val="0"/>
          <w:color w:val="2C5F8A"/>
          <w:sz w:val="20"/>
        </w:rPr>
        <w:t xml:space="preserve">•  </w:t>
      </w:r>
      <w:r>
        <w:rPr>
          <w:rFonts w:ascii="Calibri" w:hAnsi="Calibri"/>
          <w:b w:val="0"/>
          <w:i w:val="0"/>
          <w:color w:val="333333"/>
          <w:sz w:val="20"/>
        </w:rPr>
        <w:t>Un encaissement transmis à SUNULIFE et rejeté → l'encaissement reste valide et rapproché localement, signalé dans une file d'anomalies back-office pour traitement par l'agent back-office. Une somme déjà encaissée n'est jamais annulée par un échec d'intégration.</w:t>
      </w:r>
    </w:p>
    <w:p>
      <w:pPr>
        <w:pStyle w:val="Heading2"/>
        <w:spacing w:before="280" w:after="80"/>
        <w:keepNext/>
      </w:pPr>
      <w:bookmarkStart w:id="134" w:name="_Toc_s033"/>
      <w:r>
        <w:rPr>
          <w:rFonts w:ascii="Calibri" w:hAnsi="Calibri"/>
          <w:b/>
          <w:color w:val="1B3A5C"/>
          <w:sz w:val="24"/>
        </w:rPr>
        <w:t>8.4 Phasage (le chemin pragmatique vers l'échéance de septembre)</w:t>
      </w:r>
      <w:bookmarkEnd w:id="13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Phase</w:t>
            </w:r>
          </w:p>
        </w:tc>
        <w:tc>
          <w:tcPr>
            <w:tcW w:type="dxa" w:w="3249"/>
            <w:shd w:val="clear" w:fill="1B3A5C"/>
          </w:tcPr>
          <w:p>
            <w:pPr>
              <w:spacing w:before="60" w:after="60"/>
            </w:pPr>
            <w:r>
              <w:rPr>
                <w:rFonts w:ascii="Calibri" w:hAnsi="Calibri"/>
                <w:b/>
                <w:color w:val="FFFFFF"/>
                <w:sz w:val="17"/>
              </w:rPr>
              <w:t>Contenu</w:t>
            </w:r>
          </w:p>
        </w:tc>
        <w:tc>
          <w:tcPr>
            <w:tcW w:type="dxa" w:w="3249"/>
            <w:shd w:val="clear" w:fill="1B3A5C"/>
          </w:tcPr>
          <w:p>
            <w:pPr>
              <w:spacing w:before="60" w:after="60"/>
            </w:pPr>
            <w:r>
              <w:rPr>
                <w:rFonts w:ascii="Calibri" w:hAnsi="Calibri"/>
                <w:b/>
                <w:color w:val="FFFFFF"/>
                <w:sz w:val="17"/>
              </w:rPr>
              <w:t>Échéance</w:t>
            </w:r>
          </w:p>
        </w:tc>
      </w:tr>
      <w:tr>
        <w:tc>
          <w:tcPr>
            <w:tcW w:type="dxa" w:w="3249"/>
          </w:tcPr>
          <w:p>
            <w:pPr>
              <w:spacing w:before="40" w:after="40"/>
            </w:pPr>
            <w:r>
              <w:rPr>
                <w:rFonts w:ascii="Calibri" w:hAnsi="Calibri"/>
                <w:b/>
                <w:i w:val="0"/>
                <w:color w:val="333333"/>
                <w:sz w:val="17"/>
              </w:rPr>
              <w:t>Phase 0 — dès maintenant</w:t>
            </w:r>
          </w:p>
        </w:tc>
        <w:tc>
          <w:tcPr>
            <w:tcW w:type="dxa" w:w="3249"/>
          </w:tcPr>
          <w:p>
            <w:pPr>
              <w:spacing w:before="40" w:after="40"/>
            </w:pPr>
            <w:r>
              <w:rPr>
                <w:rFonts w:ascii="Calibri" w:hAnsi="Calibri"/>
                <w:b w:val="0"/>
                <w:i w:val="0"/>
                <w:color w:val="333333"/>
                <w:sz w:val="17"/>
              </w:rPr>
              <w:t xml:space="preserve">Export Excel pour saisie manuelle dans SUNULIFE, exactement comme le prévoit le Besoin 2 du TdR. </w:t>
            </w:r>
            <w:r>
              <w:rPr>
                <w:rFonts w:ascii="Calibri" w:hAnsi="Calibri"/>
                <w:b/>
                <w:i w:val="0"/>
                <w:color w:val="333333"/>
                <w:sz w:val="17"/>
              </w:rPr>
              <w:t>Import en masse ponctuel</w:t>
            </w:r>
            <w:r>
              <w:rPr>
                <w:rFonts w:ascii="Calibri" w:hAnsi="Calibri"/>
                <w:b w:val="0"/>
                <w:i w:val="0"/>
                <w:color w:val="333333"/>
                <w:sz w:val="17"/>
              </w:rPr>
              <w:t xml:space="preserve"> du portefeuille clients et polices existant à partir d'une extraction SUNULIFE (fichier CSV, format décrit au Document 5), afin que les agents de terrain voient immédiatement les clients existants</w:t>
            </w:r>
          </w:p>
        </w:tc>
        <w:tc>
          <w:tcPr>
            <w:tcW w:type="dxa" w:w="3249"/>
          </w:tcPr>
          <w:p>
            <w:pPr>
              <w:spacing w:before="40" w:after="40"/>
            </w:pPr>
            <w:r>
              <w:rPr>
                <w:rFonts w:ascii="Calibri" w:hAnsi="Calibri"/>
                <w:b w:val="0"/>
                <w:i w:val="0"/>
                <w:color w:val="333333"/>
                <w:sz w:val="17"/>
              </w:rPr>
              <w:t>Pilote, septembre 2026</w:t>
            </w:r>
          </w:p>
        </w:tc>
      </w:tr>
      <w:tr>
        <w:tc>
          <w:tcPr>
            <w:tcW w:type="dxa" w:w="3249"/>
            <w:shd w:val="clear" w:fill="F2F6FA"/>
          </w:tcPr>
          <w:p>
            <w:pPr>
              <w:spacing w:before="40" w:after="40"/>
            </w:pPr>
            <w:r>
              <w:rPr>
                <w:rFonts w:ascii="Calibri" w:hAnsi="Calibri"/>
                <w:b/>
                <w:i w:val="0"/>
                <w:color w:val="333333"/>
                <w:sz w:val="17"/>
              </w:rPr>
              <w:t>Phase 1</w:t>
            </w:r>
          </w:p>
        </w:tc>
        <w:tc>
          <w:tcPr>
            <w:tcW w:type="dxa" w:w="3249"/>
            <w:shd w:val="clear" w:fill="F2F6FA"/>
          </w:tcPr>
          <w:p>
            <w:pPr>
              <w:spacing w:before="40" w:after="40"/>
            </w:pPr>
            <w:r>
              <w:rPr>
                <w:rFonts w:ascii="Calibri" w:hAnsi="Calibri"/>
                <w:b w:val="0"/>
                <w:i w:val="0"/>
                <w:color w:val="333333"/>
                <w:sz w:val="17"/>
              </w:rPr>
              <w:t>Intégration en lecture seule : S1, S3 à la demande ; S2, S4 en delta planifié</w:t>
            </w:r>
          </w:p>
        </w:tc>
        <w:tc>
          <w:tcPr>
            <w:tcW w:type="dxa" w:w="3249"/>
            <w:shd w:val="clear" w:fill="F2F6FA"/>
          </w:tcPr>
          <w:p>
            <w:pPr>
              <w:spacing w:before="40" w:after="40"/>
            </w:pPr>
            <w:r>
              <w:rPr>
                <w:rFonts w:ascii="Calibri" w:hAnsi="Calibri"/>
                <w:b w:val="0"/>
                <w:i w:val="0"/>
                <w:color w:val="333333"/>
                <w:sz w:val="17"/>
              </w:rPr>
              <w:t>Production, novembre 2026</w:t>
            </w:r>
          </w:p>
        </w:tc>
      </w:tr>
      <w:tr>
        <w:tc>
          <w:tcPr>
            <w:tcW w:type="dxa" w:w="3249"/>
          </w:tcPr>
          <w:p>
            <w:pPr>
              <w:spacing w:before="40" w:after="40"/>
            </w:pPr>
            <w:r>
              <w:rPr>
                <w:rFonts w:ascii="Calibri" w:hAnsi="Calibri"/>
                <w:b/>
                <w:i w:val="0"/>
                <w:color w:val="333333"/>
                <w:sz w:val="17"/>
              </w:rPr>
              <w:t>Phase 2</w:t>
            </w:r>
          </w:p>
        </w:tc>
        <w:tc>
          <w:tcPr>
            <w:tcW w:type="dxa" w:w="3249"/>
          </w:tcPr>
          <w:p>
            <w:pPr>
              <w:spacing w:before="40" w:after="40"/>
            </w:pPr>
            <w:r>
              <w:rPr>
                <w:rFonts w:ascii="Calibri" w:hAnsi="Calibri"/>
                <w:b w:val="0"/>
                <w:i w:val="0"/>
                <w:color w:val="333333"/>
                <w:sz w:val="17"/>
              </w:rPr>
              <w:t>Intégration en écriture : S5, S6, S7</w:t>
            </w:r>
          </w:p>
        </w:tc>
        <w:tc>
          <w:tcPr>
            <w:tcW w:type="dxa" w:w="3249"/>
          </w:tcPr>
          <w:p>
            <w:pPr>
              <w:spacing w:before="40" w:after="40"/>
            </w:pPr>
            <w:r>
              <w:rPr>
                <w:rFonts w:ascii="Calibri" w:hAnsi="Calibri"/>
                <w:b w:val="0"/>
                <w:i w:val="0"/>
                <w:color w:val="333333"/>
                <w:sz w:val="17"/>
              </w:rPr>
              <w:t>Après lancement, conformément au Besoin 4 du TdR</w:t>
            </w:r>
          </w:p>
        </w:tc>
      </w:tr>
    </w:tbl>
    <w:p>
      <w:pPr>
        <w:spacing w:after="40"/>
      </w:pPr>
    </w:p>
    <w:p>
      <w:r>
        <w:rPr>
          <w:rFonts w:ascii="Calibri" w:hAnsi="Calibri"/>
          <w:b w:val="0"/>
          <w:i w:val="0"/>
          <w:color w:val="333333"/>
          <w:sz w:val="20"/>
        </w:rPr>
        <w:t xml:space="preserve">La phase 0 est déterminante : elle signifie que </w:t>
      </w:r>
      <w:r>
        <w:rPr>
          <w:rFonts w:ascii="Calibri" w:hAnsi="Calibri"/>
          <w:b/>
          <w:i w:val="0"/>
          <w:color w:val="333333"/>
          <w:sz w:val="20"/>
        </w:rPr>
        <w:t>l'exigence de SUNU — que les agents voient les clients existants — est satisfaite dès le pilote même si l'API n'est pas encore disponible</w:t>
      </w:r>
      <w:r>
        <w:rPr>
          <w:rFonts w:ascii="Calibri" w:hAnsi="Calibri"/>
          <w:b w:val="0"/>
          <w:i w:val="0"/>
          <w:color w:val="333333"/>
          <w:sz w:val="20"/>
        </w:rPr>
        <w:t>, au moyen d'une extraction périodique. Cela retire SUNULIFE du chemin critique de l'échéance de septembre tout en honorant l'intention de l'exigence.</w:t>
      </w:r>
    </w:p>
    <w:p>
      <w:pPr>
        <w:pStyle w:val="Heading2"/>
        <w:spacing w:before="280" w:after="80"/>
        <w:keepNext/>
      </w:pPr>
      <w:bookmarkStart w:id="135" w:name="_Toc_s034"/>
      <w:r>
        <w:rPr>
          <w:rFonts w:ascii="Calibri" w:hAnsi="Calibri"/>
          <w:b/>
          <w:color w:val="1B3A5C"/>
          <w:sz w:val="24"/>
        </w:rPr>
        <w:t>8.5 Informations requises de SUNU / de l'éditeur de SUNULIFE</w:t>
      </w:r>
      <w:bookmarkEnd w:id="135"/>
    </w:p>
    <w:p>
      <w:r>
        <w:rPr>
          <w:rFonts w:ascii="Calibri" w:hAnsi="Calibri"/>
          <w:b w:val="0"/>
          <w:i w:val="0"/>
          <w:color w:val="333333"/>
          <w:sz w:val="20"/>
        </w:rPr>
        <w:t>Voici le questionnaire à renseigner avant ou lors de la réunion du 1er octobre 2026. Chaque ligne sans réponse constitue un risque de planning.</w:t>
      </w:r>
    </w:p>
    <w:p>
      <w:r>
        <w:rPr>
          <w:rFonts w:ascii="Calibri" w:hAnsi="Calibri"/>
          <w:b/>
          <w:i w:val="0"/>
          <w:color w:val="333333"/>
          <w:sz w:val="20"/>
        </w:rPr>
        <w:t>Technique</w:t>
      </w:r>
    </w:p>
    <w:p>
      <w:pPr>
        <w:spacing w:after="40"/>
        <w:ind w:left="312" w:hanging="198"/>
      </w:pPr>
      <w:r>
        <w:rPr>
          <w:rFonts w:ascii="Calibri" w:hAnsi="Calibri"/>
          <w:b/>
          <w:color w:val="2C5F8A"/>
          <w:sz w:val="20"/>
        </w:rPr>
        <w:t xml:space="preserve">1.  </w:t>
      </w:r>
      <w:r>
        <w:rPr>
          <w:rFonts w:ascii="Calibri" w:hAnsi="Calibri"/>
          <w:b w:val="0"/>
          <w:i w:val="0"/>
          <w:color w:val="333333"/>
          <w:sz w:val="20"/>
        </w:rPr>
        <w:t>SUNULIFE expose-t-il une API aujourd'hui ? REST/JSON, SOAP/XML, ou uniquement base de données / fichiers ?</w:t>
      </w:r>
    </w:p>
    <w:p>
      <w:pPr>
        <w:spacing w:after="40"/>
        <w:ind w:left="312" w:hanging="198"/>
      </w:pPr>
      <w:r>
        <w:rPr>
          <w:rFonts w:ascii="Calibri" w:hAnsi="Calibri"/>
          <w:b/>
          <w:color w:val="2C5F8A"/>
          <w:sz w:val="20"/>
        </w:rPr>
        <w:t xml:space="preserve">2.  </w:t>
      </w:r>
      <w:r>
        <w:rPr>
          <w:rFonts w:ascii="Calibri" w:hAnsi="Calibri"/>
          <w:b w:val="0"/>
          <w:i w:val="0"/>
          <w:color w:val="333333"/>
          <w:sz w:val="20"/>
        </w:rPr>
        <w:t>Existe-t-il une documentation d'API, un fichier WSDL/OpenAPI, ou une collection Postman ?</w:t>
      </w:r>
    </w:p>
    <w:p>
      <w:pPr>
        <w:spacing w:after="40"/>
        <w:ind w:left="312" w:hanging="198"/>
      </w:pPr>
      <w:r>
        <w:rPr>
          <w:rFonts w:ascii="Calibri" w:hAnsi="Calibri"/>
          <w:b/>
          <w:color w:val="2C5F8A"/>
          <w:sz w:val="20"/>
        </w:rPr>
        <w:t xml:space="preserve">3.  </w:t>
      </w:r>
      <w:r>
        <w:rPr>
          <w:rFonts w:ascii="Calibri" w:hAnsi="Calibri"/>
          <w:b w:val="0"/>
          <w:i w:val="0"/>
          <w:color w:val="333333"/>
          <w:sz w:val="20"/>
        </w:rPr>
        <w:t>Quelle authentification est utilisée — clé d'API, OAuth 2.0, JWT, TLS mutuel, liste d'IP autorisées ?</w:t>
      </w:r>
    </w:p>
    <w:p>
      <w:pPr>
        <w:spacing w:after="40"/>
        <w:ind w:left="312" w:hanging="198"/>
      </w:pPr>
      <w:r>
        <w:rPr>
          <w:rFonts w:ascii="Calibri" w:hAnsi="Calibri"/>
          <w:b/>
          <w:color w:val="2C5F8A"/>
          <w:sz w:val="20"/>
        </w:rPr>
        <w:t xml:space="preserve">4.  </w:t>
      </w:r>
      <w:r>
        <w:rPr>
          <w:rFonts w:ascii="Calibri" w:hAnsi="Calibri"/>
          <w:b w:val="0"/>
          <w:i w:val="0"/>
          <w:color w:val="333333"/>
          <w:sz w:val="20"/>
        </w:rPr>
        <w:t>SUNULIFE est-il hébergé chez SUNU, au niveau du groupe SUNU, ou chez l'éditeur ? Dans quel pays ?</w:t>
      </w:r>
    </w:p>
    <w:p>
      <w:pPr>
        <w:spacing w:after="40"/>
        <w:ind w:left="312" w:hanging="198"/>
      </w:pPr>
      <w:r>
        <w:rPr>
          <w:rFonts w:ascii="Calibri" w:hAnsi="Calibri"/>
          <w:b/>
          <w:color w:val="2C5F8A"/>
          <w:sz w:val="20"/>
        </w:rPr>
        <w:t xml:space="preserve">5.  </w:t>
      </w:r>
      <w:r>
        <w:rPr>
          <w:rFonts w:ascii="Calibri" w:hAnsi="Calibri"/>
          <w:b w:val="0"/>
          <w:i w:val="0"/>
          <w:color w:val="333333"/>
          <w:sz w:val="20"/>
        </w:rPr>
        <w:t>Est-il joignable depuis notre environnement d'hébergement, ou un VPN / lien privé est-il requis ?</w:t>
      </w:r>
    </w:p>
    <w:p>
      <w:pPr>
        <w:spacing w:after="40"/>
        <w:ind w:left="312" w:hanging="198"/>
      </w:pPr>
      <w:r>
        <w:rPr>
          <w:rFonts w:ascii="Calibri" w:hAnsi="Calibri"/>
          <w:b/>
          <w:color w:val="2C5F8A"/>
          <w:sz w:val="20"/>
        </w:rPr>
        <w:t xml:space="preserve">6.  </w:t>
      </w:r>
      <w:r>
        <w:rPr>
          <w:rFonts w:ascii="Calibri" w:hAnsi="Calibri"/>
          <w:b w:val="0"/>
          <w:i w:val="0"/>
          <w:color w:val="333333"/>
          <w:sz w:val="20"/>
        </w:rPr>
        <w:t>Existe-t-il des limitations de débit ou des fenêtres de maintenance ?</w:t>
      </w:r>
    </w:p>
    <w:p>
      <w:pPr>
        <w:spacing w:after="40"/>
        <w:ind w:left="312" w:hanging="198"/>
      </w:pPr>
      <w:r>
        <w:rPr>
          <w:rFonts w:ascii="Calibri" w:hAnsi="Calibri"/>
          <w:b/>
          <w:color w:val="2C5F8A"/>
          <w:sz w:val="20"/>
        </w:rPr>
        <w:t xml:space="preserve">7.  </w:t>
      </w:r>
      <w:r>
        <w:rPr>
          <w:rFonts w:ascii="Calibri" w:hAnsi="Calibri"/>
          <w:b w:val="0"/>
          <w:i w:val="0"/>
          <w:color w:val="333333"/>
          <w:sz w:val="20"/>
        </w:rPr>
        <w:t>Existe-t-il une instance de test/recette, et quand l'accès peut-il être ouvert ?</w:t>
      </w:r>
    </w:p>
    <w:p>
      <w:r>
        <w:rPr>
          <w:rFonts w:ascii="Calibri" w:hAnsi="Calibri"/>
          <w:b/>
          <w:i w:val="0"/>
          <w:color w:val="333333"/>
          <w:sz w:val="20"/>
        </w:rPr>
        <w:t>Fonctionnel</w:t>
      </w:r>
    </w:p>
    <w:p>
      <w:pPr>
        <w:spacing w:after="40"/>
        <w:ind w:left="312" w:hanging="198"/>
      </w:pPr>
      <w:r>
        <w:rPr>
          <w:rFonts w:ascii="Calibri" w:hAnsi="Calibri"/>
          <w:b/>
          <w:color w:val="2C5F8A"/>
          <w:sz w:val="20"/>
        </w:rPr>
        <w:t xml:space="preserve">1.  </w:t>
      </w:r>
      <w:r>
        <w:rPr>
          <w:rFonts w:ascii="Calibri" w:hAnsi="Calibri"/>
          <w:b w:val="0"/>
          <w:i w:val="0"/>
          <w:color w:val="333333"/>
          <w:sz w:val="20"/>
        </w:rPr>
        <w:t>Qu'est-ce qui identifie de façon unique un client dans SUNULIFE — numéro client, CNIB, ou une combinaison ?</w:t>
      </w:r>
    </w:p>
    <w:p>
      <w:pPr>
        <w:spacing w:after="40"/>
        <w:ind w:left="312" w:hanging="198"/>
      </w:pPr>
      <w:r>
        <w:rPr>
          <w:rFonts w:ascii="Calibri" w:hAnsi="Calibri"/>
          <w:b/>
          <w:color w:val="2C5F8A"/>
          <w:sz w:val="20"/>
        </w:rPr>
        <w:t xml:space="preserve">2.  </w:t>
      </w:r>
      <w:r>
        <w:rPr>
          <w:rFonts w:ascii="Calibri" w:hAnsi="Calibri"/>
          <w:b w:val="0"/>
          <w:i w:val="0"/>
          <w:color w:val="333333"/>
          <w:sz w:val="20"/>
        </w:rPr>
        <w:t>Quel est le vocabulaire exact des statuts de police (active, en déchéance, suspendue, résiliée…) ?</w:t>
      </w:r>
    </w:p>
    <w:p>
      <w:pPr>
        <w:spacing w:after="40"/>
        <w:ind w:left="312" w:hanging="198"/>
      </w:pPr>
      <w:r>
        <w:rPr>
          <w:rFonts w:ascii="Calibri" w:hAnsi="Calibri"/>
          <w:b/>
          <w:color w:val="2C5F8A"/>
          <w:sz w:val="20"/>
        </w:rPr>
        <w:t xml:space="preserve">3.  </w:t>
      </w:r>
      <w:r>
        <w:rPr>
          <w:rFonts w:ascii="Calibri" w:hAnsi="Calibri"/>
          <w:b w:val="0"/>
          <w:i w:val="0"/>
          <w:color w:val="333333"/>
          <w:sz w:val="20"/>
        </w:rPr>
        <w:t>Quels sont les codes produits de Micro-Quiétude et de Micro Épargne Retraite ?</w:t>
      </w:r>
    </w:p>
    <w:p>
      <w:pPr>
        <w:spacing w:after="40"/>
        <w:ind w:left="312" w:hanging="198"/>
      </w:pPr>
      <w:r>
        <w:rPr>
          <w:rFonts w:ascii="Calibri" w:hAnsi="Calibri"/>
          <w:b/>
          <w:color w:val="2C5F8A"/>
          <w:sz w:val="20"/>
        </w:rPr>
        <w:t xml:space="preserve">4.  </w:t>
      </w:r>
      <w:r>
        <w:rPr>
          <w:rFonts w:ascii="Calibri" w:hAnsi="Calibri"/>
          <w:b w:val="0"/>
          <w:i w:val="0"/>
          <w:color w:val="333333"/>
          <w:sz w:val="20"/>
        </w:rPr>
        <w:t>Pour un paiement de prime, quels champs SUNULIFE exige-t-il pour comptabiliser correctement un reçu ?</w:t>
      </w:r>
    </w:p>
    <w:p>
      <w:pPr>
        <w:spacing w:after="40"/>
        <w:ind w:left="312" w:hanging="198"/>
      </w:pPr>
      <w:r>
        <w:rPr>
          <w:rFonts w:ascii="Calibri" w:hAnsi="Calibri"/>
          <w:b/>
          <w:color w:val="2C5F8A"/>
          <w:sz w:val="20"/>
        </w:rPr>
        <w:t xml:space="preserve">5.  </w:t>
      </w:r>
      <w:r>
        <w:rPr>
          <w:rFonts w:ascii="Calibri" w:hAnsi="Calibri"/>
          <w:b w:val="0"/>
          <w:i w:val="0"/>
          <w:color w:val="333333"/>
          <w:sz w:val="20"/>
        </w:rPr>
        <w:t>SUNULIFE renvoie-t-il une confirmation de comptabilisation ou une référence de reçu que nous puissions conserver ?</w:t>
      </w:r>
    </w:p>
    <w:p>
      <w:pPr>
        <w:spacing w:after="40"/>
        <w:ind w:left="312" w:hanging="198"/>
      </w:pPr>
      <w:r>
        <w:rPr>
          <w:rFonts w:ascii="Calibri" w:hAnsi="Calibri"/>
          <w:b/>
          <w:color w:val="2C5F8A"/>
          <w:sz w:val="20"/>
        </w:rPr>
        <w:t xml:space="preserve">6.  </w:t>
      </w:r>
      <w:r>
        <w:rPr>
          <w:rFonts w:ascii="Calibri" w:hAnsi="Calibri"/>
          <w:b w:val="0"/>
          <w:i w:val="0"/>
          <w:color w:val="333333"/>
          <w:sz w:val="20"/>
        </w:rPr>
        <w:t>Volumes approximatifs : nombre de clients, nombre de polices actives, encaissements quotidiens attendus ?</w:t>
      </w:r>
    </w:p>
    <w:p>
      <w:r>
        <w:rPr>
          <w:rFonts w:ascii="Calibri" w:hAnsi="Calibri"/>
          <w:b/>
          <w:i w:val="0"/>
          <w:color w:val="333333"/>
          <w:sz w:val="20"/>
        </w:rPr>
        <w:t>Organisationnel</w:t>
      </w:r>
    </w:p>
    <w:p>
      <w:pPr>
        <w:spacing w:after="40"/>
        <w:ind w:left="312" w:hanging="198"/>
      </w:pPr>
      <w:r>
        <w:rPr>
          <w:rFonts w:ascii="Calibri" w:hAnsi="Calibri"/>
          <w:b/>
          <w:color w:val="2C5F8A"/>
          <w:sz w:val="20"/>
        </w:rPr>
        <w:t xml:space="preserve">1.  </w:t>
      </w:r>
      <w:r>
        <w:rPr>
          <w:rFonts w:ascii="Calibri" w:hAnsi="Calibri"/>
          <w:b w:val="0"/>
          <w:i w:val="0"/>
          <w:color w:val="333333"/>
          <w:sz w:val="20"/>
        </w:rPr>
        <w:t>Qui est le contact technique SUNULIFE (éditeur ou équipe interne) ?</w:t>
      </w:r>
    </w:p>
    <w:p>
      <w:pPr>
        <w:spacing w:after="40"/>
        <w:ind w:left="312" w:hanging="198"/>
      </w:pPr>
      <w:r>
        <w:rPr>
          <w:rFonts w:ascii="Calibri" w:hAnsi="Calibri"/>
          <w:b/>
          <w:color w:val="2C5F8A"/>
          <w:sz w:val="20"/>
        </w:rPr>
        <w:t xml:space="preserve">2.  </w:t>
      </w:r>
      <w:r>
        <w:rPr>
          <w:rFonts w:ascii="Calibri" w:hAnsi="Calibri"/>
          <w:b w:val="0"/>
          <w:i w:val="0"/>
          <w:color w:val="333333"/>
          <w:sz w:val="20"/>
        </w:rPr>
        <w:t>Une demande de changement ou une autorisation contractuelle est-elle nécessaire auprès de l'éditeur pour ouvrir l'API, et quel en est le délai ?</w:t>
      </w:r>
    </w:p>
    <w:p>
      <w:pPr>
        <w:spacing w:after="40"/>
        <w:ind w:left="312" w:hanging="198"/>
      </w:pPr>
      <w:r>
        <w:rPr>
          <w:rFonts w:ascii="Calibri" w:hAnsi="Calibri"/>
          <w:b/>
          <w:color w:val="2C5F8A"/>
          <w:sz w:val="20"/>
        </w:rPr>
        <w:t xml:space="preserve">3.  </w:t>
      </w:r>
      <w:r>
        <w:rPr>
          <w:rFonts w:ascii="Calibri" w:hAnsi="Calibri"/>
          <w:b w:val="0"/>
          <w:i w:val="0"/>
          <w:color w:val="333333"/>
          <w:sz w:val="20"/>
        </w:rPr>
        <w:t>Qui valide le mapping des données côté SUNU ?</w:t>
      </w:r>
    </w:p>
    <w:p>
      <w:r>
        <w:rPr>
          <w:rFonts w:ascii="Calibri" w:hAnsi="Calibri"/>
          <w:b/>
          <w:i w:val="0"/>
          <w:color w:val="333333"/>
          <w:sz w:val="20"/>
        </w:rPr>
        <w:t>Si la réponse à la question 1 est « aucune API n'existe » :</w:t>
      </w:r>
      <w:r>
        <w:rPr>
          <w:rFonts w:ascii="Calibri" w:hAnsi="Calibri"/>
          <w:b w:val="0"/>
          <w:i w:val="0"/>
          <w:color w:val="333333"/>
          <w:sz w:val="20"/>
        </w:rPr>
        <w:t xml:space="preserve"> l'architecture bascule sur un </w:t>
      </w:r>
      <w:r>
        <w:rPr>
          <w:rFonts w:ascii="Calibri" w:hAnsi="Calibri"/>
          <w:b/>
          <w:i w:val="0"/>
          <w:color w:val="333333"/>
          <w:sz w:val="20"/>
        </w:rPr>
        <w:t>échange de fichiers documenté</w:t>
      </w:r>
      <w:r>
        <w:rPr>
          <w:rFonts w:ascii="Calibri" w:hAnsi="Calibri"/>
          <w:b w:val="0"/>
          <w:i w:val="0"/>
          <w:color w:val="333333"/>
          <w:sz w:val="20"/>
        </w:rPr>
        <w:t xml:space="preserve"> — dépôt sécurisé planifié (SFTP) des extractions en entrée et des fichiers d'encaissement en sortie, dans un format convenu avec SUNU. Ce mode est pleinement pris en charge et ne modifie aucune autre partie de la conception ; seul l'adaptateur change.</w:t>
      </w:r>
    </w:p>
    <w:p>
      <w:pPr>
        <w:pStyle w:val="Heading1"/>
        <w:pageBreakBefore/>
        <w:spacing w:before="360" w:after="80"/>
        <w:keepNext/>
        <w:pBdr>
          <w:bottom w:val="single" w:sz="8" w:space="6" w:color="1B3A5C"/>
        </w:pBdr>
      </w:pPr>
      <w:bookmarkStart w:id="136" w:name="_Toc_s035"/>
      <w:r>
        <w:rPr>
          <w:rFonts w:ascii="Calibri" w:hAnsi="Calibri"/>
          <w:b/>
          <w:color w:val="1B3A5C"/>
          <w:sz w:val="30"/>
        </w:rPr>
        <w:t>9. Architecture Mobile Money (courriel §4)</w:t>
      </w:r>
      <w:bookmarkEnd w:id="136"/>
    </w:p>
    <w:p>
      <w:pPr>
        <w:pStyle w:val="Heading2"/>
        <w:spacing w:before="280" w:after="80"/>
        <w:keepNext/>
      </w:pPr>
      <w:bookmarkStart w:id="137" w:name="_Toc_s036"/>
      <w:r>
        <w:rPr>
          <w:rFonts w:ascii="Calibri" w:hAnsi="Calibri"/>
          <w:b/>
          <w:color w:val="1B3A5C"/>
          <w:sz w:val="24"/>
        </w:rPr>
        <w:t>9.1 Conception indépendante de l'opérateur</w:t>
      </w:r>
      <w:bookmarkEnd w:id="137"/>
    </w:p>
    <w:p>
      <w:r>
        <w:rPr>
          <w:rFonts w:ascii="Calibri" w:hAnsi="Calibri"/>
          <w:b w:val="0"/>
          <w:i w:val="0"/>
          <w:color w:val="333333"/>
          <w:sz w:val="20"/>
        </w:rPr>
        <w:t>La solution ne code en dur aucun opérateur Mobile Money. Une interface interne unique est mise en œuvre par un adaptateur par opérateur :</w:t>
      </w:r>
    </w:p>
    <w:p>
      <w:pPr>
        <w:spacing w:before="120" w:after="160" w:line="240" w:lineRule="auto"/>
        <w:ind w:left="113"/>
        <w:shd w:val="clear" w:fill="F4F5F2"/>
        <w:pBdr>
          <w:left w:val="single" w:sz="12" w:space="6" w:color="1B3A5C"/>
        </w:pBdr>
      </w:pPr>
      <w:r>
        <w:rPr>
          <w:rFonts w:ascii="Consolas" w:hAnsi="Consolas" w:cs="Consolas"/>
          <w:color w:val="333333"/>
          <w:sz w:val="15"/>
        </w:rPr>
        <w:t xml:space="preserve">   TPE  ──►  BACK-OFFICE  ──►  PaymentGateway (interface)</w:t>
        <w:br/>
      </w:r>
      <w:r>
        <w:rPr>
          <w:rFonts w:ascii="Consolas" w:hAnsi="Consolas" w:cs="Consolas"/>
          <w:color w:val="333333"/>
          <w:sz w:val="15"/>
        </w:rPr>
        <w:t xml:space="preserve">                                    │</w:t>
        <w:br/>
      </w:r>
      <w:r>
        <w:rPr>
          <w:rFonts w:ascii="Consolas" w:hAnsi="Consolas" w:cs="Consolas"/>
          <w:color w:val="333333"/>
          <w:sz w:val="15"/>
        </w:rPr>
        <w:t xml:space="preserve">              ┌─────────────────────┼─────────────────────┐</w:t>
        <w:br/>
      </w:r>
      <w:r>
        <w:rPr>
          <w:rFonts w:ascii="Consolas" w:hAnsi="Consolas" w:cs="Consolas"/>
          <w:color w:val="333333"/>
          <w:sz w:val="15"/>
        </w:rPr>
        <w:t xml:space="preserve">              ▼                     ▼                     ▼</w:t>
        <w:br/>
      </w:r>
      <w:r>
        <w:rPr>
          <w:rFonts w:ascii="Consolas" w:hAnsi="Consolas" w:cs="Consolas"/>
          <w:color w:val="333333"/>
          <w:sz w:val="15"/>
        </w:rPr>
        <w:t xml:space="preserve">       OrangeMoneyAdapter    MoovMoneyAdapter     AggregatorAdapter</w:t>
        <w:br/>
      </w:r>
      <w:r>
        <w:rPr>
          <w:rFonts w:ascii="Consolas" w:hAnsi="Consolas" w:cs="Consolas"/>
          <w:color w:val="333333"/>
          <w:sz w:val="15"/>
        </w:rPr>
        <w:t xml:space="preserve">                                                  (un seul contrat,</w:t>
        <w:br/>
      </w:r>
      <w:r>
        <w:rPr>
          <w:rFonts w:ascii="Consolas" w:hAnsi="Consolas" w:cs="Consolas"/>
          <w:color w:val="333333"/>
          <w:sz w:val="15"/>
        </w:rPr>
        <w:t xml:space="preserve">                                                   les deux opérateurs)</w:t>
      </w:r>
    </w:p>
    <w:p>
      <w:r>
        <w:rPr>
          <w:rFonts w:ascii="Calibri" w:hAnsi="Calibri"/>
          <w:b w:val="0"/>
          <w:i w:val="0"/>
          <w:color w:val="333333"/>
          <w:sz w:val="20"/>
        </w:rPr>
        <w:t xml:space="preserve">Opérations : </w:t>
      </w:r>
      <w:r>
        <w:rPr>
          <w:rFonts w:ascii="Consolas" w:hAnsi="Consolas"/>
          <w:b w:val="0"/>
          <w:i w:val="0"/>
          <w:color w:val="1B3A5C"/>
          <w:sz w:val="19"/>
        </w:rPr>
        <w:t>initiateCollection</w:t>
      </w:r>
      <w:r>
        <w:rPr>
          <w:rFonts w:ascii="Calibri" w:hAnsi="Calibri"/>
          <w:b w:val="0"/>
          <w:i w:val="0"/>
          <w:color w:val="333333"/>
          <w:sz w:val="20"/>
        </w:rPr>
        <w:t xml:space="preserve">, </w:t>
      </w:r>
      <w:r>
        <w:rPr>
          <w:rFonts w:ascii="Consolas" w:hAnsi="Consolas"/>
          <w:b w:val="0"/>
          <w:i w:val="0"/>
          <w:color w:val="1B3A5C"/>
          <w:sz w:val="19"/>
        </w:rPr>
        <w:t>checkStatus</w:t>
      </w:r>
      <w:r>
        <w:rPr>
          <w:rFonts w:ascii="Calibri" w:hAnsi="Calibri"/>
          <w:b w:val="0"/>
          <w:i w:val="0"/>
          <w:color w:val="333333"/>
          <w:sz w:val="20"/>
        </w:rPr>
        <w:t xml:space="preserve">, </w:t>
      </w:r>
      <w:r>
        <w:rPr>
          <w:rFonts w:ascii="Consolas" w:hAnsi="Consolas"/>
          <w:b w:val="0"/>
          <w:i w:val="0"/>
          <w:color w:val="1B3A5C"/>
          <w:sz w:val="19"/>
        </w:rPr>
        <w:t>handleCallback</w:t>
      </w:r>
      <w:r>
        <w:rPr>
          <w:rFonts w:ascii="Calibri" w:hAnsi="Calibri"/>
          <w:b w:val="0"/>
          <w:i w:val="0"/>
          <w:color w:val="333333"/>
          <w:sz w:val="20"/>
        </w:rPr>
        <w:t xml:space="preserve">, </w:t>
      </w:r>
      <w:r>
        <w:rPr>
          <w:rFonts w:ascii="Consolas" w:hAnsi="Consolas"/>
          <w:b w:val="0"/>
          <w:i w:val="0"/>
          <w:color w:val="1B3A5C"/>
          <w:sz w:val="19"/>
        </w:rPr>
        <w:t>reconcile</w:t>
      </w:r>
      <w:r>
        <w:rPr>
          <w:rFonts w:ascii="Calibri" w:hAnsi="Calibri"/>
          <w:b w:val="0"/>
          <w:i w:val="0"/>
          <w:color w:val="333333"/>
          <w:sz w:val="20"/>
        </w:rPr>
        <w:t xml:space="preserve">, </w:t>
      </w:r>
      <w:r>
        <w:rPr>
          <w:rFonts w:ascii="Consolas" w:hAnsi="Consolas"/>
          <w:b w:val="0"/>
          <w:i w:val="0"/>
          <w:color w:val="1B3A5C"/>
          <w:sz w:val="19"/>
        </w:rPr>
        <w:t>refund</w:t>
      </w:r>
      <w:r>
        <w:rPr>
          <w:rFonts w:ascii="Calibri" w:hAnsi="Calibri"/>
          <w:b w:val="0"/>
          <w:i w:val="0"/>
          <w:color w:val="333333"/>
          <w:sz w:val="20"/>
        </w:rPr>
        <w:t xml:space="preserve"> (lorsque l'opérateur le permet).</w:t>
      </w:r>
    </w:p>
    <w:p>
      <w:pPr>
        <w:pStyle w:val="Heading2"/>
        <w:spacing w:before="280" w:after="80"/>
        <w:keepNext/>
      </w:pPr>
      <w:bookmarkStart w:id="138" w:name="_Toc_s037"/>
      <w:r>
        <w:rPr>
          <w:rFonts w:ascii="Calibri" w:hAnsi="Calibri"/>
          <w:b/>
          <w:color w:val="1B3A5C"/>
          <w:sz w:val="24"/>
        </w:rPr>
        <w:t>9.2 Flux d'encaissement</w:t>
      </w:r>
      <w:bookmarkEnd w:id="138"/>
    </w:p>
    <w:p>
      <w:pPr>
        <w:spacing w:before="120" w:after="160" w:line="240" w:lineRule="auto"/>
        <w:ind w:left="113"/>
        <w:shd w:val="clear" w:fill="F4F5F2"/>
        <w:pBdr>
          <w:left w:val="single" w:sz="12" w:space="6" w:color="1B3A5C"/>
        </w:pBdr>
      </w:pPr>
      <w:r>
        <w:rPr>
          <w:rFonts w:ascii="Consolas" w:hAnsi="Consolas" w:cs="Consolas"/>
          <w:color w:val="333333"/>
          <w:sz w:val="15"/>
        </w:rPr>
        <w:t>Le collecteur choisit « Mobile Money » → saisit le numéro (MSISDN) de l'assuré</w:t>
        <w:br/>
      </w:r>
      <w:r>
        <w:rPr>
          <w:rFonts w:ascii="Consolas" w:hAnsi="Consolas" w:cs="Consolas"/>
          <w:color w:val="333333"/>
          <w:sz w:val="15"/>
        </w:rPr>
        <w:t xml:space="preserve">   │</w:t>
        <w:br/>
      </w:r>
      <w:r>
        <w:rPr>
          <w:rFonts w:ascii="Consolas" w:hAnsi="Consolas" w:cs="Consolas"/>
          <w:color w:val="333333"/>
          <w:sz w:val="15"/>
        </w:rPr>
        <w:t xml:space="preserve">   ├─► le back-office crée momo_payment (statut : initié) + clé d'idempotence</w:t>
        <w:br/>
      </w:r>
      <w:r>
        <w:rPr>
          <w:rFonts w:ascii="Consolas" w:hAnsi="Consolas" w:cs="Consolas"/>
          <w:color w:val="333333"/>
          <w:sz w:val="15"/>
        </w:rPr>
        <w:t xml:space="preserve">   ├─► l'adaptateur appelle l'API d'encaissement de l'opérateur</w:t>
        <w:br/>
      </w:r>
      <w:r>
        <w:rPr>
          <w:rFonts w:ascii="Consolas" w:hAnsi="Consolas" w:cs="Consolas"/>
          <w:color w:val="333333"/>
          <w:sz w:val="15"/>
        </w:rPr>
        <w:t xml:space="preserve">   │</w:t>
        <w:br/>
      </w:r>
      <w:r>
        <w:rPr>
          <w:rFonts w:ascii="Consolas" w:hAnsi="Consolas" w:cs="Consolas"/>
          <w:color w:val="333333"/>
          <w:sz w:val="15"/>
        </w:rPr>
        <w:t xml:space="preserve">   ├─► l'assuré reçoit une invite USSD/push et saisit son code sur SON propre téléphone</w:t>
        <w:br/>
      </w:r>
      <w:r>
        <w:rPr>
          <w:rFonts w:ascii="Consolas" w:hAnsi="Consolas" w:cs="Consolas"/>
          <w:color w:val="333333"/>
          <w:sz w:val="15"/>
        </w:rPr>
        <w:t xml:space="preserve">   │</w:t>
        <w:br/>
      </w:r>
      <w:r>
        <w:rPr>
          <w:rFonts w:ascii="Consolas" w:hAnsi="Consolas" w:cs="Consolas"/>
          <w:color w:val="333333"/>
          <w:sz w:val="15"/>
        </w:rPr>
        <w:t xml:space="preserve">   ├─► rappel de l'opérateur ──► back-office (signature vérifiée, IP source contrôlée)</w:t>
        <w:br/>
      </w:r>
      <w:r>
        <w:rPr>
          <w:rFonts w:ascii="Consolas" w:hAnsi="Consolas" w:cs="Consolas"/>
          <w:color w:val="333333"/>
          <w:sz w:val="15"/>
        </w:rPr>
        <w:t xml:space="preserve">   │       OU interrogation du statut si aucun rappel n'est disponible</w:t>
        <w:br/>
      </w:r>
      <w:r>
        <w:rPr>
          <w:rFonts w:ascii="Consolas" w:hAnsi="Consolas" w:cs="Consolas"/>
          <w:color w:val="333333"/>
          <w:sz w:val="15"/>
        </w:rPr>
        <w:t xml:space="preserve">   │</w:t>
        <w:br/>
      </w:r>
      <w:r>
        <w:rPr>
          <w:rFonts w:ascii="Consolas" w:hAnsi="Consolas" w:cs="Consolas"/>
          <w:color w:val="333333"/>
          <w:sz w:val="15"/>
        </w:rPr>
        <w:t xml:space="preserve">   ├─ SUCCÈS  → premium_collection + transaction créés, reçu imprimé,</w:t>
        <w:br/>
      </w:r>
      <w:r>
        <w:rPr>
          <w:rFonts w:ascii="Consolas" w:hAnsi="Consolas" w:cs="Consolas"/>
          <w:color w:val="333333"/>
          <w:sz w:val="15"/>
        </w:rPr>
        <w:t xml:space="preserve">   │            solde du collecteur NON augmenté (l'argent va à SUNU, pas au collecteur)</w:t>
        <w:br/>
      </w:r>
      <w:r>
        <w:rPr>
          <w:rFonts w:ascii="Consolas" w:hAnsi="Consolas" w:cs="Consolas"/>
          <w:color w:val="333333"/>
          <w:sz w:val="15"/>
        </w:rPr>
        <w:t xml:space="preserve">   ├─ ÉCHEC   → rien de financier enregistré, le collecteur peut réessayer ou prendre les espèces</w:t>
        <w:br/>
      </w:r>
      <w:r>
        <w:rPr>
          <w:rFonts w:ascii="Consolas" w:hAnsi="Consolas" w:cs="Consolas"/>
          <w:color w:val="333333"/>
          <w:sz w:val="15"/>
        </w:rPr>
        <w:t xml:space="preserve">   └─ DÉLAI   → paiement laissé « en attente », résolu par le traitement de rapprochement ;</w:t>
        <w:br/>
      </w:r>
      <w:r>
        <w:rPr>
          <w:rFonts w:ascii="Consolas" w:hAnsi="Consolas" w:cs="Consolas"/>
          <w:color w:val="333333"/>
          <w:sz w:val="15"/>
        </w:rPr>
        <w:t xml:space="preserve">                le reçu n'est imprimé qu'après confirmation</w:t>
      </w:r>
    </w:p>
    <w:p>
      <w:r>
        <w:rPr>
          <w:rFonts w:ascii="Calibri" w:hAnsi="Calibri"/>
          <w:b/>
          <w:i w:val="0"/>
          <w:color w:val="333333"/>
          <w:sz w:val="20"/>
        </w:rPr>
        <w:t>Point de conception qui compte au quotidien :</w:t>
      </w:r>
      <w:r>
        <w:rPr>
          <w:rFonts w:ascii="Calibri" w:hAnsi="Calibri"/>
          <w:b w:val="0"/>
          <w:i w:val="0"/>
          <w:color w:val="333333"/>
          <w:sz w:val="20"/>
        </w:rPr>
        <w:t xml:space="preserve"> une prime Mobile Money </w:t>
      </w:r>
      <w:r>
        <w:rPr>
          <w:rFonts w:ascii="Calibri" w:hAnsi="Calibri"/>
          <w:b/>
          <w:i w:val="0"/>
          <w:color w:val="333333"/>
          <w:sz w:val="20"/>
        </w:rPr>
        <w:t>n'augmente pas</w:t>
      </w:r>
      <w:r>
        <w:rPr>
          <w:rFonts w:ascii="Calibri" w:hAnsi="Calibri"/>
          <w:b w:val="0"/>
          <w:i w:val="0"/>
          <w:color w:val="333333"/>
          <w:sz w:val="20"/>
        </w:rPr>
        <w:t xml:space="preserve"> le solde non versé du collecteur, car celui-ci ne détient jamais ces espèces. Seuls les encaissements en espèces consomment le plafond. Le Mobile Money devient ainsi la soupape naturelle lorsqu'un collecteur approche de son plafond loin d'une banque — un bénéfice opérationnel direct pour SUNU.</w:t>
      </w:r>
    </w:p>
    <w:p>
      <w:pPr>
        <w:pStyle w:val="Heading2"/>
        <w:spacing w:before="280" w:after="80"/>
        <w:keepNext/>
      </w:pPr>
      <w:bookmarkStart w:id="139" w:name="_Toc_s038"/>
      <w:r>
        <w:rPr>
          <w:rFonts w:ascii="Calibri" w:hAnsi="Calibri"/>
          <w:b/>
          <w:color w:val="1B3A5C"/>
          <w:sz w:val="24"/>
        </w:rPr>
        <w:t>9.3 Direct ou agrégateur</w:t>
      </w:r>
      <w:bookmarkEnd w:id="13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Critère</w:t>
            </w:r>
          </w:p>
        </w:tc>
        <w:tc>
          <w:tcPr>
            <w:tcW w:type="dxa" w:w="3249"/>
            <w:shd w:val="clear" w:fill="1B3A5C"/>
          </w:tcPr>
          <w:p>
            <w:pPr>
              <w:spacing w:before="60" w:after="60"/>
            </w:pPr>
            <w:r>
              <w:rPr>
                <w:rFonts w:ascii="Calibri" w:hAnsi="Calibri"/>
                <w:b/>
                <w:color w:val="FFFFFF"/>
                <w:sz w:val="17"/>
              </w:rPr>
              <w:t>Direct (Orange Money + Moov Money)</w:t>
            </w:r>
          </w:p>
        </w:tc>
        <w:tc>
          <w:tcPr>
            <w:tcW w:type="dxa" w:w="3249"/>
            <w:shd w:val="clear" w:fill="1B3A5C"/>
          </w:tcPr>
          <w:p>
            <w:pPr>
              <w:spacing w:before="60" w:after="60"/>
            </w:pPr>
            <w:r>
              <w:rPr>
                <w:rFonts w:ascii="Calibri" w:hAnsi="Calibri"/>
                <w:b/>
                <w:color w:val="FFFFFF"/>
                <w:sz w:val="17"/>
              </w:rPr>
              <w:t>Agrégateur</w:t>
            </w:r>
          </w:p>
        </w:tc>
      </w:tr>
      <w:tr>
        <w:tc>
          <w:tcPr>
            <w:tcW w:type="dxa" w:w="3249"/>
          </w:tcPr>
          <w:p>
            <w:pPr>
              <w:spacing w:before="40" w:after="40"/>
            </w:pPr>
            <w:r>
              <w:rPr>
                <w:rFonts w:ascii="Calibri" w:hAnsi="Calibri"/>
                <w:b w:val="0"/>
                <w:i w:val="0"/>
                <w:color w:val="333333"/>
                <w:sz w:val="17"/>
              </w:rPr>
              <w:t>Intégrations à réaliser</w:t>
            </w:r>
          </w:p>
        </w:tc>
        <w:tc>
          <w:tcPr>
            <w:tcW w:type="dxa" w:w="3249"/>
          </w:tcPr>
          <w:p>
            <w:pPr>
              <w:spacing w:before="40" w:after="40"/>
            </w:pPr>
            <w:r>
              <w:rPr>
                <w:rFonts w:ascii="Calibri" w:hAnsi="Calibri"/>
                <w:b w:val="0"/>
                <w:i w:val="0"/>
                <w:color w:val="333333"/>
                <w:sz w:val="17"/>
              </w:rPr>
              <w:t>2</w:t>
            </w:r>
          </w:p>
        </w:tc>
        <w:tc>
          <w:tcPr>
            <w:tcW w:type="dxa" w:w="3249"/>
          </w:tcPr>
          <w:p>
            <w:pPr>
              <w:spacing w:before="40" w:after="40"/>
            </w:pPr>
            <w:r>
              <w:rPr>
                <w:rFonts w:ascii="Calibri" w:hAnsi="Calibri"/>
                <w:b w:val="0"/>
                <w:i w:val="0"/>
                <w:color w:val="333333"/>
                <w:sz w:val="17"/>
              </w:rPr>
              <w:t>1</w:t>
            </w:r>
          </w:p>
        </w:tc>
      </w:tr>
      <w:tr>
        <w:tc>
          <w:tcPr>
            <w:tcW w:type="dxa" w:w="3249"/>
            <w:shd w:val="clear" w:fill="F2F6FA"/>
          </w:tcPr>
          <w:p>
            <w:pPr>
              <w:spacing w:before="40" w:after="40"/>
            </w:pPr>
            <w:r>
              <w:rPr>
                <w:rFonts w:ascii="Calibri" w:hAnsi="Calibri"/>
                <w:b w:val="0"/>
                <w:i w:val="0"/>
                <w:color w:val="333333"/>
                <w:sz w:val="17"/>
              </w:rPr>
              <w:t>Contrats commerciaux</w:t>
            </w:r>
          </w:p>
        </w:tc>
        <w:tc>
          <w:tcPr>
            <w:tcW w:type="dxa" w:w="3249"/>
            <w:shd w:val="clear" w:fill="F2F6FA"/>
          </w:tcPr>
          <w:p>
            <w:pPr>
              <w:spacing w:before="40" w:after="40"/>
            </w:pPr>
            <w:r>
              <w:rPr>
                <w:rFonts w:ascii="Calibri" w:hAnsi="Calibri"/>
                <w:b w:val="0"/>
                <w:i w:val="0"/>
                <w:color w:val="333333"/>
                <w:sz w:val="17"/>
              </w:rPr>
              <w:t>2, chacun avec son propre délai d'enrôlement</w:t>
            </w:r>
          </w:p>
        </w:tc>
        <w:tc>
          <w:tcPr>
            <w:tcW w:type="dxa" w:w="3249"/>
            <w:shd w:val="clear" w:fill="F2F6FA"/>
          </w:tcPr>
          <w:p>
            <w:pPr>
              <w:spacing w:before="40" w:after="40"/>
            </w:pPr>
            <w:r>
              <w:rPr>
                <w:rFonts w:ascii="Calibri" w:hAnsi="Calibri"/>
                <w:b w:val="0"/>
                <w:i w:val="0"/>
                <w:color w:val="333333"/>
                <w:sz w:val="17"/>
              </w:rPr>
              <w:t>1</w:t>
            </w:r>
          </w:p>
        </w:tc>
      </w:tr>
      <w:tr>
        <w:tc>
          <w:tcPr>
            <w:tcW w:type="dxa" w:w="3249"/>
          </w:tcPr>
          <w:p>
            <w:pPr>
              <w:spacing w:before="40" w:after="40"/>
            </w:pPr>
            <w:r>
              <w:rPr>
                <w:rFonts w:ascii="Calibri" w:hAnsi="Calibri"/>
                <w:b w:val="0"/>
                <w:i w:val="0"/>
                <w:color w:val="333333"/>
                <w:sz w:val="17"/>
              </w:rPr>
              <w:t>Coût par transaction</w:t>
            </w:r>
          </w:p>
        </w:tc>
        <w:tc>
          <w:tcPr>
            <w:tcW w:type="dxa" w:w="3249"/>
          </w:tcPr>
          <w:p>
            <w:pPr>
              <w:spacing w:before="40" w:after="40"/>
            </w:pPr>
            <w:r>
              <w:rPr>
                <w:rFonts w:ascii="Calibri" w:hAnsi="Calibri"/>
                <w:b w:val="0"/>
                <w:i w:val="0"/>
                <w:color w:val="333333"/>
                <w:sz w:val="17"/>
              </w:rPr>
              <w:t>Tarif opérateur uniquement</w:t>
            </w:r>
          </w:p>
        </w:tc>
        <w:tc>
          <w:tcPr>
            <w:tcW w:type="dxa" w:w="3249"/>
          </w:tcPr>
          <w:p>
            <w:pPr>
              <w:spacing w:before="40" w:after="40"/>
            </w:pPr>
            <w:r>
              <w:rPr>
                <w:rFonts w:ascii="Calibri" w:hAnsi="Calibri"/>
                <w:b w:val="0"/>
                <w:i w:val="0"/>
                <w:color w:val="333333"/>
                <w:sz w:val="17"/>
              </w:rPr>
              <w:t>Tarif opérateur + marge de l'agrégateur</w:t>
            </w:r>
          </w:p>
        </w:tc>
      </w:tr>
      <w:tr>
        <w:tc>
          <w:tcPr>
            <w:tcW w:type="dxa" w:w="3249"/>
            <w:shd w:val="clear" w:fill="F2F6FA"/>
          </w:tcPr>
          <w:p>
            <w:pPr>
              <w:spacing w:before="40" w:after="40"/>
            </w:pPr>
            <w:r>
              <w:rPr>
                <w:rFonts w:ascii="Calibri" w:hAnsi="Calibri"/>
                <w:b w:val="0"/>
                <w:i w:val="0"/>
                <w:color w:val="333333"/>
                <w:sz w:val="17"/>
              </w:rPr>
              <w:t>Règlement</w:t>
            </w:r>
          </w:p>
        </w:tc>
        <w:tc>
          <w:tcPr>
            <w:tcW w:type="dxa" w:w="3249"/>
            <w:shd w:val="clear" w:fill="F2F6FA"/>
          </w:tcPr>
          <w:p>
            <w:pPr>
              <w:spacing w:before="40" w:after="40"/>
            </w:pPr>
            <w:r>
              <w:rPr>
                <w:rFonts w:ascii="Calibri" w:hAnsi="Calibri"/>
                <w:b w:val="0"/>
                <w:i w:val="0"/>
                <w:color w:val="333333"/>
                <w:sz w:val="17"/>
              </w:rPr>
              <w:t>Directement sur les portefeuilles/comptes opérateurs de SUNU</w:t>
            </w:r>
          </w:p>
        </w:tc>
        <w:tc>
          <w:tcPr>
            <w:tcW w:type="dxa" w:w="3249"/>
            <w:shd w:val="clear" w:fill="F2F6FA"/>
          </w:tcPr>
          <w:p>
            <w:pPr>
              <w:spacing w:before="40" w:after="40"/>
            </w:pPr>
            <w:r>
              <w:rPr>
                <w:rFonts w:ascii="Calibri" w:hAnsi="Calibri"/>
                <w:b w:val="0"/>
                <w:i w:val="0"/>
                <w:color w:val="333333"/>
                <w:sz w:val="17"/>
              </w:rPr>
              <w:t>Via l'agrégateur, un flux de règlement unique</w:t>
            </w:r>
          </w:p>
        </w:tc>
      </w:tr>
      <w:tr>
        <w:tc>
          <w:tcPr>
            <w:tcW w:type="dxa" w:w="3249"/>
          </w:tcPr>
          <w:p>
            <w:pPr>
              <w:spacing w:before="40" w:after="40"/>
            </w:pPr>
            <w:r>
              <w:rPr>
                <w:rFonts w:ascii="Calibri" w:hAnsi="Calibri"/>
                <w:b w:val="0"/>
                <w:i w:val="0"/>
                <w:color w:val="333333"/>
                <w:sz w:val="17"/>
              </w:rPr>
              <w:t>Délai jusqu'à la première transaction</w:t>
            </w:r>
          </w:p>
        </w:tc>
        <w:tc>
          <w:tcPr>
            <w:tcW w:type="dxa" w:w="3249"/>
          </w:tcPr>
          <w:p>
            <w:pPr>
              <w:spacing w:before="40" w:after="40"/>
            </w:pPr>
            <w:r>
              <w:rPr>
                <w:rFonts w:ascii="Calibri" w:hAnsi="Calibri"/>
                <w:b w:val="0"/>
                <w:i w:val="0"/>
                <w:color w:val="333333"/>
                <w:sz w:val="17"/>
              </w:rPr>
              <w:t>Plus long — l'enrôlement opérateur est la contrainte</w:t>
            </w:r>
          </w:p>
        </w:tc>
        <w:tc>
          <w:tcPr>
            <w:tcW w:type="dxa" w:w="3249"/>
          </w:tcPr>
          <w:p>
            <w:pPr>
              <w:spacing w:before="40" w:after="40"/>
            </w:pPr>
            <w:r>
              <w:rPr>
                <w:rFonts w:ascii="Calibri" w:hAnsi="Calibri"/>
                <w:b w:val="0"/>
                <w:i w:val="0"/>
                <w:color w:val="333333"/>
                <w:sz w:val="17"/>
              </w:rPr>
              <w:t>Plus court</w:t>
            </w:r>
          </w:p>
        </w:tc>
      </w:tr>
      <w:tr>
        <w:tc>
          <w:tcPr>
            <w:tcW w:type="dxa" w:w="3249"/>
            <w:shd w:val="clear" w:fill="F2F6FA"/>
          </w:tcPr>
          <w:p>
            <w:pPr>
              <w:spacing w:before="40" w:after="40"/>
            </w:pPr>
            <w:r>
              <w:rPr>
                <w:rFonts w:ascii="Calibri" w:hAnsi="Calibri"/>
                <w:b w:val="0"/>
                <w:i w:val="0"/>
                <w:color w:val="333333"/>
                <w:sz w:val="17"/>
              </w:rPr>
              <w:t>Couverture des deux opérateurs</w:t>
            </w:r>
          </w:p>
        </w:tc>
        <w:tc>
          <w:tcPr>
            <w:tcW w:type="dxa" w:w="3249"/>
            <w:shd w:val="clear" w:fill="F2F6FA"/>
          </w:tcPr>
          <w:p>
            <w:pPr>
              <w:spacing w:before="40" w:after="40"/>
            </w:pPr>
            <w:r>
              <w:rPr>
                <w:rFonts w:ascii="Calibri" w:hAnsi="Calibri"/>
                <w:b w:val="0"/>
                <w:i w:val="0"/>
                <w:color w:val="333333"/>
                <w:sz w:val="17"/>
              </w:rPr>
              <w:t>Oui</w:t>
            </w:r>
          </w:p>
        </w:tc>
        <w:tc>
          <w:tcPr>
            <w:tcW w:type="dxa" w:w="3249"/>
            <w:shd w:val="clear" w:fill="F2F6FA"/>
          </w:tcPr>
          <w:p>
            <w:pPr>
              <w:spacing w:before="40" w:after="40"/>
            </w:pPr>
            <w:r>
              <w:rPr>
                <w:rFonts w:ascii="Calibri" w:hAnsi="Calibri"/>
                <w:b w:val="0"/>
                <w:i w:val="0"/>
                <w:color w:val="333333"/>
                <w:sz w:val="17"/>
              </w:rPr>
              <w:t>Oui</w:t>
            </w:r>
          </w:p>
        </w:tc>
      </w:tr>
      <w:tr>
        <w:tc>
          <w:tcPr>
            <w:tcW w:type="dxa" w:w="3249"/>
          </w:tcPr>
          <w:p>
            <w:pPr>
              <w:spacing w:before="40" w:after="40"/>
            </w:pPr>
            <w:r>
              <w:rPr>
                <w:rFonts w:ascii="Calibri" w:hAnsi="Calibri"/>
                <w:b w:val="0"/>
                <w:i w:val="0"/>
                <w:color w:val="333333"/>
                <w:sz w:val="17"/>
              </w:rPr>
              <w:t>Risque de dépendance</w:t>
            </w:r>
          </w:p>
        </w:tc>
        <w:tc>
          <w:tcPr>
            <w:tcW w:type="dxa" w:w="3249"/>
          </w:tcPr>
          <w:p>
            <w:pPr>
              <w:spacing w:before="40" w:after="40"/>
            </w:pPr>
            <w:r>
              <w:rPr>
                <w:rFonts w:ascii="Calibri" w:hAnsi="Calibri"/>
                <w:b w:val="0"/>
                <w:i w:val="0"/>
                <w:color w:val="333333"/>
                <w:sz w:val="17"/>
              </w:rPr>
              <w:t>Réparti</w:t>
            </w:r>
          </w:p>
        </w:tc>
        <w:tc>
          <w:tcPr>
            <w:tcW w:type="dxa" w:w="3249"/>
          </w:tcPr>
          <w:p>
            <w:pPr>
              <w:spacing w:before="40" w:after="40"/>
            </w:pPr>
            <w:r>
              <w:rPr>
                <w:rFonts w:ascii="Calibri" w:hAnsi="Calibri"/>
                <w:b w:val="0"/>
                <w:i w:val="0"/>
                <w:color w:val="333333"/>
                <w:sz w:val="17"/>
              </w:rPr>
              <w:t>Concentré sur l'agrégateur</w:t>
            </w:r>
          </w:p>
        </w:tc>
      </w:tr>
    </w:tbl>
    <w:p>
      <w:pPr>
        <w:spacing w:after="40"/>
      </w:pPr>
    </w:p>
    <w:p>
      <w:r>
        <w:rPr>
          <w:rFonts w:ascii="Calibri" w:hAnsi="Calibri"/>
          <w:b/>
          <w:i w:val="0"/>
          <w:color w:val="333333"/>
          <w:sz w:val="20"/>
        </w:rPr>
        <w:t>Recommandation au vu du calendrier :</w:t>
      </w:r>
      <w:r>
        <w:rPr>
          <w:rFonts w:ascii="Calibri" w:hAnsi="Calibri"/>
          <w:b w:val="0"/>
          <w:i w:val="0"/>
          <w:color w:val="333333"/>
          <w:sz w:val="20"/>
        </w:rPr>
        <w:t xml:space="preserve"> démarrer avec un agrégateur pour sécuriser la mise en production de novembre, en conservant l'interface d'adaptateur afin qu'une migration ultérieure vers des intégrations opérateurs directes se réduise à un changement d'adaptateur et de circuit de règlement, et non à une refonte. SUNU décide ; l'architecture prend en charge l'une, l'autre, et les deux simultanément.</w:t>
      </w:r>
    </w:p>
    <w:p>
      <w:r>
        <w:rPr>
          <w:rFonts w:ascii="Calibri" w:hAnsi="Calibri"/>
          <w:b/>
          <w:i w:val="0"/>
          <w:color w:val="333333"/>
          <w:sz w:val="20"/>
        </w:rPr>
        <w:t>Décision attendue de SUNU (OP-4) :</w:t>
      </w:r>
      <w:r>
        <w:rPr>
          <w:rFonts w:ascii="Calibri" w:hAnsi="Calibri"/>
          <w:b w:val="0"/>
          <w:i w:val="0"/>
          <w:color w:val="333333"/>
          <w:sz w:val="20"/>
        </w:rPr>
        <w:t xml:space="preserve"> quelle voie, et quelle entité détient le compte marchand. Le délai d'enrôlement auprès des opérateurs est le principal risque externe pesant sur l'échéance de novembre — voir le registre des risques du Document 4.</w:t>
      </w:r>
    </w:p>
    <w:p>
      <w:pPr>
        <w:pStyle w:val="Heading2"/>
        <w:spacing w:before="280" w:after="80"/>
        <w:keepNext/>
      </w:pPr>
      <w:bookmarkStart w:id="140" w:name="_Toc_s039"/>
      <w:r>
        <w:rPr>
          <w:rFonts w:ascii="Calibri" w:hAnsi="Calibri"/>
          <w:b/>
          <w:color w:val="1B3A5C"/>
          <w:sz w:val="24"/>
        </w:rPr>
        <w:t>9.4 Rapprochement</w:t>
      </w:r>
      <w:bookmarkEnd w:id="140"/>
    </w:p>
    <w:p>
      <w:r>
        <w:rPr>
          <w:rFonts w:ascii="Calibri" w:hAnsi="Calibri"/>
          <w:b w:val="0"/>
          <w:i w:val="0"/>
          <w:color w:val="333333"/>
          <w:sz w:val="20"/>
        </w:rPr>
        <w:t>Un traitement quotidien compare, par opérateur : les transactions enregistrées par la plateforme, le rapport de règlement de l'opérateur et les montants crédités sur le compte de SUNU. Les écarts sont remontés dans une file d'anomalies avec indicateur d'ancienneté. Aucun encaissement Mobile Money n'est considéré comme définitif tant qu'il n'apparaît pas dans le fichier de règlement de l'opérateur.</w:t>
      </w:r>
    </w:p>
    <w:p>
      <w:pPr>
        <w:pStyle w:val="Heading1"/>
        <w:pageBreakBefore/>
        <w:spacing w:before="360" w:after="80"/>
        <w:keepNext/>
        <w:pBdr>
          <w:bottom w:val="single" w:sz="8" w:space="6" w:color="1B3A5C"/>
        </w:pBdr>
      </w:pPr>
      <w:bookmarkStart w:id="141" w:name="_Toc_s040"/>
      <w:r>
        <w:rPr>
          <w:rFonts w:ascii="Calibri" w:hAnsi="Calibri"/>
          <w:b/>
          <w:color w:val="1B3A5C"/>
          <w:sz w:val="30"/>
        </w:rPr>
        <w:t>10. Architecture de déploiement et d'infrastructure</w:t>
      </w:r>
      <w:bookmarkEnd w:id="141"/>
    </w:p>
    <w:p>
      <w:pPr>
        <w:pStyle w:val="Heading2"/>
        <w:spacing w:before="280" w:after="80"/>
        <w:keepNext/>
      </w:pPr>
      <w:bookmarkStart w:id="142" w:name="_Toc_s041"/>
      <w:r>
        <w:rPr>
          <w:rFonts w:ascii="Calibri" w:hAnsi="Calibri"/>
          <w:b/>
          <w:color w:val="1B3A5C"/>
          <w:sz w:val="24"/>
        </w:rPr>
        <w:t>10.1 Environnements</w:t>
      </w:r>
      <w:bookmarkEnd w:id="14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2436"/>
            <w:shd w:val="clear" w:fill="1B3A5C"/>
          </w:tcPr>
          <w:p>
            <w:pPr>
              <w:spacing w:before="60" w:after="60"/>
            </w:pPr>
            <w:r>
              <w:rPr>
                <w:rFonts w:ascii="Calibri" w:hAnsi="Calibri"/>
                <w:b/>
                <w:color w:val="FFFFFF"/>
                <w:sz w:val="17"/>
              </w:rPr>
              <w:t>Environnement</w:t>
            </w:r>
          </w:p>
        </w:tc>
        <w:tc>
          <w:tcPr>
            <w:tcW w:type="dxa" w:w="2436"/>
            <w:shd w:val="clear" w:fill="1B3A5C"/>
          </w:tcPr>
          <w:p>
            <w:pPr>
              <w:spacing w:before="60" w:after="60"/>
            </w:pPr>
            <w:r>
              <w:rPr>
                <w:rFonts w:ascii="Calibri" w:hAnsi="Calibri"/>
                <w:b/>
                <w:color w:val="FFFFFF"/>
                <w:sz w:val="17"/>
              </w:rPr>
              <w:t>Objet</w:t>
            </w:r>
          </w:p>
        </w:tc>
        <w:tc>
          <w:tcPr>
            <w:tcW w:type="dxa" w:w="2436"/>
            <w:shd w:val="clear" w:fill="1B3A5C"/>
          </w:tcPr>
          <w:p>
            <w:pPr>
              <w:spacing w:before="60" w:after="60"/>
            </w:pPr>
            <w:r>
              <w:rPr>
                <w:rFonts w:ascii="Calibri" w:hAnsi="Calibri"/>
                <w:b/>
                <w:color w:val="FFFFFF"/>
                <w:sz w:val="17"/>
              </w:rPr>
              <w:t>Données</w:t>
            </w:r>
          </w:p>
        </w:tc>
        <w:tc>
          <w:tcPr>
            <w:tcW w:type="dxa" w:w="2436"/>
            <w:shd w:val="clear" w:fill="1B3A5C"/>
          </w:tcPr>
          <w:p>
            <w:pPr>
              <w:spacing w:before="60" w:after="60"/>
            </w:pPr>
            <w:r>
              <w:rPr>
                <w:rFonts w:ascii="Calibri" w:hAnsi="Calibri"/>
                <w:b/>
                <w:color w:val="FFFFFF"/>
                <w:sz w:val="17"/>
              </w:rPr>
              <w:t>Accès</w:t>
            </w:r>
          </w:p>
        </w:tc>
      </w:tr>
      <w:tr>
        <w:tc>
          <w:tcPr>
            <w:tcW w:type="dxa" w:w="2436"/>
          </w:tcPr>
          <w:p>
            <w:pPr>
              <w:spacing w:before="40" w:after="40"/>
            </w:pPr>
            <w:r>
              <w:rPr>
                <w:rFonts w:ascii="Calibri" w:hAnsi="Calibri"/>
                <w:b/>
                <w:i w:val="0"/>
                <w:color w:val="333333"/>
                <w:sz w:val="17"/>
              </w:rPr>
              <w:t>Développement</w:t>
            </w:r>
          </w:p>
        </w:tc>
        <w:tc>
          <w:tcPr>
            <w:tcW w:type="dxa" w:w="2436"/>
          </w:tcPr>
          <w:p>
            <w:pPr>
              <w:spacing w:before="40" w:after="40"/>
            </w:pPr>
            <w:r>
              <w:rPr>
                <w:rFonts w:ascii="Calibri" w:hAnsi="Calibri"/>
                <w:b w:val="0"/>
                <w:i w:val="0"/>
                <w:color w:val="333333"/>
                <w:sz w:val="17"/>
              </w:rPr>
              <w:t>Construction</w:t>
            </w:r>
          </w:p>
        </w:tc>
        <w:tc>
          <w:tcPr>
            <w:tcW w:type="dxa" w:w="2436"/>
          </w:tcPr>
          <w:p>
            <w:pPr>
              <w:spacing w:before="40" w:after="40"/>
            </w:pPr>
            <w:r>
              <w:rPr>
                <w:rFonts w:ascii="Calibri" w:hAnsi="Calibri"/>
                <w:b w:val="0"/>
                <w:i w:val="0"/>
                <w:color w:val="333333"/>
                <w:sz w:val="17"/>
              </w:rPr>
              <w:t>Synthétiques</w:t>
            </w:r>
          </w:p>
        </w:tc>
        <w:tc>
          <w:tcPr>
            <w:tcW w:type="dxa" w:w="2436"/>
          </w:tcPr>
          <w:p>
            <w:pPr>
              <w:spacing w:before="40" w:after="40"/>
            </w:pPr>
            <w:r>
              <w:rPr>
                <w:rFonts w:ascii="Calibri" w:hAnsi="Calibri"/>
                <w:b w:val="0"/>
                <w:i w:val="0"/>
                <w:color w:val="333333"/>
                <w:sz w:val="17"/>
              </w:rPr>
              <w:t>Équipe de réalisation</w:t>
            </w:r>
          </w:p>
        </w:tc>
      </w:tr>
      <w:tr>
        <w:tc>
          <w:tcPr>
            <w:tcW w:type="dxa" w:w="2436"/>
            <w:shd w:val="clear" w:fill="F2F6FA"/>
          </w:tcPr>
          <w:p>
            <w:pPr>
              <w:spacing w:before="40" w:after="40"/>
            </w:pPr>
            <w:r>
              <w:rPr>
                <w:rFonts w:ascii="Calibri" w:hAnsi="Calibri"/>
                <w:b/>
                <w:i w:val="0"/>
                <w:color w:val="333333"/>
                <w:sz w:val="17"/>
              </w:rPr>
              <w:t>Recette / UAT</w:t>
            </w:r>
          </w:p>
        </w:tc>
        <w:tc>
          <w:tcPr>
            <w:tcW w:type="dxa" w:w="2436"/>
            <w:shd w:val="clear" w:fill="F2F6FA"/>
          </w:tcPr>
          <w:p>
            <w:pPr>
              <w:spacing w:before="40" w:after="40"/>
            </w:pPr>
            <w:r>
              <w:rPr>
                <w:rFonts w:ascii="Calibri" w:hAnsi="Calibri"/>
                <w:b w:val="0"/>
                <w:i w:val="0"/>
                <w:color w:val="333333"/>
                <w:sz w:val="17"/>
              </w:rPr>
              <w:t>Tests de réception SUNU, formation</w:t>
            </w:r>
          </w:p>
        </w:tc>
        <w:tc>
          <w:tcPr>
            <w:tcW w:type="dxa" w:w="2436"/>
            <w:shd w:val="clear" w:fill="F2F6FA"/>
          </w:tcPr>
          <w:p>
            <w:pPr>
              <w:spacing w:before="40" w:after="40"/>
            </w:pPr>
            <w:r>
              <w:rPr>
                <w:rFonts w:ascii="Calibri" w:hAnsi="Calibri"/>
                <w:b w:val="0"/>
                <w:i w:val="0"/>
                <w:color w:val="333333"/>
                <w:sz w:val="17"/>
              </w:rPr>
              <w:t>Anonymisées ou synthétiques</w:t>
            </w:r>
          </w:p>
        </w:tc>
        <w:tc>
          <w:tcPr>
            <w:tcW w:type="dxa" w:w="2436"/>
            <w:shd w:val="clear" w:fill="F2F6FA"/>
          </w:tcPr>
          <w:p>
            <w:pPr>
              <w:spacing w:before="40" w:after="40"/>
            </w:pPr>
            <w:r>
              <w:rPr>
                <w:rFonts w:ascii="Calibri" w:hAnsi="Calibri"/>
                <w:b w:val="0"/>
                <w:i w:val="0"/>
                <w:color w:val="333333"/>
                <w:sz w:val="17"/>
              </w:rPr>
              <w:t>Testeurs SUNU, formateurs, équipe de réalisation</w:t>
            </w:r>
          </w:p>
        </w:tc>
      </w:tr>
      <w:tr>
        <w:tc>
          <w:tcPr>
            <w:tcW w:type="dxa" w:w="2436"/>
          </w:tcPr>
          <w:p>
            <w:pPr>
              <w:spacing w:before="40" w:after="40"/>
            </w:pPr>
            <w:r>
              <w:rPr>
                <w:rFonts w:ascii="Calibri" w:hAnsi="Calibri"/>
                <w:b/>
                <w:i w:val="0"/>
                <w:color w:val="333333"/>
                <w:sz w:val="17"/>
              </w:rPr>
              <w:t>Production</w:t>
            </w:r>
          </w:p>
        </w:tc>
        <w:tc>
          <w:tcPr>
            <w:tcW w:type="dxa" w:w="2436"/>
          </w:tcPr>
          <w:p>
            <w:pPr>
              <w:spacing w:before="40" w:after="40"/>
            </w:pPr>
            <w:r>
              <w:rPr>
                <w:rFonts w:ascii="Calibri" w:hAnsi="Calibri"/>
                <w:b w:val="0"/>
                <w:i w:val="0"/>
                <w:color w:val="333333"/>
                <w:sz w:val="17"/>
              </w:rPr>
              <w:t>Encaissement réel</w:t>
            </w:r>
          </w:p>
        </w:tc>
        <w:tc>
          <w:tcPr>
            <w:tcW w:type="dxa" w:w="2436"/>
          </w:tcPr>
          <w:p>
            <w:pPr>
              <w:spacing w:before="40" w:after="40"/>
            </w:pPr>
            <w:r>
              <w:rPr>
                <w:rFonts w:ascii="Calibri" w:hAnsi="Calibri"/>
                <w:b w:val="0"/>
                <w:i w:val="0"/>
                <w:color w:val="333333"/>
                <w:sz w:val="17"/>
              </w:rPr>
              <w:t>Réelles</w:t>
            </w:r>
          </w:p>
        </w:tc>
        <w:tc>
          <w:tcPr>
            <w:tcW w:type="dxa" w:w="2436"/>
          </w:tcPr>
          <w:p>
            <w:pPr>
              <w:spacing w:before="40" w:after="40"/>
            </w:pPr>
            <w:r>
              <w:rPr>
                <w:rFonts w:ascii="Calibri" w:hAnsi="Calibri"/>
                <w:b w:val="0"/>
                <w:i w:val="0"/>
                <w:color w:val="333333"/>
                <w:sz w:val="17"/>
              </w:rPr>
              <w:t>Restreint, audité</w:t>
            </w:r>
          </w:p>
        </w:tc>
      </w:tr>
    </w:tbl>
    <w:p>
      <w:pPr>
        <w:spacing w:after="40"/>
      </w:pPr>
    </w:p>
    <w:p>
      <w:r>
        <w:rPr>
          <w:rFonts w:ascii="Calibri" w:hAnsi="Calibri"/>
          <w:b w:val="0"/>
          <w:i w:val="0"/>
          <w:color w:val="333333"/>
          <w:sz w:val="20"/>
        </w:rPr>
        <w:t>Un environnement de recette accessible aux testeurs de SUNU est un prérequis du pilote de fin septembre ; c'est sur cet environnement qu'est dispensée la formation du Document 3.</w:t>
      </w:r>
    </w:p>
    <w:p>
      <w:pPr>
        <w:pStyle w:val="Heading2"/>
        <w:spacing w:before="280" w:after="80"/>
        <w:keepNext/>
      </w:pPr>
      <w:bookmarkStart w:id="143" w:name="_Toc_s042"/>
      <w:r>
        <w:rPr>
          <w:rFonts w:ascii="Calibri" w:hAnsi="Calibri"/>
          <w:b/>
          <w:color w:val="1B3A5C"/>
          <w:sz w:val="24"/>
        </w:rPr>
        <w:t>10.2 Topologie de production</w:t>
      </w:r>
      <w:bookmarkEnd w:id="143"/>
    </w:p>
    <w:p>
      <w:pPr>
        <w:spacing w:before="200" w:after="80"/>
        <w:jc w:val="center"/>
      </w:pPr>
      <w:r>
        <w:drawing>
          <wp:inline xmlns:a="http://schemas.openxmlformats.org/drawingml/2006/main" xmlns:pic="http://schemas.openxmlformats.org/drawingml/2006/picture">
            <wp:extent cx="5903999" cy="4247999"/>
            <wp:docPr id="5" name="Picture 5"/>
            <wp:cNvGraphicFramePr>
              <a:graphicFrameLocks noChangeAspect="1"/>
            </wp:cNvGraphicFramePr>
            <a:graphic>
              <a:graphicData uri="http://schemas.openxmlformats.org/drawingml/2006/picture">
                <pic:pic>
                  <pic:nvPicPr>
                    <pic:cNvPr id="0" name="04-deployment-topology-fr.png"/>
                    <pic:cNvPicPr/>
                  </pic:nvPicPr>
                  <pic:blipFill>
                    <a:blip r:embed="rId15"/>
                    <a:stretch>
                      <a:fillRect/>
                    </a:stretch>
                  </pic:blipFill>
                  <pic:spPr>
                    <a:xfrm>
                      <a:off x="0" y="0"/>
                      <a:ext cx="5903999" cy="4247999"/>
                    </a:xfrm>
                    <a:prstGeom prst="rect"/>
                  </pic:spPr>
                </pic:pic>
              </a:graphicData>
            </a:graphic>
          </wp:inline>
        </w:drawing>
      </w:r>
    </w:p>
    <w:p>
      <w:pPr>
        <w:spacing w:after="240"/>
        <w:ind w:left="113"/>
        <w:jc w:val="left"/>
        <w:pBdr>
          <w:top w:val="single" w:sz="6" w:space="6" w:color="C9D4E0"/>
        </w:pBdr>
      </w:pPr>
      <w:r>
        <w:rPr>
          <w:rFonts w:ascii="Calibri" w:hAnsi="Calibri"/>
          <w:i/>
          <w:color w:val="666666"/>
          <w:sz w:val="17"/>
        </w:rPr>
        <w:t>Figure 4 — Topologie de déploiement. Un unique périmètre TLS et de limitation de débit en frontal, la base de données accessible uniquement depuis l'intérieur du périmètre de confiance, et chaque intégration sortante sur liste d'autorisation.</w:t>
      </w:r>
    </w:p>
    <w:p>
      <w:pPr>
        <w:pStyle w:val="Heading2"/>
        <w:spacing w:before="280" w:after="80"/>
        <w:keepNext/>
      </w:pPr>
      <w:bookmarkStart w:id="144" w:name="_Toc_s043"/>
      <w:r>
        <w:rPr>
          <w:rFonts w:ascii="Calibri" w:hAnsi="Calibri"/>
          <w:b/>
          <w:color w:val="1B3A5C"/>
          <w:sz w:val="24"/>
        </w:rPr>
        <w:t>10.3 Dimensionnement pour le pilote et la première année</w:t>
      </w:r>
      <w:bookmarkEnd w:id="14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Paramètre</w:t>
            </w:r>
          </w:p>
        </w:tc>
        <w:tc>
          <w:tcPr>
            <w:tcW w:type="dxa" w:w="3249"/>
            <w:shd w:val="clear" w:fill="1B3A5C"/>
          </w:tcPr>
          <w:p>
            <w:pPr>
              <w:spacing w:before="60" w:after="60"/>
            </w:pPr>
            <w:r>
              <w:rPr>
                <w:rFonts w:ascii="Calibri" w:hAnsi="Calibri"/>
                <w:b/>
                <w:color w:val="FFFFFF"/>
                <w:sz w:val="17"/>
              </w:rPr>
              <w:t>Pilote (sept. 2026)</w:t>
            </w:r>
          </w:p>
        </w:tc>
        <w:tc>
          <w:tcPr>
            <w:tcW w:type="dxa" w:w="3249"/>
            <w:shd w:val="clear" w:fill="1B3A5C"/>
          </w:tcPr>
          <w:p>
            <w:pPr>
              <w:spacing w:before="60" w:after="60"/>
            </w:pPr>
            <w:r>
              <w:rPr>
                <w:rFonts w:ascii="Calibri" w:hAnsi="Calibri"/>
                <w:b/>
                <w:color w:val="FFFFFF"/>
                <w:sz w:val="17"/>
              </w:rPr>
              <w:t>Année 1</w:t>
            </w:r>
          </w:p>
        </w:tc>
      </w:tr>
      <w:tr>
        <w:tc>
          <w:tcPr>
            <w:tcW w:type="dxa" w:w="3249"/>
          </w:tcPr>
          <w:p>
            <w:pPr>
              <w:spacing w:before="40" w:after="40"/>
            </w:pPr>
            <w:r>
              <w:rPr>
                <w:rFonts w:ascii="Calibri" w:hAnsi="Calibri"/>
                <w:b w:val="0"/>
                <w:i w:val="0"/>
                <w:color w:val="333333"/>
                <w:sz w:val="17"/>
              </w:rPr>
              <w:t>Terminaux</w:t>
            </w:r>
          </w:p>
        </w:tc>
        <w:tc>
          <w:tcPr>
            <w:tcW w:type="dxa" w:w="3249"/>
          </w:tcPr>
          <w:p>
            <w:pPr>
              <w:spacing w:before="40" w:after="40"/>
            </w:pPr>
            <w:r>
              <w:rPr>
                <w:rFonts w:ascii="Calibri" w:hAnsi="Calibri"/>
                <w:b w:val="0"/>
                <w:i w:val="0"/>
                <w:color w:val="333333"/>
                <w:sz w:val="17"/>
              </w:rPr>
              <w:t>15</w:t>
            </w:r>
          </w:p>
        </w:tc>
        <w:tc>
          <w:tcPr>
            <w:tcW w:type="dxa" w:w="3249"/>
          </w:tcPr>
          <w:p>
            <w:pPr>
              <w:spacing w:before="40" w:after="40"/>
            </w:pPr>
            <w:r>
              <w:rPr>
                <w:rFonts w:ascii="Calibri" w:hAnsi="Calibri"/>
                <w:b w:val="0"/>
                <w:i w:val="0"/>
                <w:color w:val="333333"/>
                <w:sz w:val="17"/>
              </w:rPr>
              <w:t>50–100</w:t>
            </w:r>
          </w:p>
        </w:tc>
      </w:tr>
      <w:tr>
        <w:tc>
          <w:tcPr>
            <w:tcW w:type="dxa" w:w="3249"/>
            <w:shd w:val="clear" w:fill="F2F6FA"/>
          </w:tcPr>
          <w:p>
            <w:pPr>
              <w:spacing w:before="40" w:after="40"/>
            </w:pPr>
            <w:r>
              <w:rPr>
                <w:rFonts w:ascii="Calibri" w:hAnsi="Calibri"/>
                <w:b w:val="0"/>
                <w:i w:val="0"/>
                <w:color w:val="333333"/>
                <w:sz w:val="17"/>
              </w:rPr>
              <w:t>Collecteurs</w:t>
            </w:r>
          </w:p>
        </w:tc>
        <w:tc>
          <w:tcPr>
            <w:tcW w:type="dxa" w:w="3249"/>
            <w:shd w:val="clear" w:fill="F2F6FA"/>
          </w:tcPr>
          <w:p>
            <w:pPr>
              <w:spacing w:before="40" w:after="40"/>
            </w:pPr>
            <w:r>
              <w:rPr>
                <w:rFonts w:ascii="Calibri" w:hAnsi="Calibri"/>
                <w:b w:val="0"/>
                <w:i w:val="0"/>
                <w:color w:val="333333"/>
                <w:sz w:val="17"/>
              </w:rPr>
              <w:t>~15</w:t>
            </w:r>
          </w:p>
        </w:tc>
        <w:tc>
          <w:tcPr>
            <w:tcW w:type="dxa" w:w="3249"/>
            <w:shd w:val="clear" w:fill="F2F6FA"/>
          </w:tcPr>
          <w:p>
            <w:pPr>
              <w:spacing w:before="40" w:after="40"/>
            </w:pPr>
            <w:r>
              <w:rPr>
                <w:rFonts w:ascii="Calibri" w:hAnsi="Calibri"/>
                <w:b w:val="0"/>
                <w:i w:val="0"/>
                <w:color w:val="333333"/>
                <w:sz w:val="17"/>
              </w:rPr>
              <w:t>~100</w:t>
            </w:r>
          </w:p>
        </w:tc>
      </w:tr>
      <w:tr>
        <w:tc>
          <w:tcPr>
            <w:tcW w:type="dxa" w:w="3249"/>
          </w:tcPr>
          <w:p>
            <w:pPr>
              <w:spacing w:before="40" w:after="40"/>
            </w:pPr>
            <w:r>
              <w:rPr>
                <w:rFonts w:ascii="Calibri" w:hAnsi="Calibri"/>
                <w:b w:val="0"/>
                <w:i w:val="0"/>
                <w:color w:val="333333"/>
                <w:sz w:val="17"/>
              </w:rPr>
              <w:t>Utilisateurs back-office</w:t>
            </w:r>
          </w:p>
        </w:tc>
        <w:tc>
          <w:tcPr>
            <w:tcW w:type="dxa" w:w="3249"/>
          </w:tcPr>
          <w:p>
            <w:pPr>
              <w:spacing w:before="40" w:after="40"/>
            </w:pPr>
            <w:r>
              <w:rPr>
                <w:rFonts w:ascii="Calibri" w:hAnsi="Calibri"/>
                <w:b w:val="0"/>
                <w:i w:val="0"/>
                <w:color w:val="333333"/>
                <w:sz w:val="17"/>
              </w:rPr>
              <w:t>5–10</w:t>
            </w:r>
          </w:p>
        </w:tc>
        <w:tc>
          <w:tcPr>
            <w:tcW w:type="dxa" w:w="3249"/>
          </w:tcPr>
          <w:p>
            <w:pPr>
              <w:spacing w:before="40" w:after="40"/>
            </w:pPr>
            <w:r>
              <w:rPr>
                <w:rFonts w:ascii="Calibri" w:hAnsi="Calibri"/>
                <w:b w:val="0"/>
                <w:i w:val="0"/>
                <w:color w:val="333333"/>
                <w:sz w:val="17"/>
              </w:rPr>
              <w:t>20–30</w:t>
            </w:r>
          </w:p>
        </w:tc>
      </w:tr>
      <w:tr>
        <w:tc>
          <w:tcPr>
            <w:tcW w:type="dxa" w:w="3249"/>
            <w:shd w:val="clear" w:fill="F2F6FA"/>
          </w:tcPr>
          <w:p>
            <w:pPr>
              <w:spacing w:before="40" w:after="40"/>
            </w:pPr>
            <w:r>
              <w:rPr>
                <w:rFonts w:ascii="Calibri" w:hAnsi="Calibri"/>
                <w:b w:val="0"/>
                <w:i w:val="0"/>
                <w:color w:val="333333"/>
                <w:sz w:val="17"/>
              </w:rPr>
              <w:t>Encaissements/jour</w:t>
            </w:r>
          </w:p>
        </w:tc>
        <w:tc>
          <w:tcPr>
            <w:tcW w:type="dxa" w:w="3249"/>
            <w:shd w:val="clear" w:fill="F2F6FA"/>
          </w:tcPr>
          <w:p>
            <w:pPr>
              <w:spacing w:before="40" w:after="40"/>
            </w:pPr>
            <w:r>
              <w:rPr>
                <w:rFonts w:ascii="Calibri" w:hAnsi="Calibri"/>
                <w:b w:val="0"/>
                <w:i w:val="0"/>
                <w:color w:val="333333"/>
                <w:sz w:val="17"/>
              </w:rPr>
              <w:t>300–1 500</w:t>
            </w:r>
          </w:p>
        </w:tc>
        <w:tc>
          <w:tcPr>
            <w:tcW w:type="dxa" w:w="3249"/>
            <w:shd w:val="clear" w:fill="F2F6FA"/>
          </w:tcPr>
          <w:p>
            <w:pPr>
              <w:spacing w:before="40" w:after="40"/>
            </w:pPr>
            <w:r>
              <w:rPr>
                <w:rFonts w:ascii="Calibri" w:hAnsi="Calibri"/>
                <w:b w:val="0"/>
                <w:i w:val="0"/>
                <w:color w:val="333333"/>
                <w:sz w:val="17"/>
              </w:rPr>
              <w:t>jusqu'à 10 000</w:t>
            </w:r>
          </w:p>
        </w:tc>
      </w:tr>
      <w:tr>
        <w:tc>
          <w:tcPr>
            <w:tcW w:type="dxa" w:w="3249"/>
          </w:tcPr>
          <w:p>
            <w:pPr>
              <w:spacing w:before="40" w:after="40"/>
            </w:pPr>
            <w:r>
              <w:rPr>
                <w:rFonts w:ascii="Calibri" w:hAnsi="Calibri"/>
                <w:b w:val="0"/>
                <w:i w:val="0"/>
                <w:color w:val="333333"/>
                <w:sz w:val="17"/>
              </w:rPr>
              <w:t>Cartes</w:t>
            </w:r>
          </w:p>
        </w:tc>
        <w:tc>
          <w:tcPr>
            <w:tcW w:type="dxa" w:w="3249"/>
          </w:tcPr>
          <w:p>
            <w:pPr>
              <w:spacing w:before="40" w:after="40"/>
            </w:pPr>
            <w:r>
              <w:rPr>
                <w:rFonts w:ascii="Calibri" w:hAnsi="Calibri"/>
                <w:b w:val="0"/>
                <w:i w:val="0"/>
                <w:color w:val="333333"/>
                <w:sz w:val="17"/>
              </w:rPr>
              <w:t>5 000</w:t>
            </w:r>
          </w:p>
        </w:tc>
        <w:tc>
          <w:tcPr>
            <w:tcW w:type="dxa" w:w="3249"/>
          </w:tcPr>
          <w:p>
            <w:pPr>
              <w:spacing w:before="40" w:after="40"/>
            </w:pPr>
            <w:r>
              <w:rPr>
                <w:rFonts w:ascii="Calibri" w:hAnsi="Calibri"/>
                <w:b w:val="0"/>
                <w:i w:val="0"/>
                <w:color w:val="333333"/>
                <w:sz w:val="17"/>
              </w:rPr>
              <w:t>20 000+</w:t>
            </w:r>
          </w:p>
        </w:tc>
      </w:tr>
      <w:tr>
        <w:tc>
          <w:tcPr>
            <w:tcW w:type="dxa" w:w="3249"/>
            <w:shd w:val="clear" w:fill="F2F6FA"/>
          </w:tcPr>
          <w:p>
            <w:pPr>
              <w:spacing w:before="40" w:after="40"/>
            </w:pPr>
            <w:r>
              <w:rPr>
                <w:rFonts w:ascii="Calibri" w:hAnsi="Calibri"/>
                <w:b w:val="0"/>
                <w:i w:val="0"/>
                <w:color w:val="333333"/>
                <w:sz w:val="17"/>
              </w:rPr>
              <w:t>Images stockées/jour</w:t>
            </w:r>
          </w:p>
        </w:tc>
        <w:tc>
          <w:tcPr>
            <w:tcW w:type="dxa" w:w="3249"/>
            <w:shd w:val="clear" w:fill="F2F6FA"/>
          </w:tcPr>
          <w:p>
            <w:pPr>
              <w:spacing w:before="40" w:after="40"/>
            </w:pPr>
            <w:r>
              <w:rPr>
                <w:rFonts w:ascii="Calibri" w:hAnsi="Calibri"/>
                <w:b w:val="0"/>
                <w:i w:val="0"/>
                <w:color w:val="333333"/>
                <w:sz w:val="17"/>
              </w:rPr>
              <w:t>~50 souscriptions × 3 images</w:t>
            </w:r>
          </w:p>
        </w:tc>
        <w:tc>
          <w:tcPr>
            <w:tcW w:type="dxa" w:w="3249"/>
            <w:shd w:val="clear" w:fill="F2F6FA"/>
          </w:tcPr>
          <w:p>
            <w:pPr>
              <w:spacing w:before="40" w:after="40"/>
            </w:pPr>
            <w:r>
              <w:rPr>
                <w:rFonts w:ascii="Calibri" w:hAnsi="Calibri"/>
                <w:b w:val="0"/>
                <w:i w:val="0"/>
                <w:color w:val="333333"/>
                <w:sz w:val="17"/>
              </w:rPr>
              <w:t>~500 × 3</w:t>
            </w:r>
          </w:p>
        </w:tc>
      </w:tr>
    </w:tbl>
    <w:p>
      <w:pPr>
        <w:spacing w:after="40"/>
      </w:pPr>
    </w:p>
    <w:p>
      <w:r>
        <w:rPr>
          <w:rFonts w:ascii="Calibri" w:hAnsi="Calibri"/>
          <w:b w:val="0"/>
          <w:i w:val="0"/>
          <w:color w:val="333333"/>
          <w:sz w:val="20"/>
        </w:rPr>
        <w:t>Le pilote fonctionne confortablement sur un serveur applicatif unique (4 vCPU / 8 Go) avec un serveur de base de données distinct (4 vCPU / 16 Go) et environ 500 Go de stockage. La topologie ci-dessus s'étend horizontalement par ajout de nœuds applicatifs et de traitement derrière la couche TLS, sans changement d'architecture.</w:t>
      </w:r>
    </w:p>
    <w:p>
      <w:pPr>
        <w:pStyle w:val="Heading2"/>
        <w:spacing w:before="280" w:after="80"/>
        <w:keepNext/>
      </w:pPr>
      <w:bookmarkStart w:id="145" w:name="_Toc_s044"/>
      <w:r>
        <w:rPr>
          <w:rFonts w:ascii="Calibri" w:hAnsi="Calibri"/>
          <w:b/>
          <w:color w:val="1B3A5C"/>
          <w:sz w:val="24"/>
        </w:rPr>
        <w:t>10.4 Lieu d'hébergement (point ouvert OP-5)</w:t>
      </w:r>
      <w:bookmarkEnd w:id="145"/>
    </w:p>
    <w:p>
      <w:r>
        <w:rPr>
          <w:rFonts w:ascii="Calibri" w:hAnsi="Calibri"/>
          <w:b w:val="0"/>
          <w:i w:val="0"/>
          <w:color w:val="333333"/>
          <w:sz w:val="20"/>
        </w:rPr>
        <w:t>Décision attendue de SUNU : hébergement au Burkina Faso, ailleurs dans la zone UEMOA, ou en Europe. Ce choix influe sur la latence pour le parc de TPE, les obligations de résidence des données, le chemin réseau vers SUNULIFE et la disposition des opérateurs Mobile Money à autoriser l'environnement. Analyse au Document 2, section sur la résidence des données.</w:t>
      </w:r>
    </w:p>
    <w:p>
      <w:pPr>
        <w:pStyle w:val="Heading2"/>
        <w:spacing w:before="280" w:after="80"/>
        <w:keepNext/>
      </w:pPr>
      <w:bookmarkStart w:id="146" w:name="_Toc_s045"/>
      <w:r>
        <w:rPr>
          <w:rFonts w:ascii="Calibri" w:hAnsi="Calibri"/>
          <w:b/>
          <w:color w:val="1B3A5C"/>
          <w:sz w:val="24"/>
        </w:rPr>
        <w:t>10.5 Disponibilité, sauvegarde et continuité</w:t>
      </w:r>
      <w:bookmarkEnd w:id="14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Objectif</w:t>
            </w:r>
          </w:p>
        </w:tc>
        <w:tc>
          <w:tcPr>
            <w:tcW w:type="dxa" w:w="4873"/>
            <w:shd w:val="clear" w:fill="1B3A5C"/>
          </w:tcPr>
          <w:p>
            <w:pPr>
              <w:spacing w:before="60" w:after="60"/>
            </w:pPr>
            <w:r>
              <w:rPr>
                <w:rFonts w:ascii="Calibri" w:hAnsi="Calibri"/>
                <w:b/>
                <w:color w:val="FFFFFF"/>
                <w:sz w:val="17"/>
              </w:rPr>
              <w:t>Valeur</w:t>
            </w:r>
          </w:p>
        </w:tc>
      </w:tr>
      <w:tr>
        <w:tc>
          <w:tcPr>
            <w:tcW w:type="dxa" w:w="4873"/>
          </w:tcPr>
          <w:p>
            <w:pPr>
              <w:spacing w:before="40" w:after="40"/>
            </w:pPr>
            <w:r>
              <w:rPr>
                <w:rFonts w:ascii="Calibri" w:hAnsi="Calibri"/>
                <w:b w:val="0"/>
                <w:i w:val="0"/>
                <w:color w:val="333333"/>
                <w:sz w:val="17"/>
              </w:rPr>
              <w:t>Disponibilité du service (back-office)</w:t>
            </w:r>
          </w:p>
        </w:tc>
        <w:tc>
          <w:tcPr>
            <w:tcW w:type="dxa" w:w="4873"/>
          </w:tcPr>
          <w:p>
            <w:pPr>
              <w:spacing w:before="40" w:after="40"/>
            </w:pPr>
            <w:r>
              <w:rPr>
                <w:rFonts w:ascii="Calibri" w:hAnsi="Calibri"/>
                <w:b w:val="0"/>
                <w:i w:val="0"/>
                <w:color w:val="333333"/>
                <w:sz w:val="17"/>
              </w:rPr>
              <w:t>99,5 % mensuel, hors maintenance annoncée</w:t>
            </w:r>
          </w:p>
        </w:tc>
      </w:tr>
      <w:tr>
        <w:tc>
          <w:tcPr>
            <w:tcW w:type="dxa" w:w="4873"/>
            <w:shd w:val="clear" w:fill="F2F6FA"/>
          </w:tcPr>
          <w:p>
            <w:pPr>
              <w:spacing w:before="40" w:after="40"/>
            </w:pPr>
            <w:r>
              <w:rPr>
                <w:rFonts w:ascii="Calibri" w:hAnsi="Calibri"/>
                <w:b w:val="0"/>
                <w:i w:val="0"/>
                <w:color w:val="333333"/>
                <w:sz w:val="17"/>
              </w:rPr>
              <w:t>Disponibilité terrain (encaissement possible)</w:t>
            </w:r>
          </w:p>
        </w:tc>
        <w:tc>
          <w:tcPr>
            <w:tcW w:type="dxa" w:w="4873"/>
            <w:shd w:val="clear" w:fill="F2F6FA"/>
          </w:tcPr>
          <w:p>
            <w:pPr>
              <w:spacing w:before="40" w:after="40"/>
            </w:pPr>
            <w:r>
              <w:rPr>
                <w:rFonts w:ascii="Calibri" w:hAnsi="Calibri"/>
                <w:b w:val="0"/>
                <w:i w:val="0"/>
                <w:color w:val="333333"/>
                <w:sz w:val="17"/>
              </w:rPr>
              <w:t>~100 % — le mode hors ligne rend l'encaissement indépendant du back-office</w:t>
            </w:r>
          </w:p>
        </w:tc>
      </w:tr>
      <w:tr>
        <w:tc>
          <w:tcPr>
            <w:tcW w:type="dxa" w:w="4873"/>
          </w:tcPr>
          <w:p>
            <w:pPr>
              <w:spacing w:before="40" w:after="40"/>
            </w:pPr>
            <w:r>
              <w:rPr>
                <w:rFonts w:ascii="Calibri" w:hAnsi="Calibri"/>
                <w:b w:val="0"/>
                <w:i w:val="0"/>
                <w:color w:val="333333"/>
                <w:sz w:val="17"/>
              </w:rPr>
              <w:t>RPO (perte de données maximale)</w:t>
            </w:r>
          </w:p>
        </w:tc>
        <w:tc>
          <w:tcPr>
            <w:tcW w:type="dxa" w:w="4873"/>
          </w:tcPr>
          <w:p>
            <w:pPr>
              <w:spacing w:before="40" w:after="40"/>
            </w:pPr>
            <w:r>
              <w:rPr>
                <w:rFonts w:ascii="Calibri" w:hAnsi="Calibri"/>
                <w:b w:val="0"/>
                <w:i w:val="0"/>
                <w:color w:val="333333"/>
                <w:sz w:val="17"/>
              </w:rPr>
              <w:t>15 minutes sur la base de données (expédition des binlogs) ; 0 pour les encaissements terrain, conservés sur l'appareil jusqu'à acquittement</w:t>
            </w:r>
          </w:p>
        </w:tc>
      </w:tr>
      <w:tr>
        <w:tc>
          <w:tcPr>
            <w:tcW w:type="dxa" w:w="4873"/>
            <w:shd w:val="clear" w:fill="F2F6FA"/>
          </w:tcPr>
          <w:p>
            <w:pPr>
              <w:spacing w:before="40" w:after="40"/>
            </w:pPr>
            <w:r>
              <w:rPr>
                <w:rFonts w:ascii="Calibri" w:hAnsi="Calibri"/>
                <w:b w:val="0"/>
                <w:i w:val="0"/>
                <w:color w:val="333333"/>
                <w:sz w:val="17"/>
              </w:rPr>
              <w:t>RTO (délai maximal de rétablissement)</w:t>
            </w:r>
          </w:p>
        </w:tc>
        <w:tc>
          <w:tcPr>
            <w:tcW w:type="dxa" w:w="4873"/>
            <w:shd w:val="clear" w:fill="F2F6FA"/>
          </w:tcPr>
          <w:p>
            <w:pPr>
              <w:spacing w:before="40" w:after="40"/>
            </w:pPr>
            <w:r>
              <w:rPr>
                <w:rFonts w:ascii="Calibri" w:hAnsi="Calibri"/>
                <w:b w:val="0"/>
                <w:i w:val="0"/>
                <w:color w:val="333333"/>
                <w:sz w:val="17"/>
              </w:rPr>
              <w:t>4 heures</w:t>
            </w:r>
          </w:p>
        </w:tc>
      </w:tr>
      <w:tr>
        <w:tc>
          <w:tcPr>
            <w:tcW w:type="dxa" w:w="4873"/>
          </w:tcPr>
          <w:p>
            <w:pPr>
              <w:spacing w:before="40" w:after="40"/>
            </w:pPr>
            <w:r>
              <w:rPr>
                <w:rFonts w:ascii="Calibri" w:hAnsi="Calibri"/>
                <w:b w:val="0"/>
                <w:i w:val="0"/>
                <w:color w:val="333333"/>
                <w:sz w:val="17"/>
              </w:rPr>
              <w:t>Sauvegardes</w:t>
            </w:r>
          </w:p>
        </w:tc>
        <w:tc>
          <w:tcPr>
            <w:tcW w:type="dxa" w:w="4873"/>
          </w:tcPr>
          <w:p>
            <w:pPr>
              <w:spacing w:before="40" w:after="40"/>
            </w:pPr>
            <w:r>
              <w:rPr>
                <w:rFonts w:ascii="Calibri" w:hAnsi="Calibri"/>
                <w:b w:val="0"/>
                <w:i w:val="0"/>
                <w:color w:val="333333"/>
                <w:sz w:val="17"/>
              </w:rPr>
              <w:t xml:space="preserve">Complète quotidienne + binlog continu ; chiffrées ; conservées 30 jours ; archive mensuelle conservée 12 mois ; </w:t>
            </w:r>
            <w:r>
              <w:rPr>
                <w:rFonts w:ascii="Calibri" w:hAnsi="Calibri"/>
                <w:b/>
                <w:i w:val="0"/>
                <w:color w:val="333333"/>
                <w:sz w:val="17"/>
              </w:rPr>
              <w:t>test de restauration chaque trimestre</w:t>
            </w:r>
          </w:p>
        </w:tc>
      </w:tr>
    </w:tbl>
    <w:p>
      <w:pPr>
        <w:spacing w:after="40"/>
      </w:pPr>
    </w:p>
    <w:p>
      <w:pPr>
        <w:pStyle w:val="Heading1"/>
        <w:pageBreakBefore/>
        <w:spacing w:before="360" w:after="80"/>
        <w:keepNext/>
        <w:pBdr>
          <w:bottom w:val="single" w:sz="8" w:space="6" w:color="1B3A5C"/>
        </w:pBdr>
      </w:pPr>
      <w:bookmarkStart w:id="147" w:name="_Toc_s046"/>
      <w:r>
        <w:rPr>
          <w:rFonts w:ascii="Calibri" w:hAnsi="Calibri"/>
          <w:b/>
          <w:color w:val="1B3A5C"/>
          <w:sz w:val="30"/>
        </w:rPr>
        <w:t>11. Exigences non fonctionnelles</w:t>
      </w:r>
      <w:bookmarkEnd w:id="14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Domaine</w:t>
            </w:r>
          </w:p>
        </w:tc>
        <w:tc>
          <w:tcPr>
            <w:tcW w:type="dxa" w:w="4873"/>
            <w:shd w:val="clear" w:fill="1B3A5C"/>
          </w:tcPr>
          <w:p>
            <w:pPr>
              <w:spacing w:before="60" w:after="60"/>
            </w:pPr>
            <w:r>
              <w:rPr>
                <w:rFonts w:ascii="Calibri" w:hAnsi="Calibri"/>
                <w:b/>
                <w:color w:val="FFFFFF"/>
                <w:sz w:val="17"/>
              </w:rPr>
              <w:t>Exigence</w:t>
            </w:r>
          </w:p>
        </w:tc>
      </w:tr>
      <w:tr>
        <w:tc>
          <w:tcPr>
            <w:tcW w:type="dxa" w:w="4873"/>
          </w:tcPr>
          <w:p>
            <w:pPr>
              <w:spacing w:before="40" w:after="40"/>
            </w:pPr>
            <w:r>
              <w:rPr>
                <w:rFonts w:ascii="Calibri" w:hAnsi="Calibri"/>
                <w:b/>
                <w:i w:val="0"/>
                <w:color w:val="333333"/>
                <w:sz w:val="17"/>
              </w:rPr>
              <w:t>Fonctionnement hors ligne</w:t>
            </w:r>
          </w:p>
        </w:tc>
        <w:tc>
          <w:tcPr>
            <w:tcW w:type="dxa" w:w="4873"/>
          </w:tcPr>
          <w:p>
            <w:pPr>
              <w:spacing w:before="40" w:after="40"/>
            </w:pPr>
            <w:r>
              <w:rPr>
                <w:rFonts w:ascii="Calibri" w:hAnsi="Calibri"/>
                <w:b w:val="0"/>
                <w:i w:val="0"/>
                <w:color w:val="333333"/>
                <w:sz w:val="17"/>
              </w:rPr>
              <w:t>Saisie complète de souscription et encaissement de prime sans réseau ; synchronisation automatique à la reconnexion ; aucune perte de données ; aucun double enregistrement</w:t>
            </w:r>
          </w:p>
        </w:tc>
      </w:tr>
      <w:tr>
        <w:tc>
          <w:tcPr>
            <w:tcW w:type="dxa" w:w="4873"/>
            <w:shd w:val="clear" w:fill="F2F6FA"/>
          </w:tcPr>
          <w:p>
            <w:pPr>
              <w:spacing w:before="40" w:after="40"/>
            </w:pPr>
            <w:r>
              <w:rPr>
                <w:rFonts w:ascii="Calibri" w:hAnsi="Calibri"/>
                <w:b/>
                <w:i w:val="0"/>
                <w:color w:val="333333"/>
                <w:sz w:val="17"/>
              </w:rPr>
              <w:t>Performance</w:t>
            </w:r>
          </w:p>
        </w:tc>
        <w:tc>
          <w:tcPr>
            <w:tcW w:type="dxa" w:w="4873"/>
            <w:shd w:val="clear" w:fill="F2F6FA"/>
          </w:tcPr>
          <w:p>
            <w:pPr>
              <w:spacing w:before="40" w:after="40"/>
            </w:pPr>
            <w:r>
              <w:rPr>
                <w:rFonts w:ascii="Calibri" w:hAnsi="Calibri"/>
                <w:b w:val="0"/>
                <w:i w:val="0"/>
                <w:color w:val="333333"/>
                <w:sz w:val="17"/>
              </w:rPr>
              <w:t>Transition d'écran TPE &lt; 1 s ; lecture de carte → affichage de la liste des polices &lt; 2 s en ligne, &lt; 500 ms depuis le cache ; pages de liste back-office &lt; 2 s à 100 000 encaissements ; export Excel d'un mois généré de façon asynchrone et téléchargeable</w:t>
            </w:r>
          </w:p>
        </w:tc>
      </w:tr>
      <w:tr>
        <w:tc>
          <w:tcPr>
            <w:tcW w:type="dxa" w:w="4873"/>
          </w:tcPr>
          <w:p>
            <w:pPr>
              <w:spacing w:before="40" w:after="40"/>
            </w:pPr>
            <w:r>
              <w:rPr>
                <w:rFonts w:ascii="Calibri" w:hAnsi="Calibri"/>
                <w:b/>
                <w:i w:val="0"/>
                <w:color w:val="333333"/>
                <w:sz w:val="17"/>
              </w:rPr>
              <w:t>Langues</w:t>
            </w:r>
          </w:p>
        </w:tc>
        <w:tc>
          <w:tcPr>
            <w:tcW w:type="dxa" w:w="4873"/>
          </w:tcPr>
          <w:p>
            <w:pPr>
              <w:spacing w:before="40" w:after="40"/>
            </w:pPr>
            <w:r>
              <w:rPr>
                <w:rFonts w:ascii="Calibri" w:hAnsi="Calibri"/>
                <w:b w:val="0"/>
                <w:i w:val="0"/>
                <w:color w:val="333333"/>
                <w:sz w:val="17"/>
              </w:rPr>
              <w:t>Français (principal) et anglais sur le TPE et au back-office</w:t>
            </w:r>
          </w:p>
        </w:tc>
      </w:tr>
      <w:tr>
        <w:tc>
          <w:tcPr>
            <w:tcW w:type="dxa" w:w="4873"/>
            <w:shd w:val="clear" w:fill="F2F6FA"/>
          </w:tcPr>
          <w:p>
            <w:pPr>
              <w:spacing w:before="40" w:after="40"/>
            </w:pPr>
            <w:r>
              <w:rPr>
                <w:rFonts w:ascii="Calibri" w:hAnsi="Calibri"/>
                <w:b/>
                <w:i w:val="0"/>
                <w:color w:val="333333"/>
                <w:sz w:val="17"/>
              </w:rPr>
              <w:t>Devise</w:t>
            </w:r>
          </w:p>
        </w:tc>
        <w:tc>
          <w:tcPr>
            <w:tcW w:type="dxa" w:w="4873"/>
            <w:shd w:val="clear" w:fill="F2F6FA"/>
          </w:tcPr>
          <w:p>
            <w:pPr>
              <w:spacing w:before="40" w:after="40"/>
            </w:pPr>
            <w:r>
              <w:rPr>
                <w:rFonts w:ascii="Calibri" w:hAnsi="Calibri"/>
                <w:b w:val="0"/>
                <w:i w:val="0"/>
                <w:color w:val="333333"/>
                <w:sz w:val="17"/>
              </w:rPr>
              <w:t>XOF, sans décimales à l'affichage ; montants stockés avec 2 décimales</w:t>
            </w:r>
          </w:p>
        </w:tc>
      </w:tr>
      <w:tr>
        <w:tc>
          <w:tcPr>
            <w:tcW w:type="dxa" w:w="4873"/>
          </w:tcPr>
          <w:p>
            <w:pPr>
              <w:spacing w:before="40" w:after="40"/>
            </w:pPr>
            <w:r>
              <w:rPr>
                <w:rFonts w:ascii="Calibri" w:hAnsi="Calibri"/>
                <w:b/>
                <w:i w:val="0"/>
                <w:color w:val="333333"/>
                <w:sz w:val="17"/>
              </w:rPr>
              <w:t>Ergonomie de terrain</w:t>
            </w:r>
          </w:p>
        </w:tc>
        <w:tc>
          <w:tcPr>
            <w:tcW w:type="dxa" w:w="4873"/>
          </w:tcPr>
          <w:p>
            <w:pPr>
              <w:spacing w:before="40" w:after="40"/>
            </w:pPr>
            <w:r>
              <w:rPr>
                <w:rFonts w:ascii="Calibri" w:hAnsi="Calibri"/>
                <w:b w:val="0"/>
                <w:i w:val="0"/>
                <w:color w:val="333333"/>
                <w:sz w:val="17"/>
              </w:rPr>
              <w:t>Grandes zones tactiles, fort contraste, lisible en plein soleil, tolérant à une faible littératie (icônes + libellés français)</w:t>
            </w:r>
          </w:p>
        </w:tc>
      </w:tr>
      <w:tr>
        <w:tc>
          <w:tcPr>
            <w:tcW w:type="dxa" w:w="4873"/>
            <w:shd w:val="clear" w:fill="F2F6FA"/>
          </w:tcPr>
          <w:p>
            <w:pPr>
              <w:spacing w:before="40" w:after="40"/>
            </w:pPr>
            <w:r>
              <w:rPr>
                <w:rFonts w:ascii="Calibri" w:hAnsi="Calibri"/>
                <w:b/>
                <w:i w:val="0"/>
                <w:color w:val="333333"/>
                <w:sz w:val="17"/>
              </w:rPr>
              <w:t>Autonomie</w:t>
            </w:r>
          </w:p>
        </w:tc>
        <w:tc>
          <w:tcPr>
            <w:tcW w:type="dxa" w:w="4873"/>
            <w:shd w:val="clear" w:fill="F2F6FA"/>
          </w:tcPr>
          <w:p>
            <w:pPr>
              <w:spacing w:before="40" w:after="40"/>
            </w:pPr>
            <w:r>
              <w:rPr>
                <w:rFonts w:ascii="Calibri" w:hAnsi="Calibri"/>
                <w:b w:val="0"/>
                <w:i w:val="0"/>
                <w:color w:val="333333"/>
                <w:sz w:val="17"/>
              </w:rPr>
              <w:t>Une journée complète d'encaissement sur une charge en usage normal</w:t>
            </w:r>
          </w:p>
        </w:tc>
      </w:tr>
      <w:tr>
        <w:tc>
          <w:tcPr>
            <w:tcW w:type="dxa" w:w="4873"/>
          </w:tcPr>
          <w:p>
            <w:pPr>
              <w:spacing w:before="40" w:after="40"/>
            </w:pPr>
            <w:r>
              <w:rPr>
                <w:rFonts w:ascii="Calibri" w:hAnsi="Calibri"/>
                <w:b/>
                <w:i w:val="0"/>
                <w:color w:val="333333"/>
                <w:sz w:val="17"/>
              </w:rPr>
              <w:t>Impression</w:t>
            </w:r>
          </w:p>
        </w:tc>
        <w:tc>
          <w:tcPr>
            <w:tcW w:type="dxa" w:w="4873"/>
          </w:tcPr>
          <w:p>
            <w:pPr>
              <w:spacing w:before="40" w:after="40"/>
            </w:pPr>
            <w:r>
              <w:rPr>
                <w:rFonts w:ascii="Calibri" w:hAnsi="Calibri"/>
                <w:b w:val="0"/>
                <w:i w:val="0"/>
                <w:color w:val="333333"/>
                <w:sz w:val="17"/>
              </w:rPr>
              <w:t>Toute opération financière produit un reçu imprimé ; tout reçu peut être réimprimé dans la journée avec une mention « DUPLICATA » explicite</w:t>
            </w:r>
          </w:p>
        </w:tc>
      </w:tr>
      <w:tr>
        <w:tc>
          <w:tcPr>
            <w:tcW w:type="dxa" w:w="4873"/>
            <w:shd w:val="clear" w:fill="F2F6FA"/>
          </w:tcPr>
          <w:p>
            <w:pPr>
              <w:spacing w:before="40" w:after="40"/>
            </w:pPr>
            <w:r>
              <w:rPr>
                <w:rFonts w:ascii="Calibri" w:hAnsi="Calibri"/>
                <w:b/>
                <w:i w:val="0"/>
                <w:color w:val="333333"/>
                <w:sz w:val="17"/>
              </w:rPr>
              <w:t>Auditabilité</w:t>
            </w:r>
          </w:p>
        </w:tc>
        <w:tc>
          <w:tcPr>
            <w:tcW w:type="dxa" w:w="4873"/>
            <w:shd w:val="clear" w:fill="F2F6FA"/>
          </w:tcPr>
          <w:p>
            <w:pPr>
              <w:spacing w:before="40" w:after="40"/>
            </w:pPr>
            <w:r>
              <w:rPr>
                <w:rFonts w:ascii="Calibri" w:hAnsi="Calibri"/>
                <w:b w:val="0"/>
                <w:i w:val="0"/>
                <w:color w:val="333333"/>
                <w:sz w:val="17"/>
              </w:rPr>
              <w:t>Toute création/modification/suppression sur une entité sensible est consignée avec acteur, horodatage et valeurs avant/après</w:t>
            </w:r>
          </w:p>
        </w:tc>
      </w:tr>
      <w:tr>
        <w:tc>
          <w:tcPr>
            <w:tcW w:type="dxa" w:w="4873"/>
          </w:tcPr>
          <w:p>
            <w:pPr>
              <w:spacing w:before="40" w:after="40"/>
            </w:pPr>
            <w:r>
              <w:rPr>
                <w:rFonts w:ascii="Calibri" w:hAnsi="Calibri"/>
                <w:b/>
                <w:i w:val="0"/>
                <w:color w:val="333333"/>
                <w:sz w:val="17"/>
              </w:rPr>
              <w:t>Maintenabilité</w:t>
            </w:r>
          </w:p>
        </w:tc>
        <w:tc>
          <w:tcPr>
            <w:tcW w:type="dxa" w:w="4873"/>
          </w:tcPr>
          <w:p>
            <w:pPr>
              <w:spacing w:before="40" w:after="40"/>
            </w:pPr>
            <w:r>
              <w:rPr>
                <w:rFonts w:ascii="Calibri" w:hAnsi="Calibri"/>
                <w:b w:val="0"/>
                <w:i w:val="0"/>
                <w:color w:val="333333"/>
                <w:sz w:val="17"/>
              </w:rPr>
              <w:t>Configuration plutôt que code : produits, plafonds, frais, modèles de reçus, mappings de champs et habilitations sont paramétrables par un administrateur sans livraison logicielle</w:t>
            </w:r>
          </w:p>
        </w:tc>
      </w:tr>
    </w:tbl>
    <w:p>
      <w:pPr>
        <w:spacing w:after="40"/>
      </w:pPr>
    </w:p>
    <w:p>
      <w:pPr>
        <w:pStyle w:val="Heading1"/>
        <w:pageBreakBefore/>
        <w:spacing w:before="360" w:after="80"/>
        <w:keepNext/>
        <w:pBdr>
          <w:bottom w:val="single" w:sz="8" w:space="6" w:color="1B3A5C"/>
        </w:pBdr>
      </w:pPr>
      <w:bookmarkStart w:id="148" w:name="_Toc_s047"/>
      <w:r>
        <w:rPr>
          <w:rFonts w:ascii="Calibri" w:hAnsi="Calibri"/>
          <w:b/>
          <w:color w:val="1B3A5C"/>
          <w:sz w:val="30"/>
        </w:rPr>
        <w:t>12. Hypothèses, points ouverts et décisions attendues</w:t>
      </w:r>
      <w:bookmarkEnd w:id="148"/>
    </w:p>
    <w:p>
      <w:pPr>
        <w:pStyle w:val="Heading2"/>
        <w:spacing w:before="280" w:after="80"/>
        <w:keepNext/>
      </w:pPr>
      <w:bookmarkStart w:id="149" w:name="_Toc_s048"/>
      <w:r>
        <w:rPr>
          <w:rFonts w:ascii="Calibri" w:hAnsi="Calibri"/>
          <w:b/>
          <w:color w:val="1B3A5C"/>
          <w:sz w:val="24"/>
        </w:rPr>
        <w:t>12.1 Hypothèses</w:t>
      </w:r>
      <w:bookmarkEnd w:id="14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907"/>
            <w:shd w:val="clear" w:fill="1B3A5C"/>
          </w:tcPr>
          <w:p>
            <w:pPr>
              <w:spacing w:before="60" w:after="60"/>
            </w:pPr>
            <w:r>
              <w:rPr>
                <w:rFonts w:ascii="Calibri" w:hAnsi="Calibri"/>
                <w:b/>
                <w:color w:val="FFFFFF"/>
                <w:sz w:val="17"/>
              </w:rPr>
              <w:t>#</w:t>
            </w:r>
          </w:p>
        </w:tc>
        <w:tc>
          <w:tcPr>
            <w:tcW w:type="dxa" w:w="8504"/>
            <w:shd w:val="clear" w:fill="1B3A5C"/>
          </w:tcPr>
          <w:p>
            <w:pPr>
              <w:spacing w:before="60" w:after="60"/>
            </w:pPr>
            <w:r>
              <w:rPr>
                <w:rFonts w:ascii="Calibri" w:hAnsi="Calibri"/>
                <w:b/>
                <w:color w:val="FFFFFF"/>
                <w:sz w:val="17"/>
              </w:rPr>
              <w:t>Hypothèse</w:t>
            </w:r>
          </w:p>
        </w:tc>
      </w:tr>
      <w:tr>
        <w:tc>
          <w:tcPr>
            <w:tcW w:type="dxa" w:w="907"/>
          </w:tcPr>
          <w:p>
            <w:pPr>
              <w:spacing w:before="40" w:after="40"/>
            </w:pPr>
            <w:r>
              <w:rPr>
                <w:rFonts w:ascii="Calibri" w:hAnsi="Calibri"/>
                <w:b w:val="0"/>
                <w:i w:val="0"/>
                <w:color w:val="333333"/>
                <w:sz w:val="17"/>
              </w:rPr>
              <w:t>A1</w:t>
            </w:r>
          </w:p>
        </w:tc>
        <w:tc>
          <w:tcPr>
            <w:tcW w:type="dxa" w:w="8504"/>
          </w:tcPr>
          <w:p>
            <w:pPr>
              <w:spacing w:before="40" w:after="40"/>
            </w:pPr>
            <w:r>
              <w:rPr>
                <w:rFonts w:ascii="Calibri" w:hAnsi="Calibri"/>
                <w:b w:val="0"/>
                <w:i w:val="0"/>
                <w:color w:val="333333"/>
                <w:sz w:val="17"/>
              </w:rPr>
              <w:t>Les terminaux TPE sont des appareils Android de la famille Telpo/Feitian déjà pris en charge par l'application existante (lecteur NFC, imprimante thermique, appareil photo, GPS, 4G)</w:t>
            </w:r>
          </w:p>
        </w:tc>
      </w:tr>
      <w:tr>
        <w:tc>
          <w:tcPr>
            <w:tcW w:type="dxa" w:w="907"/>
            <w:shd w:val="clear" w:fill="F2F6FA"/>
          </w:tcPr>
          <w:p>
            <w:pPr>
              <w:spacing w:before="40" w:after="40"/>
            </w:pPr>
            <w:r>
              <w:rPr>
                <w:rFonts w:ascii="Calibri" w:hAnsi="Calibri"/>
                <w:b w:val="0"/>
                <w:i w:val="0"/>
                <w:color w:val="333333"/>
                <w:sz w:val="17"/>
              </w:rPr>
              <w:t>A2</w:t>
            </w:r>
          </w:p>
        </w:tc>
        <w:tc>
          <w:tcPr>
            <w:tcW w:type="dxa" w:w="8504"/>
            <w:shd w:val="clear" w:fill="F2F6FA"/>
          </w:tcPr>
          <w:p>
            <w:pPr>
              <w:spacing w:before="40" w:after="40"/>
            </w:pPr>
            <w:r>
              <w:rPr>
                <w:rFonts w:ascii="Calibri" w:hAnsi="Calibri"/>
                <w:b w:val="0"/>
                <w:i w:val="0"/>
                <w:color w:val="333333"/>
                <w:sz w:val="17"/>
              </w:rPr>
              <w:t>SUNU fournit les cartes SIM et le forfait data des 15 terminaux</w:t>
            </w:r>
          </w:p>
        </w:tc>
      </w:tr>
      <w:tr>
        <w:tc>
          <w:tcPr>
            <w:tcW w:type="dxa" w:w="907"/>
          </w:tcPr>
          <w:p>
            <w:pPr>
              <w:spacing w:before="40" w:after="40"/>
            </w:pPr>
            <w:r>
              <w:rPr>
                <w:rFonts w:ascii="Calibri" w:hAnsi="Calibri"/>
                <w:b w:val="0"/>
                <w:i w:val="0"/>
                <w:color w:val="333333"/>
                <w:sz w:val="17"/>
              </w:rPr>
              <w:t>A3</w:t>
            </w:r>
          </w:p>
        </w:tc>
        <w:tc>
          <w:tcPr>
            <w:tcW w:type="dxa" w:w="8504"/>
          </w:tcPr>
          <w:p>
            <w:pPr>
              <w:spacing w:before="40" w:after="40"/>
            </w:pPr>
            <w:r>
              <w:rPr>
                <w:rFonts w:ascii="Calibri" w:hAnsi="Calibri"/>
                <w:b w:val="0"/>
                <w:i w:val="0"/>
                <w:color w:val="333333"/>
                <w:sz w:val="17"/>
              </w:rPr>
              <w:t>Les collecteurs sont des salariés ou des mandataires de SUNU, identifiés individuellement, chacun affecté à un terminal déterminé</w:t>
            </w:r>
          </w:p>
        </w:tc>
      </w:tr>
      <w:tr>
        <w:tc>
          <w:tcPr>
            <w:tcW w:type="dxa" w:w="907"/>
            <w:shd w:val="clear" w:fill="F2F6FA"/>
          </w:tcPr>
          <w:p>
            <w:pPr>
              <w:spacing w:before="40" w:after="40"/>
            </w:pPr>
            <w:r>
              <w:rPr>
                <w:rFonts w:ascii="Calibri" w:hAnsi="Calibri"/>
                <w:b w:val="0"/>
                <w:i w:val="0"/>
                <w:color w:val="333333"/>
                <w:sz w:val="17"/>
              </w:rPr>
              <w:t>A4</w:t>
            </w:r>
          </w:p>
        </w:tc>
        <w:tc>
          <w:tcPr>
            <w:tcW w:type="dxa" w:w="8504"/>
            <w:shd w:val="clear" w:fill="F2F6FA"/>
          </w:tcPr>
          <w:p>
            <w:pPr>
              <w:spacing w:before="40" w:after="40"/>
            </w:pPr>
            <w:r>
              <w:rPr>
                <w:rFonts w:ascii="Calibri" w:hAnsi="Calibri"/>
                <w:b w:val="0"/>
                <w:i w:val="0"/>
                <w:color w:val="333333"/>
                <w:sz w:val="17"/>
              </w:rPr>
              <w:t>La proposition d'assurance papier demeure le document juridique pendant le pilote ; la solution la capture et la transmet, elle ne remplace pas la signature</w:t>
            </w:r>
          </w:p>
        </w:tc>
      </w:tr>
      <w:tr>
        <w:tc>
          <w:tcPr>
            <w:tcW w:type="dxa" w:w="907"/>
          </w:tcPr>
          <w:p>
            <w:pPr>
              <w:spacing w:before="40" w:after="40"/>
            </w:pPr>
            <w:r>
              <w:rPr>
                <w:rFonts w:ascii="Calibri" w:hAnsi="Calibri"/>
                <w:b w:val="0"/>
                <w:i w:val="0"/>
                <w:color w:val="333333"/>
                <w:sz w:val="17"/>
              </w:rPr>
              <w:t>A5</w:t>
            </w:r>
          </w:p>
        </w:tc>
        <w:tc>
          <w:tcPr>
            <w:tcW w:type="dxa" w:w="8504"/>
          </w:tcPr>
          <w:p>
            <w:pPr>
              <w:spacing w:before="40" w:after="40"/>
            </w:pPr>
            <w:r>
              <w:rPr>
                <w:rFonts w:ascii="Calibri" w:hAnsi="Calibri"/>
                <w:b w:val="0"/>
                <w:i w:val="0"/>
                <w:color w:val="333333"/>
                <w:sz w:val="17"/>
              </w:rPr>
              <w:t>La station de personnalisation est fournie avec une interface documentée ou accepte un fichier/CSV standard en entrée pour l'impression et l'encodage</w:t>
            </w:r>
          </w:p>
        </w:tc>
      </w:tr>
      <w:tr>
        <w:tc>
          <w:tcPr>
            <w:tcW w:type="dxa" w:w="907"/>
            <w:shd w:val="clear" w:fill="F2F6FA"/>
          </w:tcPr>
          <w:p>
            <w:pPr>
              <w:spacing w:before="40" w:after="40"/>
            </w:pPr>
            <w:r>
              <w:rPr>
                <w:rFonts w:ascii="Calibri" w:hAnsi="Calibri"/>
                <w:b w:val="0"/>
                <w:i w:val="0"/>
                <w:color w:val="333333"/>
                <w:sz w:val="17"/>
              </w:rPr>
              <w:t>A6</w:t>
            </w:r>
          </w:p>
        </w:tc>
        <w:tc>
          <w:tcPr>
            <w:tcW w:type="dxa" w:w="8504"/>
            <w:shd w:val="clear" w:fill="F2F6FA"/>
          </w:tcPr>
          <w:p>
            <w:pPr>
              <w:spacing w:before="40" w:after="40"/>
            </w:pPr>
            <w:r>
              <w:rPr>
                <w:rFonts w:ascii="Calibri" w:hAnsi="Calibri"/>
                <w:b w:val="0"/>
                <w:i w:val="0"/>
                <w:color w:val="333333"/>
                <w:sz w:val="17"/>
              </w:rPr>
              <w:t>SUNU fournit une extraction des clients et polices existants pour l'import de phase 0</w:t>
            </w:r>
          </w:p>
        </w:tc>
      </w:tr>
      <w:tr>
        <w:tc>
          <w:tcPr>
            <w:tcW w:type="dxa" w:w="907"/>
          </w:tcPr>
          <w:p>
            <w:pPr>
              <w:spacing w:before="40" w:after="40"/>
            </w:pPr>
            <w:r>
              <w:rPr>
                <w:rFonts w:ascii="Calibri" w:hAnsi="Calibri"/>
                <w:b w:val="0"/>
                <w:i w:val="0"/>
                <w:color w:val="333333"/>
                <w:sz w:val="17"/>
              </w:rPr>
              <w:t>A7</w:t>
            </w:r>
          </w:p>
        </w:tc>
        <w:tc>
          <w:tcPr>
            <w:tcW w:type="dxa" w:w="8504"/>
          </w:tcPr>
          <w:p>
            <w:pPr>
              <w:spacing w:before="40" w:after="40"/>
            </w:pPr>
            <w:r>
              <w:rPr>
                <w:rFonts w:ascii="Calibri" w:hAnsi="Calibri"/>
                <w:b w:val="0"/>
                <w:i w:val="0"/>
                <w:color w:val="333333"/>
                <w:sz w:val="17"/>
              </w:rPr>
              <w:t>Les montants sont exprimés en XOF</w:t>
            </w:r>
          </w:p>
        </w:tc>
      </w:tr>
    </w:tbl>
    <w:p>
      <w:pPr>
        <w:spacing w:after="40"/>
      </w:pPr>
    </w:p>
    <w:p>
      <w:pPr>
        <w:pStyle w:val="Heading2"/>
        <w:spacing w:before="280" w:after="80"/>
        <w:keepNext/>
      </w:pPr>
      <w:bookmarkStart w:id="150" w:name="_Toc_s049"/>
      <w:r>
        <w:rPr>
          <w:rFonts w:ascii="Calibri" w:hAnsi="Calibri"/>
          <w:b/>
          <w:color w:val="1B3A5C"/>
          <w:sz w:val="24"/>
        </w:rPr>
        <w:t>12.2 Points ouverts appelant une décision de SUNU</w:t>
      </w:r>
      <w:bookmarkEnd w:id="15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2436"/>
            <w:shd w:val="clear" w:fill="1B3A5C"/>
          </w:tcPr>
          <w:p>
            <w:pPr>
              <w:spacing w:before="60" w:after="60"/>
            </w:pPr>
            <w:r>
              <w:rPr>
                <w:rFonts w:ascii="Calibri" w:hAnsi="Calibri"/>
                <w:b/>
                <w:color w:val="FFFFFF"/>
                <w:sz w:val="17"/>
              </w:rPr>
              <w:t>#</w:t>
            </w:r>
          </w:p>
        </w:tc>
        <w:tc>
          <w:tcPr>
            <w:tcW w:type="dxa" w:w="2436"/>
            <w:shd w:val="clear" w:fill="1B3A5C"/>
          </w:tcPr>
          <w:p>
            <w:pPr>
              <w:spacing w:before="60" w:after="60"/>
            </w:pPr>
            <w:r>
              <w:rPr>
                <w:rFonts w:ascii="Calibri" w:hAnsi="Calibri"/>
                <w:b/>
                <w:color w:val="FFFFFF"/>
                <w:sz w:val="17"/>
              </w:rPr>
              <w:t>Point ouvert</w:t>
            </w:r>
          </w:p>
        </w:tc>
        <w:tc>
          <w:tcPr>
            <w:tcW w:type="dxa" w:w="2436"/>
            <w:shd w:val="clear" w:fill="1B3A5C"/>
          </w:tcPr>
          <w:p>
            <w:pPr>
              <w:spacing w:before="60" w:after="60"/>
            </w:pPr>
            <w:r>
              <w:rPr>
                <w:rFonts w:ascii="Calibri" w:hAnsi="Calibri"/>
                <w:b/>
                <w:color w:val="FFFFFF"/>
                <w:sz w:val="17"/>
              </w:rPr>
              <w:t>Impact s'il reste non tranché</w:t>
            </w:r>
          </w:p>
        </w:tc>
        <w:tc>
          <w:tcPr>
            <w:tcW w:type="dxa" w:w="2436"/>
            <w:shd w:val="clear" w:fill="1B3A5C"/>
          </w:tcPr>
          <w:p>
            <w:pPr>
              <w:spacing w:before="60" w:after="60"/>
            </w:pPr>
            <w:r>
              <w:rPr>
                <w:rFonts w:ascii="Calibri" w:hAnsi="Calibri"/>
                <w:b/>
                <w:color w:val="FFFFFF"/>
                <w:sz w:val="17"/>
              </w:rPr>
              <w:t>Échéance</w:t>
            </w:r>
          </w:p>
        </w:tc>
      </w:tr>
      <w:tr>
        <w:tc>
          <w:tcPr>
            <w:tcW w:type="dxa" w:w="2436"/>
          </w:tcPr>
          <w:p>
            <w:pPr>
              <w:spacing w:before="40" w:after="40"/>
            </w:pPr>
            <w:r>
              <w:rPr>
                <w:rFonts w:ascii="Calibri" w:hAnsi="Calibri"/>
                <w:b/>
                <w:i w:val="0"/>
                <w:color w:val="333333"/>
                <w:sz w:val="17"/>
              </w:rPr>
              <w:t>OP-1</w:t>
            </w:r>
          </w:p>
        </w:tc>
        <w:tc>
          <w:tcPr>
            <w:tcW w:type="dxa" w:w="2436"/>
          </w:tcPr>
          <w:p>
            <w:pPr>
              <w:spacing w:before="40" w:after="40"/>
            </w:pPr>
            <w:r>
              <w:rPr>
                <w:rFonts w:ascii="Calibri" w:hAnsi="Calibri"/>
                <w:b w:val="0"/>
                <w:i w:val="0"/>
                <w:color w:val="333333"/>
                <w:sz w:val="17"/>
              </w:rPr>
              <w:t>Existence, documentation et accès de test à l'API SUNULIFE (section 8.5)</w:t>
            </w:r>
          </w:p>
        </w:tc>
        <w:tc>
          <w:tcPr>
            <w:tcW w:type="dxa" w:w="2436"/>
          </w:tcPr>
          <w:p>
            <w:pPr>
              <w:spacing w:before="40" w:after="40"/>
            </w:pPr>
            <w:r>
              <w:rPr>
                <w:rFonts w:ascii="Calibri" w:hAnsi="Calibri"/>
                <w:b w:val="0"/>
                <w:i w:val="0"/>
                <w:color w:val="333333"/>
                <w:sz w:val="17"/>
              </w:rPr>
              <w:t>Détermine si la phase 1 est possible pour novembre ou si le repli fichier s'applique</w:t>
            </w:r>
          </w:p>
        </w:tc>
        <w:tc>
          <w:tcPr>
            <w:tcW w:type="dxa" w:w="2436"/>
          </w:tcPr>
          <w:p>
            <w:pPr>
              <w:spacing w:before="40" w:after="40"/>
            </w:pPr>
            <w:r>
              <w:rPr>
                <w:rFonts w:ascii="Calibri" w:hAnsi="Calibri"/>
                <w:b w:val="0"/>
                <w:i w:val="0"/>
                <w:color w:val="333333"/>
                <w:sz w:val="17"/>
              </w:rPr>
              <w:t>15 septembre 2026</w:t>
            </w:r>
          </w:p>
        </w:tc>
      </w:tr>
      <w:tr>
        <w:tc>
          <w:tcPr>
            <w:tcW w:type="dxa" w:w="2436"/>
            <w:shd w:val="clear" w:fill="F2F6FA"/>
          </w:tcPr>
          <w:p>
            <w:pPr>
              <w:spacing w:before="40" w:after="40"/>
            </w:pPr>
            <w:r>
              <w:rPr>
                <w:rFonts w:ascii="Calibri" w:hAnsi="Calibri"/>
                <w:b/>
                <w:i w:val="0"/>
                <w:color w:val="333333"/>
                <w:sz w:val="17"/>
              </w:rPr>
              <w:t>OP-2</w:t>
            </w:r>
          </w:p>
        </w:tc>
        <w:tc>
          <w:tcPr>
            <w:tcW w:type="dxa" w:w="2436"/>
            <w:shd w:val="clear" w:fill="F2F6FA"/>
          </w:tcPr>
          <w:p>
            <w:pPr>
              <w:spacing w:before="40" w:after="40"/>
            </w:pPr>
            <w:r>
              <w:rPr>
                <w:rFonts w:ascii="Calibri" w:hAnsi="Calibri"/>
                <w:b w:val="0"/>
                <w:i w:val="0"/>
                <w:color w:val="333333"/>
                <w:sz w:val="17"/>
              </w:rPr>
              <w:t>Fourniture de l'extraction clients/polices pour l'import de phase 0</w:t>
            </w:r>
          </w:p>
        </w:tc>
        <w:tc>
          <w:tcPr>
            <w:tcW w:type="dxa" w:w="2436"/>
            <w:shd w:val="clear" w:fill="F2F6FA"/>
          </w:tcPr>
          <w:p>
            <w:pPr>
              <w:spacing w:before="40" w:after="40"/>
            </w:pPr>
            <w:r>
              <w:rPr>
                <w:rFonts w:ascii="Calibri" w:hAnsi="Calibri"/>
                <w:b w:val="0"/>
                <w:i w:val="0"/>
                <w:color w:val="333333"/>
                <w:sz w:val="17"/>
              </w:rPr>
              <w:t>Les agents de terrain ne verraient pas les clients existants au pilote</w:t>
            </w:r>
          </w:p>
        </w:tc>
        <w:tc>
          <w:tcPr>
            <w:tcW w:type="dxa" w:w="2436"/>
            <w:shd w:val="clear" w:fill="F2F6FA"/>
          </w:tcPr>
          <w:p>
            <w:pPr>
              <w:spacing w:before="40" w:after="40"/>
            </w:pPr>
            <w:r>
              <w:rPr>
                <w:rFonts w:ascii="Calibri" w:hAnsi="Calibri"/>
                <w:b w:val="0"/>
                <w:i w:val="0"/>
                <w:color w:val="333333"/>
                <w:sz w:val="17"/>
              </w:rPr>
              <w:t>10 septembre 2026</w:t>
            </w:r>
          </w:p>
        </w:tc>
      </w:tr>
      <w:tr>
        <w:tc>
          <w:tcPr>
            <w:tcW w:type="dxa" w:w="2436"/>
          </w:tcPr>
          <w:p>
            <w:pPr>
              <w:spacing w:before="40" w:after="40"/>
            </w:pPr>
            <w:r>
              <w:rPr>
                <w:rFonts w:ascii="Calibri" w:hAnsi="Calibri"/>
                <w:b/>
                <w:i w:val="0"/>
                <w:color w:val="333333"/>
                <w:sz w:val="17"/>
              </w:rPr>
              <w:t>OP-3</w:t>
            </w:r>
          </w:p>
        </w:tc>
        <w:tc>
          <w:tcPr>
            <w:tcW w:type="dxa" w:w="2436"/>
          </w:tcPr>
          <w:p>
            <w:pPr>
              <w:spacing w:before="40" w:after="40"/>
            </w:pPr>
            <w:r>
              <w:rPr>
                <w:rFonts w:ascii="Calibri" w:hAnsi="Calibri"/>
                <w:b w:val="0"/>
                <w:i w:val="0"/>
                <w:color w:val="333333"/>
                <w:sz w:val="17"/>
              </w:rPr>
              <w:t>Technologie de carte : piste magnétique comme au TdR, ou sans contact comme recommandé</w:t>
            </w:r>
          </w:p>
        </w:tc>
        <w:tc>
          <w:tcPr>
            <w:tcW w:type="dxa" w:w="2436"/>
          </w:tcPr>
          <w:p>
            <w:pPr>
              <w:spacing w:before="40" w:after="40"/>
            </w:pPr>
            <w:r>
              <w:rPr>
                <w:rFonts w:ascii="Calibri" w:hAnsi="Calibri"/>
                <w:b w:val="0"/>
                <w:i w:val="0"/>
                <w:color w:val="333333"/>
                <w:sz w:val="17"/>
              </w:rPr>
              <w:t>Délai d'approvisionnement des cartes ; capacité multi-polices ; résistance au clonage</w:t>
            </w:r>
          </w:p>
        </w:tc>
        <w:tc>
          <w:tcPr>
            <w:tcW w:type="dxa" w:w="2436"/>
          </w:tcPr>
          <w:p>
            <w:pPr>
              <w:spacing w:before="40" w:after="40"/>
            </w:pPr>
            <w:r>
              <w:rPr>
                <w:rFonts w:ascii="Calibri" w:hAnsi="Calibri"/>
                <w:b w:val="0"/>
                <w:i w:val="0"/>
                <w:color w:val="333333"/>
                <w:sz w:val="17"/>
              </w:rPr>
              <w:t>8 septembre 2026</w:t>
            </w:r>
          </w:p>
        </w:tc>
      </w:tr>
      <w:tr>
        <w:tc>
          <w:tcPr>
            <w:tcW w:type="dxa" w:w="2436"/>
            <w:shd w:val="clear" w:fill="F2F6FA"/>
          </w:tcPr>
          <w:p>
            <w:pPr>
              <w:spacing w:before="40" w:after="40"/>
            </w:pPr>
            <w:r>
              <w:rPr>
                <w:rFonts w:ascii="Calibri" w:hAnsi="Calibri"/>
                <w:b/>
                <w:i w:val="0"/>
                <w:color w:val="333333"/>
                <w:sz w:val="17"/>
              </w:rPr>
              <w:t>OP-4</w:t>
            </w:r>
          </w:p>
        </w:tc>
        <w:tc>
          <w:tcPr>
            <w:tcW w:type="dxa" w:w="2436"/>
            <w:shd w:val="clear" w:fill="F2F6FA"/>
          </w:tcPr>
          <w:p>
            <w:pPr>
              <w:spacing w:before="40" w:after="40"/>
            </w:pPr>
            <w:r>
              <w:rPr>
                <w:rFonts w:ascii="Calibri" w:hAnsi="Calibri"/>
                <w:b w:val="0"/>
                <w:i w:val="0"/>
                <w:color w:val="333333"/>
                <w:sz w:val="17"/>
              </w:rPr>
              <w:t>Voie Mobile Money (agrégateur ou direct) et entité détenant le compte marchand</w:t>
            </w:r>
          </w:p>
        </w:tc>
        <w:tc>
          <w:tcPr>
            <w:tcW w:type="dxa" w:w="2436"/>
            <w:shd w:val="clear" w:fill="F2F6FA"/>
          </w:tcPr>
          <w:p>
            <w:pPr>
              <w:spacing w:before="40" w:after="40"/>
            </w:pPr>
            <w:r>
              <w:rPr>
                <w:rFonts w:ascii="Calibri" w:hAnsi="Calibri"/>
                <w:b w:val="0"/>
                <w:i w:val="0"/>
                <w:color w:val="333333"/>
                <w:sz w:val="17"/>
              </w:rPr>
              <w:t>L'enrôlement opérateur est le plus long délai externe avant novembre</w:t>
            </w:r>
          </w:p>
        </w:tc>
        <w:tc>
          <w:tcPr>
            <w:tcW w:type="dxa" w:w="2436"/>
            <w:shd w:val="clear" w:fill="F2F6FA"/>
          </w:tcPr>
          <w:p>
            <w:pPr>
              <w:spacing w:before="40" w:after="40"/>
            </w:pPr>
            <w:r>
              <w:rPr>
                <w:rFonts w:ascii="Calibri" w:hAnsi="Calibri"/>
                <w:b w:val="0"/>
                <w:i w:val="0"/>
                <w:color w:val="333333"/>
                <w:sz w:val="17"/>
              </w:rPr>
              <w:t>8 septembre 2026</w:t>
            </w:r>
          </w:p>
        </w:tc>
      </w:tr>
      <w:tr>
        <w:tc>
          <w:tcPr>
            <w:tcW w:type="dxa" w:w="2436"/>
          </w:tcPr>
          <w:p>
            <w:pPr>
              <w:spacing w:before="40" w:after="40"/>
            </w:pPr>
            <w:r>
              <w:rPr>
                <w:rFonts w:ascii="Calibri" w:hAnsi="Calibri"/>
                <w:b/>
                <w:i w:val="0"/>
                <w:color w:val="333333"/>
                <w:sz w:val="17"/>
              </w:rPr>
              <w:t>OP-5</w:t>
            </w:r>
          </w:p>
        </w:tc>
        <w:tc>
          <w:tcPr>
            <w:tcW w:type="dxa" w:w="2436"/>
          </w:tcPr>
          <w:p>
            <w:pPr>
              <w:spacing w:before="40" w:after="40"/>
            </w:pPr>
            <w:r>
              <w:rPr>
                <w:rFonts w:ascii="Calibri" w:hAnsi="Calibri"/>
                <w:b w:val="0"/>
                <w:i w:val="0"/>
                <w:color w:val="333333"/>
                <w:sz w:val="17"/>
              </w:rPr>
              <w:t>Lieu d'hébergement et fournisseur de l'infrastructure</w:t>
            </w:r>
          </w:p>
        </w:tc>
        <w:tc>
          <w:tcPr>
            <w:tcW w:type="dxa" w:w="2436"/>
          </w:tcPr>
          <w:p>
            <w:pPr>
              <w:spacing w:before="40" w:after="40"/>
            </w:pPr>
            <w:r>
              <w:rPr>
                <w:rFonts w:ascii="Calibri" w:hAnsi="Calibri"/>
                <w:b w:val="0"/>
                <w:i w:val="0"/>
                <w:color w:val="333333"/>
                <w:sz w:val="17"/>
              </w:rPr>
              <w:t>La mise à disposition des environnements conditionne la recette</w:t>
            </w:r>
          </w:p>
        </w:tc>
        <w:tc>
          <w:tcPr>
            <w:tcW w:type="dxa" w:w="2436"/>
          </w:tcPr>
          <w:p>
            <w:pPr>
              <w:spacing w:before="40" w:after="40"/>
            </w:pPr>
            <w:r>
              <w:rPr>
                <w:rFonts w:ascii="Calibri" w:hAnsi="Calibri"/>
                <w:b w:val="0"/>
                <w:i w:val="0"/>
                <w:color w:val="333333"/>
                <w:sz w:val="17"/>
              </w:rPr>
              <w:t>5 septembre 2026</w:t>
            </w:r>
          </w:p>
        </w:tc>
      </w:tr>
      <w:tr>
        <w:tc>
          <w:tcPr>
            <w:tcW w:type="dxa" w:w="2436"/>
            <w:shd w:val="clear" w:fill="F2F6FA"/>
          </w:tcPr>
          <w:p>
            <w:pPr>
              <w:spacing w:before="40" w:after="40"/>
            </w:pPr>
            <w:r>
              <w:rPr>
                <w:rFonts w:ascii="Calibri" w:hAnsi="Calibri"/>
                <w:b/>
                <w:i w:val="0"/>
                <w:color w:val="333333"/>
                <w:sz w:val="17"/>
              </w:rPr>
              <w:t>OP-6</w:t>
            </w:r>
          </w:p>
        </w:tc>
        <w:tc>
          <w:tcPr>
            <w:tcW w:type="dxa" w:w="2436"/>
            <w:shd w:val="clear" w:fill="F2F6FA"/>
          </w:tcPr>
          <w:p>
            <w:pPr>
              <w:spacing w:before="40" w:after="40"/>
            </w:pPr>
            <w:r>
              <w:rPr>
                <w:rFonts w:ascii="Calibri" w:hAnsi="Calibri"/>
                <w:b w:val="0"/>
                <w:i w:val="0"/>
                <w:color w:val="333333"/>
                <w:sz w:val="17"/>
              </w:rPr>
              <w:t>Montant(s) de plafond des collecteurs, uniforme ou par collecteur</w:t>
            </w:r>
          </w:p>
        </w:tc>
        <w:tc>
          <w:tcPr>
            <w:tcW w:type="dxa" w:w="2436"/>
            <w:shd w:val="clear" w:fill="F2F6FA"/>
          </w:tcPr>
          <w:p>
            <w:pPr>
              <w:spacing w:before="40" w:after="40"/>
            </w:pPr>
            <w:r>
              <w:rPr>
                <w:rFonts w:ascii="Calibri" w:hAnsi="Calibri"/>
                <w:b w:val="0"/>
                <w:i w:val="0"/>
                <w:color w:val="333333"/>
                <w:sz w:val="17"/>
              </w:rPr>
              <w:t>Paramétrage seul, mais nécessaire aux scénarios de recette</w:t>
            </w:r>
          </w:p>
        </w:tc>
        <w:tc>
          <w:tcPr>
            <w:tcW w:type="dxa" w:w="2436"/>
            <w:shd w:val="clear" w:fill="F2F6FA"/>
          </w:tcPr>
          <w:p>
            <w:pPr>
              <w:spacing w:before="40" w:after="40"/>
            </w:pPr>
            <w:r>
              <w:rPr>
                <w:rFonts w:ascii="Calibri" w:hAnsi="Calibri"/>
                <w:b w:val="0"/>
                <w:i w:val="0"/>
                <w:color w:val="333333"/>
                <w:sz w:val="17"/>
              </w:rPr>
              <w:t>15 septembre 2026</w:t>
            </w:r>
          </w:p>
        </w:tc>
      </w:tr>
      <w:tr>
        <w:tc>
          <w:tcPr>
            <w:tcW w:type="dxa" w:w="2436"/>
          </w:tcPr>
          <w:p>
            <w:pPr>
              <w:spacing w:before="40" w:after="40"/>
            </w:pPr>
            <w:r>
              <w:rPr>
                <w:rFonts w:ascii="Calibri" w:hAnsi="Calibri"/>
                <w:b/>
                <w:i w:val="0"/>
                <w:color w:val="333333"/>
                <w:sz w:val="17"/>
              </w:rPr>
              <w:t>OP-7</w:t>
            </w:r>
          </w:p>
        </w:tc>
        <w:tc>
          <w:tcPr>
            <w:tcW w:type="dxa" w:w="2436"/>
          </w:tcPr>
          <w:p>
            <w:pPr>
              <w:spacing w:before="40" w:after="40"/>
            </w:pPr>
            <w:r>
              <w:rPr>
                <w:rFonts w:ascii="Calibri" w:hAnsi="Calibri"/>
                <w:b w:val="0"/>
                <w:i w:val="0"/>
                <w:color w:val="333333"/>
                <w:sz w:val="17"/>
              </w:rPr>
              <w:t>Liste définitive des produits du pilote et leurs règles de prime / frais de police</w:t>
            </w:r>
          </w:p>
        </w:tc>
        <w:tc>
          <w:tcPr>
            <w:tcW w:type="dxa" w:w="2436"/>
          </w:tcPr>
          <w:p>
            <w:pPr>
              <w:spacing w:before="40" w:after="40"/>
            </w:pPr>
            <w:r>
              <w:rPr>
                <w:rFonts w:ascii="Calibri" w:hAnsi="Calibri"/>
                <w:b w:val="0"/>
                <w:i w:val="0"/>
                <w:color w:val="333333"/>
                <w:sz w:val="17"/>
              </w:rPr>
              <w:t>Paramétrage du catalogue produits</w:t>
            </w:r>
          </w:p>
        </w:tc>
        <w:tc>
          <w:tcPr>
            <w:tcW w:type="dxa" w:w="2436"/>
          </w:tcPr>
          <w:p>
            <w:pPr>
              <w:spacing w:before="40" w:after="40"/>
            </w:pPr>
            <w:r>
              <w:rPr>
                <w:rFonts w:ascii="Calibri" w:hAnsi="Calibri"/>
                <w:b w:val="0"/>
                <w:i w:val="0"/>
                <w:color w:val="333333"/>
                <w:sz w:val="17"/>
              </w:rPr>
              <w:t>10 septembre 2026</w:t>
            </w:r>
          </w:p>
        </w:tc>
      </w:tr>
      <w:tr>
        <w:tc>
          <w:tcPr>
            <w:tcW w:type="dxa" w:w="2436"/>
            <w:shd w:val="clear" w:fill="F2F6FA"/>
          </w:tcPr>
          <w:p>
            <w:pPr>
              <w:spacing w:before="40" w:after="40"/>
            </w:pPr>
            <w:r>
              <w:rPr>
                <w:rFonts w:ascii="Calibri" w:hAnsi="Calibri"/>
                <w:b/>
                <w:i w:val="0"/>
                <w:color w:val="333333"/>
                <w:sz w:val="17"/>
              </w:rPr>
              <w:t>OP-8</w:t>
            </w:r>
          </w:p>
        </w:tc>
        <w:tc>
          <w:tcPr>
            <w:tcW w:type="dxa" w:w="2436"/>
            <w:shd w:val="clear" w:fill="F2F6FA"/>
          </w:tcPr>
          <w:p>
            <w:pPr>
              <w:spacing w:before="40" w:after="40"/>
            </w:pPr>
            <w:r>
              <w:rPr>
                <w:rFonts w:ascii="Calibri" w:hAnsi="Calibri"/>
                <w:b w:val="0"/>
                <w:i w:val="0"/>
                <w:color w:val="333333"/>
                <w:sz w:val="17"/>
              </w:rPr>
              <w:t>Contenu et mise en page du reçu, y compris les mentions légales exigées au Burkina Faso</w:t>
            </w:r>
          </w:p>
        </w:tc>
        <w:tc>
          <w:tcPr>
            <w:tcW w:type="dxa" w:w="2436"/>
            <w:shd w:val="clear" w:fill="F2F6FA"/>
          </w:tcPr>
          <w:p>
            <w:pPr>
              <w:spacing w:before="40" w:after="40"/>
            </w:pPr>
            <w:r>
              <w:rPr>
                <w:rFonts w:ascii="Calibri" w:hAnsi="Calibri"/>
                <w:b w:val="0"/>
                <w:i w:val="0"/>
                <w:color w:val="333333"/>
                <w:sz w:val="17"/>
              </w:rPr>
              <w:t>Modèle de reçu ; tests d'impression</w:t>
            </w:r>
          </w:p>
        </w:tc>
        <w:tc>
          <w:tcPr>
            <w:tcW w:type="dxa" w:w="2436"/>
            <w:shd w:val="clear" w:fill="F2F6FA"/>
          </w:tcPr>
          <w:p>
            <w:pPr>
              <w:spacing w:before="40" w:after="40"/>
            </w:pPr>
            <w:r>
              <w:rPr>
                <w:rFonts w:ascii="Calibri" w:hAnsi="Calibri"/>
                <w:b w:val="0"/>
                <w:i w:val="0"/>
                <w:color w:val="333333"/>
                <w:sz w:val="17"/>
              </w:rPr>
              <w:t>10 septembre 2026</w:t>
            </w:r>
          </w:p>
        </w:tc>
      </w:tr>
      <w:tr>
        <w:tc>
          <w:tcPr>
            <w:tcW w:type="dxa" w:w="2436"/>
          </w:tcPr>
          <w:p>
            <w:pPr>
              <w:spacing w:before="40" w:after="40"/>
            </w:pPr>
            <w:r>
              <w:rPr>
                <w:rFonts w:ascii="Calibri" w:hAnsi="Calibri"/>
                <w:b/>
                <w:i w:val="0"/>
                <w:color w:val="333333"/>
                <w:sz w:val="17"/>
              </w:rPr>
              <w:t>OP-9</w:t>
            </w:r>
          </w:p>
        </w:tc>
        <w:tc>
          <w:tcPr>
            <w:tcW w:type="dxa" w:w="2436"/>
          </w:tcPr>
          <w:p>
            <w:pPr>
              <w:spacing w:before="40" w:after="40"/>
            </w:pPr>
            <w:r>
              <w:rPr>
                <w:rFonts w:ascii="Calibri" w:hAnsi="Calibri"/>
                <w:b w:val="0"/>
                <w:i w:val="0"/>
                <w:color w:val="333333"/>
                <w:sz w:val="17"/>
              </w:rPr>
              <w:t>Souhait d'une identification biométrique de l'assuré (capacité existante)</w:t>
            </w:r>
          </w:p>
        </w:tc>
        <w:tc>
          <w:tcPr>
            <w:tcW w:type="dxa" w:w="2436"/>
          </w:tcPr>
          <w:p>
            <w:pPr>
              <w:spacing w:before="40" w:after="40"/>
            </w:pPr>
            <w:r>
              <w:rPr>
                <w:rFonts w:ascii="Calibri" w:hAnsi="Calibri"/>
                <w:b w:val="0"/>
                <w:i w:val="0"/>
                <w:color w:val="333333"/>
                <w:sz w:val="17"/>
              </w:rPr>
              <w:t>Périmètre et déclaration à la CIL au Document 2</w:t>
            </w:r>
          </w:p>
        </w:tc>
        <w:tc>
          <w:tcPr>
            <w:tcW w:type="dxa" w:w="2436"/>
          </w:tcPr>
          <w:p>
            <w:pPr>
              <w:spacing w:before="40" w:after="40"/>
            </w:pPr>
            <w:r>
              <w:rPr>
                <w:rFonts w:ascii="Calibri" w:hAnsi="Calibri"/>
                <w:b w:val="0"/>
                <w:i w:val="0"/>
                <w:color w:val="333333"/>
                <w:sz w:val="17"/>
              </w:rPr>
              <w:t>1er octobre 2026</w:t>
            </w:r>
          </w:p>
        </w:tc>
      </w:tr>
      <w:tr>
        <w:tc>
          <w:tcPr>
            <w:tcW w:type="dxa" w:w="2436"/>
            <w:shd w:val="clear" w:fill="F2F6FA"/>
          </w:tcPr>
          <w:p>
            <w:pPr>
              <w:spacing w:before="40" w:after="40"/>
            </w:pPr>
            <w:r>
              <w:rPr>
                <w:rFonts w:ascii="Calibri" w:hAnsi="Calibri"/>
                <w:b/>
                <w:i w:val="0"/>
                <w:color w:val="333333"/>
                <w:sz w:val="17"/>
              </w:rPr>
              <w:t>OP-10</w:t>
            </w:r>
          </w:p>
        </w:tc>
        <w:tc>
          <w:tcPr>
            <w:tcW w:type="dxa" w:w="2436"/>
            <w:shd w:val="clear" w:fill="F2F6FA"/>
          </w:tcPr>
          <w:p>
            <w:pPr>
              <w:spacing w:before="40" w:after="40"/>
            </w:pPr>
            <w:r>
              <w:rPr>
                <w:rFonts w:ascii="Calibri" w:hAnsi="Calibri"/>
                <w:b w:val="0"/>
                <w:i w:val="0"/>
                <w:color w:val="333333"/>
                <w:sz w:val="17"/>
              </w:rPr>
              <w:t>Compte(s) bancaire(s) et caisse(s) désignés pour les versements des collecteurs</w:t>
            </w:r>
          </w:p>
        </w:tc>
        <w:tc>
          <w:tcPr>
            <w:tcW w:type="dxa" w:w="2436"/>
            <w:shd w:val="clear" w:fill="F2F6FA"/>
          </w:tcPr>
          <w:p>
            <w:pPr>
              <w:spacing w:before="40" w:after="40"/>
            </w:pPr>
            <w:r>
              <w:rPr>
                <w:rFonts w:ascii="Calibri" w:hAnsi="Calibri"/>
                <w:b w:val="0"/>
                <w:i w:val="0"/>
                <w:color w:val="333333"/>
                <w:sz w:val="17"/>
              </w:rPr>
              <w:t>Paramétrage des versements</w:t>
            </w:r>
          </w:p>
        </w:tc>
        <w:tc>
          <w:tcPr>
            <w:tcW w:type="dxa" w:w="2436"/>
            <w:shd w:val="clear" w:fill="F2F6FA"/>
          </w:tcPr>
          <w:p>
            <w:pPr>
              <w:spacing w:before="40" w:after="40"/>
            </w:pPr>
            <w:r>
              <w:rPr>
                <w:rFonts w:ascii="Calibri" w:hAnsi="Calibri"/>
                <w:b w:val="0"/>
                <w:i w:val="0"/>
                <w:color w:val="333333"/>
                <w:sz w:val="17"/>
              </w:rPr>
              <w:t>15 septembre 2026</w:t>
            </w:r>
          </w:p>
        </w:tc>
      </w:tr>
    </w:tbl>
    <w:p>
      <w:pPr>
        <w:spacing w:after="40"/>
      </w:pPr>
    </w:p>
    <w:p>
      <w:pPr>
        <w:pStyle w:val="Heading1"/>
        <w:pageBreakBefore/>
        <w:spacing w:before="360" w:after="80"/>
        <w:keepNext/>
        <w:pBdr>
          <w:bottom w:val="single" w:sz="8" w:space="6" w:color="1B3A5C"/>
        </w:pBdr>
      </w:pPr>
      <w:bookmarkStart w:id="151" w:name="_Toc_s050"/>
      <w:r>
        <w:rPr>
          <w:rFonts w:ascii="Calibri" w:hAnsi="Calibri"/>
          <w:b/>
          <w:color w:val="1B3A5C"/>
          <w:sz w:val="30"/>
        </w:rPr>
        <w:t>13. Traçabilité — des exigences à l'architecture</w:t>
      </w:r>
      <w:bookmarkEnd w:id="151"/>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Exigence</w:t>
            </w:r>
          </w:p>
        </w:tc>
        <w:tc>
          <w:tcPr>
            <w:tcW w:type="dxa" w:w="4873"/>
            <w:shd w:val="clear" w:fill="1B3A5C"/>
          </w:tcPr>
          <w:p>
            <w:pPr>
              <w:spacing w:before="60" w:after="60"/>
            </w:pPr>
            <w:r>
              <w:rPr>
                <w:rFonts w:ascii="Calibri" w:hAnsi="Calibri"/>
                <w:b/>
                <w:color w:val="FFFFFF"/>
                <w:sz w:val="17"/>
              </w:rPr>
              <w:t>Réponse architecturale</w:t>
            </w:r>
          </w:p>
        </w:tc>
      </w:tr>
      <w:tr>
        <w:tc>
          <w:tcPr>
            <w:tcW w:type="dxa" w:w="4873"/>
          </w:tcPr>
          <w:p>
            <w:pPr>
              <w:spacing w:before="40" w:after="40"/>
            </w:pPr>
            <w:r>
              <w:rPr>
                <w:rFonts w:ascii="Calibri" w:hAnsi="Calibri"/>
                <w:b w:val="0"/>
                <w:i w:val="0"/>
                <w:color w:val="333333"/>
                <w:sz w:val="17"/>
              </w:rPr>
              <w:t>TdR Besoin 1 — souscription + première prime</w:t>
            </w:r>
          </w:p>
        </w:tc>
        <w:tc>
          <w:tcPr>
            <w:tcW w:type="dxa" w:w="4873"/>
          </w:tcPr>
          <w:p>
            <w:pPr>
              <w:spacing w:before="40" w:after="40"/>
            </w:pPr>
            <w:r>
              <w:rPr>
                <w:rFonts w:ascii="Calibri" w:hAnsi="Calibri"/>
                <w:b w:val="0"/>
                <w:i w:val="0"/>
                <w:color w:val="333333"/>
                <w:sz w:val="17"/>
              </w:rPr>
              <w:t>§6.1, composants P3–P5, B8, B10, B11</w:t>
            </w:r>
          </w:p>
        </w:tc>
      </w:tr>
      <w:tr>
        <w:tc>
          <w:tcPr>
            <w:tcW w:type="dxa" w:w="4873"/>
            <w:shd w:val="clear" w:fill="F2F6FA"/>
          </w:tcPr>
          <w:p>
            <w:pPr>
              <w:spacing w:before="40" w:after="40"/>
            </w:pPr>
            <w:r>
              <w:rPr>
                <w:rFonts w:ascii="Calibri" w:hAnsi="Calibri"/>
                <w:b w:val="0"/>
                <w:i w:val="0"/>
                <w:color w:val="333333"/>
                <w:sz w:val="17"/>
              </w:rPr>
              <w:t>TdR Besoin 1 — photos proposition + CNIB avec agent, produit, n° de proposition, nom, GPS</w:t>
            </w:r>
          </w:p>
        </w:tc>
        <w:tc>
          <w:tcPr>
            <w:tcW w:type="dxa" w:w="4873"/>
            <w:shd w:val="clear" w:fill="F2F6FA"/>
          </w:tcPr>
          <w:p>
            <w:pPr>
              <w:spacing w:before="40" w:after="40"/>
            </w:pPr>
            <w:r>
              <w:rPr>
                <w:rFonts w:ascii="Calibri" w:hAnsi="Calibri"/>
                <w:b w:val="0"/>
                <w:i w:val="0"/>
                <w:color w:val="333333"/>
                <w:sz w:val="17"/>
              </w:rPr>
              <w:t xml:space="preserve">§6.1, P3, P4, B8, table </w:t>
            </w:r>
            <w:r>
              <w:rPr>
                <w:rFonts w:ascii="Consolas" w:hAnsi="Consolas"/>
                <w:b w:val="0"/>
                <w:i w:val="0"/>
                <w:color w:val="1B3A5C"/>
                <w:sz w:val="16"/>
              </w:rPr>
              <w:t>proposal</w:t>
            </w:r>
          </w:p>
        </w:tc>
      </w:tr>
      <w:tr>
        <w:tc>
          <w:tcPr>
            <w:tcW w:type="dxa" w:w="4873"/>
          </w:tcPr>
          <w:p>
            <w:pPr>
              <w:spacing w:before="40" w:after="40"/>
            </w:pPr>
            <w:r>
              <w:rPr>
                <w:rFonts w:ascii="Calibri" w:hAnsi="Calibri"/>
                <w:b w:val="0"/>
                <w:i w:val="0"/>
                <w:color w:val="333333"/>
                <w:sz w:val="17"/>
              </w:rPr>
              <w:t>TdR Besoin 1 — carte aux couleurs SUNU, nom de l'assuré, multi-polices</w:t>
            </w:r>
          </w:p>
        </w:tc>
        <w:tc>
          <w:tcPr>
            <w:tcW w:type="dxa" w:w="4873"/>
          </w:tcPr>
          <w:p>
            <w:pPr>
              <w:spacing w:before="40" w:after="40"/>
            </w:pPr>
            <w:r>
              <w:rPr>
                <w:rFonts w:ascii="Calibri" w:hAnsi="Calibri"/>
                <w:b w:val="0"/>
                <w:i w:val="0"/>
                <w:color w:val="333333"/>
                <w:sz w:val="17"/>
              </w:rPr>
              <w:t xml:space="preserve">§6.4, §7.1, B13, table </w:t>
            </w:r>
            <w:r>
              <w:rPr>
                <w:rFonts w:ascii="Consolas" w:hAnsi="Consolas"/>
                <w:b w:val="0"/>
                <w:i w:val="0"/>
                <w:color w:val="1B3A5C"/>
                <w:sz w:val="16"/>
              </w:rPr>
              <w:t>card_policy_link</w:t>
            </w:r>
          </w:p>
        </w:tc>
      </w:tr>
      <w:tr>
        <w:tc>
          <w:tcPr>
            <w:tcW w:type="dxa" w:w="4873"/>
            <w:shd w:val="clear" w:fill="F2F6FA"/>
          </w:tcPr>
          <w:p>
            <w:pPr>
              <w:spacing w:before="40" w:after="40"/>
            </w:pPr>
            <w:r>
              <w:rPr>
                <w:rFonts w:ascii="Calibri" w:hAnsi="Calibri"/>
                <w:b w:val="0"/>
                <w:i w:val="0"/>
                <w:color w:val="333333"/>
                <w:sz w:val="17"/>
              </w:rPr>
              <w:t>TdR Besoin 2 — lecture carte → liste polices → encaisser → reçu</w:t>
            </w:r>
          </w:p>
        </w:tc>
        <w:tc>
          <w:tcPr>
            <w:tcW w:type="dxa" w:w="4873"/>
            <w:shd w:val="clear" w:fill="F2F6FA"/>
          </w:tcPr>
          <w:p>
            <w:pPr>
              <w:spacing w:before="40" w:after="40"/>
            </w:pPr>
            <w:r>
              <w:rPr>
                <w:rFonts w:ascii="Calibri" w:hAnsi="Calibri"/>
                <w:b w:val="0"/>
                <w:i w:val="0"/>
                <w:color w:val="333333"/>
                <w:sz w:val="17"/>
              </w:rPr>
              <w:t>§6.2, P6, P9, P12, B10</w:t>
            </w:r>
          </w:p>
        </w:tc>
      </w:tr>
      <w:tr>
        <w:tc>
          <w:tcPr>
            <w:tcW w:type="dxa" w:w="4873"/>
          </w:tcPr>
          <w:p>
            <w:pPr>
              <w:spacing w:before="40" w:after="40"/>
            </w:pPr>
            <w:r>
              <w:rPr>
                <w:rFonts w:ascii="Calibri" w:hAnsi="Calibri"/>
                <w:b w:val="0"/>
                <w:i w:val="0"/>
                <w:color w:val="333333"/>
                <w:sz w:val="17"/>
              </w:rPr>
              <w:t>TdR Besoin 2 — plafond collecteur, versement, libération du terminal</w:t>
            </w:r>
          </w:p>
        </w:tc>
        <w:tc>
          <w:tcPr>
            <w:tcW w:type="dxa" w:w="4873"/>
          </w:tcPr>
          <w:p>
            <w:pPr>
              <w:spacing w:before="40" w:after="40"/>
            </w:pPr>
            <w:r>
              <w:rPr>
                <w:rFonts w:ascii="Calibri" w:hAnsi="Calibri"/>
                <w:b w:val="0"/>
                <w:i w:val="0"/>
                <w:color w:val="333333"/>
                <w:sz w:val="17"/>
              </w:rPr>
              <w:t>§6.3, B12, P14</w:t>
            </w:r>
          </w:p>
        </w:tc>
      </w:tr>
      <w:tr>
        <w:tc>
          <w:tcPr>
            <w:tcW w:type="dxa" w:w="4873"/>
            <w:shd w:val="clear" w:fill="F2F6FA"/>
          </w:tcPr>
          <w:p>
            <w:pPr>
              <w:spacing w:before="40" w:after="40"/>
            </w:pPr>
            <w:r>
              <w:rPr>
                <w:rFonts w:ascii="Calibri" w:hAnsi="Calibri"/>
                <w:b w:val="0"/>
                <w:i w:val="0"/>
                <w:color w:val="333333"/>
                <w:sz w:val="17"/>
              </w:rPr>
              <w:t>TdR Besoin 2 — tous les paiements au back-office, export Excel</w:t>
            </w:r>
          </w:p>
        </w:tc>
        <w:tc>
          <w:tcPr>
            <w:tcW w:type="dxa" w:w="4873"/>
            <w:shd w:val="clear" w:fill="F2F6FA"/>
          </w:tcPr>
          <w:p>
            <w:pPr>
              <w:spacing w:before="40" w:after="40"/>
            </w:pPr>
            <w:r>
              <w:rPr>
                <w:rFonts w:ascii="Calibri" w:hAnsi="Calibri"/>
                <w:b w:val="0"/>
                <w:i w:val="0"/>
                <w:color w:val="333333"/>
                <w:sz w:val="17"/>
              </w:rPr>
              <w:t>B17, §8.4 phase 0</w:t>
            </w:r>
          </w:p>
        </w:tc>
      </w:tr>
      <w:tr>
        <w:tc>
          <w:tcPr>
            <w:tcW w:type="dxa" w:w="4873"/>
          </w:tcPr>
          <w:p>
            <w:pPr>
              <w:spacing w:before="40" w:after="40"/>
            </w:pPr>
            <w:r>
              <w:rPr>
                <w:rFonts w:ascii="Calibri" w:hAnsi="Calibri"/>
                <w:b w:val="0"/>
                <w:i w:val="0"/>
                <w:color w:val="333333"/>
                <w:sz w:val="17"/>
              </w:rPr>
              <w:t>TdR Besoin 3 — 15 terminaux, profils et habilitations, 5 000 cartes, dispositif de personnalisation</w:t>
            </w:r>
          </w:p>
        </w:tc>
        <w:tc>
          <w:tcPr>
            <w:tcW w:type="dxa" w:w="4873"/>
          </w:tcPr>
          <w:p>
            <w:pPr>
              <w:spacing w:before="40" w:after="40"/>
            </w:pPr>
            <w:r>
              <w:rPr>
                <w:rFonts w:ascii="Calibri" w:hAnsi="Calibri"/>
                <w:b w:val="0"/>
                <w:i w:val="0"/>
                <w:color w:val="333333"/>
                <w:sz w:val="17"/>
              </w:rPr>
              <w:t>B3, B5, B13, §6.4, §10.3</w:t>
            </w:r>
          </w:p>
        </w:tc>
      </w:tr>
      <w:tr>
        <w:tc>
          <w:tcPr>
            <w:tcW w:type="dxa" w:w="4873"/>
            <w:shd w:val="clear" w:fill="F2F6FA"/>
          </w:tcPr>
          <w:p>
            <w:pPr>
              <w:spacing w:before="40" w:after="40"/>
            </w:pPr>
            <w:r>
              <w:rPr>
                <w:rFonts w:ascii="Calibri" w:hAnsi="Calibri"/>
                <w:b w:val="0"/>
                <w:i w:val="0"/>
                <w:color w:val="333333"/>
                <w:sz w:val="17"/>
              </w:rPr>
              <w:t>TdR Besoin 4 — API de mise à jour du logiciel métier</w:t>
            </w:r>
          </w:p>
        </w:tc>
        <w:tc>
          <w:tcPr>
            <w:tcW w:type="dxa" w:w="4873"/>
            <w:shd w:val="clear" w:fill="F2F6FA"/>
          </w:tcPr>
          <w:p>
            <w:pPr>
              <w:spacing w:before="40" w:after="40"/>
            </w:pPr>
            <w:r>
              <w:rPr>
                <w:rFonts w:ascii="Calibri" w:hAnsi="Calibri"/>
                <w:b w:val="0"/>
                <w:i w:val="0"/>
                <w:color w:val="333333"/>
                <w:sz w:val="17"/>
              </w:rPr>
              <w:t>§8, S5–S7</w:t>
            </w:r>
          </w:p>
        </w:tc>
      </w:tr>
      <w:tr>
        <w:tc>
          <w:tcPr>
            <w:tcW w:type="dxa" w:w="4873"/>
          </w:tcPr>
          <w:p>
            <w:pPr>
              <w:spacing w:before="40" w:after="40"/>
            </w:pPr>
            <w:r>
              <w:rPr>
                <w:rFonts w:ascii="Calibri" w:hAnsi="Calibri"/>
                <w:b w:val="0"/>
                <w:i w:val="0"/>
                <w:color w:val="333333"/>
                <w:sz w:val="17"/>
              </w:rPr>
              <w:t>Courriel §1 — récupération et synchronisation SUNULIFE</w:t>
            </w:r>
          </w:p>
        </w:tc>
        <w:tc>
          <w:tcPr>
            <w:tcW w:type="dxa" w:w="4873"/>
          </w:tcPr>
          <w:p>
            <w:pPr>
              <w:spacing w:before="40" w:after="40"/>
            </w:pPr>
            <w:r>
              <w:rPr>
                <w:rFonts w:ascii="Calibri" w:hAnsi="Calibri"/>
                <w:b w:val="0"/>
                <w:i w:val="0"/>
                <w:color w:val="333333"/>
                <w:sz w:val="17"/>
              </w:rPr>
              <w:t>§8 en entier, S1–S4</w:t>
            </w:r>
          </w:p>
        </w:tc>
      </w:tr>
      <w:tr>
        <w:tc>
          <w:tcPr>
            <w:tcW w:type="dxa" w:w="4873"/>
            <w:shd w:val="clear" w:fill="F2F6FA"/>
          </w:tcPr>
          <w:p>
            <w:pPr>
              <w:spacing w:before="40" w:after="40"/>
            </w:pPr>
            <w:r>
              <w:rPr>
                <w:rFonts w:ascii="Calibri" w:hAnsi="Calibri"/>
                <w:b w:val="0"/>
                <w:i w:val="0"/>
                <w:color w:val="333333"/>
                <w:sz w:val="17"/>
              </w:rPr>
              <w:t>Courriel §2 — documentation d'architecture</w:t>
            </w:r>
          </w:p>
        </w:tc>
        <w:tc>
          <w:tcPr>
            <w:tcW w:type="dxa" w:w="4873"/>
            <w:shd w:val="clear" w:fill="F2F6FA"/>
          </w:tcPr>
          <w:p>
            <w:pPr>
              <w:spacing w:before="40" w:after="40"/>
            </w:pPr>
            <w:r>
              <w:rPr>
                <w:rFonts w:ascii="Calibri" w:hAnsi="Calibri"/>
                <w:b w:val="0"/>
                <w:i w:val="0"/>
                <w:color w:val="333333"/>
                <w:sz w:val="17"/>
              </w:rPr>
              <w:t>Le présent document</w:t>
            </w:r>
          </w:p>
        </w:tc>
      </w:tr>
      <w:tr>
        <w:tc>
          <w:tcPr>
            <w:tcW w:type="dxa" w:w="4873"/>
          </w:tcPr>
          <w:p>
            <w:pPr>
              <w:spacing w:before="40" w:after="40"/>
            </w:pPr>
            <w:r>
              <w:rPr>
                <w:rFonts w:ascii="Calibri" w:hAnsi="Calibri"/>
                <w:b w:val="0"/>
                <w:i w:val="0"/>
                <w:color w:val="333333"/>
                <w:sz w:val="17"/>
              </w:rPr>
              <w:t>Courriel §2 — documentation de sécurité</w:t>
            </w:r>
          </w:p>
        </w:tc>
        <w:tc>
          <w:tcPr>
            <w:tcW w:type="dxa" w:w="4873"/>
          </w:tcPr>
          <w:p>
            <w:pPr>
              <w:spacing w:before="40" w:after="40"/>
            </w:pPr>
            <w:r>
              <w:rPr>
                <w:rFonts w:ascii="Calibri" w:hAnsi="Calibri"/>
                <w:b w:val="0"/>
                <w:i w:val="0"/>
                <w:color w:val="333333"/>
                <w:sz w:val="17"/>
              </w:rPr>
              <w:t>Document 2</w:t>
            </w:r>
          </w:p>
        </w:tc>
      </w:tr>
      <w:tr>
        <w:tc>
          <w:tcPr>
            <w:tcW w:type="dxa" w:w="4873"/>
            <w:shd w:val="clear" w:fill="F2F6FA"/>
          </w:tcPr>
          <w:p>
            <w:pPr>
              <w:spacing w:before="40" w:after="40"/>
            </w:pPr>
            <w:r>
              <w:rPr>
                <w:rFonts w:ascii="Calibri" w:hAnsi="Calibri"/>
                <w:b w:val="0"/>
                <w:i w:val="0"/>
                <w:color w:val="333333"/>
                <w:sz w:val="17"/>
              </w:rPr>
              <w:t>Courriel §3 — guide utilisateur par profil</w:t>
            </w:r>
          </w:p>
        </w:tc>
        <w:tc>
          <w:tcPr>
            <w:tcW w:type="dxa" w:w="4873"/>
            <w:shd w:val="clear" w:fill="F2F6FA"/>
          </w:tcPr>
          <w:p>
            <w:pPr>
              <w:spacing w:before="40" w:after="40"/>
            </w:pPr>
            <w:r>
              <w:rPr>
                <w:rFonts w:ascii="Calibri" w:hAnsi="Calibri"/>
                <w:b w:val="0"/>
                <w:i w:val="0"/>
                <w:color w:val="333333"/>
                <w:sz w:val="17"/>
              </w:rPr>
              <w:t>Document 3</w:t>
            </w:r>
          </w:p>
        </w:tc>
      </w:tr>
      <w:tr>
        <w:tc>
          <w:tcPr>
            <w:tcW w:type="dxa" w:w="4873"/>
          </w:tcPr>
          <w:p>
            <w:pPr>
              <w:spacing w:before="40" w:after="40"/>
            </w:pPr>
            <w:r>
              <w:rPr>
                <w:rFonts w:ascii="Calibri" w:hAnsi="Calibri"/>
                <w:b w:val="0"/>
                <w:i w:val="0"/>
                <w:color w:val="333333"/>
                <w:sz w:val="17"/>
              </w:rPr>
              <w:t>Courriel §4 — carte physique</w:t>
            </w:r>
          </w:p>
        </w:tc>
        <w:tc>
          <w:tcPr>
            <w:tcW w:type="dxa" w:w="4873"/>
          </w:tcPr>
          <w:p>
            <w:pPr>
              <w:spacing w:before="40" w:after="40"/>
            </w:pPr>
            <w:r>
              <w:rPr>
                <w:rFonts w:ascii="Calibri" w:hAnsi="Calibri"/>
                <w:b w:val="0"/>
                <w:i w:val="0"/>
                <w:color w:val="333333"/>
                <w:sz w:val="17"/>
              </w:rPr>
              <w:t>§7.1</w:t>
            </w:r>
          </w:p>
        </w:tc>
      </w:tr>
      <w:tr>
        <w:tc>
          <w:tcPr>
            <w:tcW w:type="dxa" w:w="4873"/>
            <w:shd w:val="clear" w:fill="F2F6FA"/>
          </w:tcPr>
          <w:p>
            <w:pPr>
              <w:spacing w:before="40" w:after="40"/>
            </w:pPr>
            <w:r>
              <w:rPr>
                <w:rFonts w:ascii="Calibri" w:hAnsi="Calibri"/>
                <w:b w:val="0"/>
                <w:i w:val="0"/>
                <w:color w:val="333333"/>
                <w:sz w:val="17"/>
              </w:rPr>
              <w:t>Courriel §4 — carte virtuelle par QR Code</w:t>
            </w:r>
          </w:p>
        </w:tc>
        <w:tc>
          <w:tcPr>
            <w:tcW w:type="dxa" w:w="4873"/>
            <w:shd w:val="clear" w:fill="F2F6FA"/>
          </w:tcPr>
          <w:p>
            <w:pPr>
              <w:spacing w:before="40" w:after="40"/>
            </w:pPr>
            <w:r>
              <w:rPr>
                <w:rFonts w:ascii="Calibri" w:hAnsi="Calibri"/>
                <w:b w:val="0"/>
                <w:i w:val="0"/>
                <w:color w:val="333333"/>
                <w:sz w:val="17"/>
              </w:rPr>
              <w:t>§7.3</w:t>
            </w:r>
          </w:p>
        </w:tc>
      </w:tr>
      <w:tr>
        <w:tc>
          <w:tcPr>
            <w:tcW w:type="dxa" w:w="4873"/>
          </w:tcPr>
          <w:p>
            <w:pPr>
              <w:spacing w:before="40" w:after="40"/>
            </w:pPr>
            <w:r>
              <w:rPr>
                <w:rFonts w:ascii="Calibri" w:hAnsi="Calibri"/>
                <w:b w:val="0"/>
                <w:i w:val="0"/>
                <w:color w:val="333333"/>
                <w:sz w:val="17"/>
              </w:rPr>
              <w:t>Courriel §4 — Mobile Money</w:t>
            </w:r>
          </w:p>
        </w:tc>
        <w:tc>
          <w:tcPr>
            <w:tcW w:type="dxa" w:w="4873"/>
          </w:tcPr>
          <w:p>
            <w:pPr>
              <w:spacing w:before="40" w:after="40"/>
            </w:pPr>
            <w:r>
              <w:rPr>
                <w:rFonts w:ascii="Calibri" w:hAnsi="Calibri"/>
                <w:b w:val="0"/>
                <w:i w:val="0"/>
                <w:color w:val="333333"/>
                <w:sz w:val="17"/>
              </w:rPr>
              <w:t>§9</w:t>
            </w:r>
          </w:p>
        </w:tc>
      </w:tr>
      <w:tr>
        <w:tc>
          <w:tcPr>
            <w:tcW w:type="dxa" w:w="4873"/>
            <w:shd w:val="clear" w:fill="F2F6FA"/>
          </w:tcPr>
          <w:p>
            <w:pPr>
              <w:spacing w:before="40" w:after="40"/>
            </w:pPr>
            <w:r>
              <w:rPr>
                <w:rFonts w:ascii="Calibri" w:hAnsi="Calibri"/>
                <w:b w:val="0"/>
                <w:i w:val="0"/>
                <w:color w:val="333333"/>
                <w:sz w:val="17"/>
              </w:rPr>
              <w:t>Demande complémentaire du 16 septembre 2026 — architecture réelle, formats de fichiers d'import et exemple</w:t>
            </w:r>
          </w:p>
        </w:tc>
        <w:tc>
          <w:tcPr>
            <w:tcW w:type="dxa" w:w="4873"/>
            <w:shd w:val="clear" w:fill="F2F6FA"/>
          </w:tcPr>
          <w:p>
            <w:pPr>
              <w:spacing w:before="40" w:after="40"/>
            </w:pPr>
            <w:r>
              <w:rPr>
                <w:rFonts w:ascii="Calibri" w:hAnsi="Calibri"/>
                <w:b w:val="0"/>
                <w:i w:val="0"/>
                <w:color w:val="333333"/>
                <w:sz w:val="17"/>
              </w:rPr>
              <w:t>§14 ; Document 5 et ses fichiers CSV d'exemple</w:t>
            </w:r>
          </w:p>
        </w:tc>
      </w:tr>
      <w:tr>
        <w:tc>
          <w:tcPr>
            <w:tcW w:type="dxa" w:w="4873"/>
          </w:tcPr>
          <w:p>
            <w:pPr>
              <w:spacing w:before="40" w:after="40"/>
            </w:pPr>
            <w:r>
              <w:rPr>
                <w:rFonts w:ascii="Calibri" w:hAnsi="Calibri"/>
                <w:b w:val="0"/>
                <w:i w:val="0"/>
                <w:color w:val="333333"/>
                <w:sz w:val="17"/>
              </w:rPr>
              <w:t>Courriel §5 — déploiement de septembre, production de novembre</w:t>
            </w:r>
          </w:p>
        </w:tc>
        <w:tc>
          <w:tcPr>
            <w:tcW w:type="dxa" w:w="4873"/>
          </w:tcPr>
          <w:p>
            <w:pPr>
              <w:spacing w:before="40" w:after="40"/>
            </w:pPr>
            <w:r>
              <w:rPr>
                <w:rFonts w:ascii="Calibri" w:hAnsi="Calibri"/>
                <w:b w:val="0"/>
                <w:i w:val="0"/>
                <w:color w:val="333333"/>
                <w:sz w:val="17"/>
              </w:rPr>
              <w:t>Document 4 ; §4.3 et §8.4 expliquent comment les échéances sont protégées</w:t>
            </w:r>
          </w:p>
        </w:tc>
      </w:tr>
    </w:tbl>
    <w:p>
      <w:pPr>
        <w:spacing w:after="40"/>
      </w:pPr>
    </w:p>
    <w:p>
      <w:pPr>
        <w:pStyle w:val="Heading1"/>
        <w:pageBreakBefore/>
        <w:spacing w:before="360" w:after="80"/>
        <w:keepNext/>
        <w:pBdr>
          <w:bottom w:val="single" w:sz="8" w:space="6" w:color="1B3A5C"/>
        </w:pBdr>
      </w:pPr>
      <w:bookmarkStart w:id="152" w:name="_Toc_s051"/>
      <w:r>
        <w:rPr>
          <w:rFonts w:ascii="Calibri" w:hAnsi="Calibri"/>
          <w:b/>
          <w:color w:val="1B3A5C"/>
          <w:sz w:val="30"/>
        </w:rPr>
        <w:t>14. Mise en œuvre du pilote — état réel (17 septembre 2026)</w:t>
      </w:r>
      <w:bookmarkEnd w:id="152"/>
    </w:p>
    <w:p>
      <w:r>
        <w:rPr>
          <w:rFonts w:ascii="Calibri" w:hAnsi="Calibri"/>
          <w:b w:val="0"/>
          <w:i w:val="0"/>
          <w:color w:val="333333"/>
          <w:sz w:val="20"/>
        </w:rPr>
        <w:t>Les sections 1 à 13 décrivent l'architecture cible. La présente section décrit ce que l'environnement pilote met réellement en œuvre aujourd'hui, afin que la DSI de SUNU puisse évaluer le système en fonctionnement autant que sa conception. Les fonctionnalités non encore réalisées sont signalées comme telles.</w:t>
      </w:r>
    </w:p>
    <w:p>
      <w:pPr>
        <w:pStyle w:val="Heading2"/>
        <w:spacing w:before="280" w:after="80"/>
        <w:keepNext/>
      </w:pPr>
      <w:bookmarkStart w:id="153" w:name="_Toc_s052"/>
      <w:r>
        <w:rPr>
          <w:rFonts w:ascii="Calibri" w:hAnsi="Calibri"/>
          <w:b/>
          <w:color w:val="1B3A5C"/>
          <w:sz w:val="24"/>
        </w:rPr>
        <w:t>14.1 Déploiement du pilote</w:t>
      </w:r>
      <w:bookmarkEnd w:id="153"/>
    </w:p>
    <w:p>
      <w:pPr>
        <w:spacing w:before="120" w:after="160" w:line="240" w:lineRule="auto"/>
        <w:ind w:left="113"/>
        <w:shd w:val="clear" w:fill="F4F5F2"/>
        <w:pBdr>
          <w:left w:val="single" w:sz="12" w:space="6" w:color="1B3A5C"/>
        </w:pBdr>
      </w:pPr>
      <w:r>
        <w:rPr>
          <w:rFonts w:ascii="Consolas" w:hAnsi="Consolas" w:cs="Consolas"/>
          <w:color w:val="333333"/>
          <w:sz w:val="15"/>
        </w:rPr>
        <w:t xml:space="preserve"> Terminaux Telpo F20                          Serveur pilote (VPS Linux, hébergé par DBS)</w:t>
        <w:br/>
      </w:r>
      <w:r>
        <w:rPr>
          <w:rFonts w:ascii="Consolas" w:hAnsi="Consolas" w:cs="Consolas"/>
          <w:color w:val="333333"/>
          <w:sz w:val="15"/>
        </w:rPr>
        <w:t xml:space="preserve"> ┌────────────────────────┐                 ┌──────────────────────────────────────────┐</w:t>
        <w:br/>
      </w:r>
      <w:r>
        <w:rPr>
          <w:rFonts w:ascii="Consolas" w:hAnsi="Consolas" w:cs="Consolas"/>
          <w:color w:val="333333"/>
          <w:sz w:val="15"/>
        </w:rPr>
        <w:t xml:space="preserve"> │ Application TPE SUNU    │  REST / JSON    │ Apache HTTP Server + PHP 8                │</w:t>
        <w:br/>
      </w:r>
      <w:r>
        <w:rPr>
          <w:rFonts w:ascii="Consolas" w:hAnsi="Consolas" w:cs="Consolas"/>
          <w:color w:val="333333"/>
          <w:sz w:val="15"/>
        </w:rPr>
        <w:t xml:space="preserve"> │ com.sunu.telpo 1.1.2    │  + multipart    │ Back-office Laravel 9                     │</w:t>
        <w:br/>
      </w:r>
      <w:r>
        <w:rPr>
          <w:rFonts w:ascii="Consolas" w:hAnsi="Consolas" w:cs="Consolas"/>
          <w:color w:val="333333"/>
          <w:sz w:val="15"/>
        </w:rPr>
        <w:t xml:space="preserve"> │ Android, ARM 32 bits    │ ──────────────▶ │   /api/v1/sunu/*     API terminaux        │</w:t>
        <w:br/>
      </w:r>
      <w:r>
        <w:rPr>
          <w:rFonts w:ascii="Consolas" w:hAnsi="Consolas" w:cs="Consolas"/>
          <w:color w:val="333333"/>
          <w:sz w:val="15"/>
        </w:rPr>
        <w:t xml:space="preserve"> │ photo · GPS · NFC ·     │                 │   /business/sunu/*   back-office web      │</w:t>
        <w:br/>
      </w:r>
      <w:r>
        <w:rPr>
          <w:rFonts w:ascii="Consolas" w:hAnsi="Consolas" w:cs="Consolas"/>
          <w:color w:val="333333"/>
          <w:sz w:val="15"/>
        </w:rPr>
        <w:t xml:space="preserve"> │ imprimante thermique    │                 │ Base de données MySQL                     │</w:t>
        <w:br/>
      </w:r>
      <w:r>
        <w:rPr>
          <w:rFonts w:ascii="Consolas" w:hAnsi="Consolas" w:cs="Consolas"/>
          <w:color w:val="333333"/>
          <w:sz w:val="15"/>
        </w:rPr>
        <w:t xml:space="preserve"> └────────────────────────┘                 │ Fichiers : images propositions et CNIB    │</w:t>
        <w:br/>
      </w:r>
      <w:r>
        <w:rPr>
          <w:rFonts w:ascii="Consolas" w:hAnsi="Consolas" w:cs="Consolas"/>
          <w:color w:val="333333"/>
          <w:sz w:val="15"/>
        </w:rPr>
        <w:t xml:space="preserve">                                             └───────────────────────┬──────────────────┘</w:t>
        <w:br/>
      </w:r>
      <w:r>
        <w:rPr>
          <w:rFonts w:ascii="Consolas" w:hAnsi="Consolas" w:cs="Consolas"/>
          <w:color w:val="333333"/>
          <w:sz w:val="15"/>
        </w:rPr>
        <w:t xml:space="preserve"> Utilisateurs back-office SUNU ── navigateur web ────────────────────┘</w:t>
        <w:br/>
      </w:r>
      <w:r>
        <w:rPr>
          <w:rFonts w:ascii="Consolas" w:hAnsi="Consolas" w:cs="Consolas"/>
          <w:color w:val="333333"/>
          <w:sz w:val="15"/>
        </w:rPr>
        <w:br/>
      </w:r>
      <w:r>
        <w:rPr>
          <w:rFonts w:ascii="Consolas" w:hAnsi="Consolas" w:cs="Consolas"/>
          <w:color w:val="333333"/>
          <w:sz w:val="15"/>
        </w:rPr>
        <w:t xml:space="preserve"> Extraction SUNULIFE ──▶ import CSV (clients + polices)     ──▶ back-office</w:t>
        <w:br/>
      </w:r>
      <w:r>
        <w:rPr>
          <w:rFonts w:ascii="Consolas" w:hAnsi="Consolas" w:cs="Consolas"/>
          <w:color w:val="333333"/>
          <w:sz w:val="15"/>
        </w:rPr>
        <w:t xml:space="preserve"> back-office         ──▶ export CSV (primes encaissées)     ──▶ saisie manuelle dans SUNULIFE</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Élément</w:t>
            </w:r>
          </w:p>
        </w:tc>
        <w:tc>
          <w:tcPr>
            <w:tcW w:type="dxa" w:w="4873"/>
            <w:shd w:val="clear" w:fill="1B3A5C"/>
          </w:tcPr>
          <w:p>
            <w:pPr>
              <w:spacing w:before="60" w:after="60"/>
            </w:pPr>
            <w:r>
              <w:rPr>
                <w:rFonts w:ascii="Calibri" w:hAnsi="Calibri"/>
                <w:b/>
                <w:color w:val="FFFFFF"/>
                <w:sz w:val="17"/>
              </w:rPr>
              <w:t>Valeur pilote</w:t>
            </w:r>
          </w:p>
        </w:tc>
      </w:tr>
      <w:tr>
        <w:tc>
          <w:tcPr>
            <w:tcW w:type="dxa" w:w="4873"/>
          </w:tcPr>
          <w:p>
            <w:pPr>
              <w:spacing w:before="40" w:after="40"/>
            </w:pPr>
            <w:r>
              <w:rPr>
                <w:rFonts w:ascii="Calibri" w:hAnsi="Calibri"/>
                <w:b w:val="0"/>
                <w:i w:val="0"/>
                <w:color w:val="333333"/>
                <w:sz w:val="17"/>
              </w:rPr>
              <w:t>Serveur</w:t>
            </w:r>
          </w:p>
        </w:tc>
        <w:tc>
          <w:tcPr>
            <w:tcW w:type="dxa" w:w="4873"/>
          </w:tcPr>
          <w:p>
            <w:pPr>
              <w:spacing w:before="40" w:after="40"/>
            </w:pPr>
            <w:r>
              <w:rPr>
                <w:rFonts w:ascii="Calibri" w:hAnsi="Calibri"/>
                <w:b w:val="0"/>
                <w:i w:val="0"/>
                <w:color w:val="333333"/>
                <w:sz w:val="17"/>
              </w:rPr>
              <w:t>Un VPS Linux hébergé par DBS ; application, base de données et stockage des images sur le même hôte</w:t>
            </w:r>
          </w:p>
        </w:tc>
      </w:tr>
      <w:tr>
        <w:tc>
          <w:tcPr>
            <w:tcW w:type="dxa" w:w="4873"/>
            <w:shd w:val="clear" w:fill="F2F6FA"/>
          </w:tcPr>
          <w:p>
            <w:pPr>
              <w:spacing w:before="40" w:after="40"/>
            </w:pPr>
            <w:r>
              <w:rPr>
                <w:rFonts w:ascii="Calibri" w:hAnsi="Calibri"/>
                <w:b w:val="0"/>
                <w:i w:val="0"/>
                <w:color w:val="333333"/>
                <w:sz w:val="17"/>
              </w:rPr>
              <w:t>Couche web et applicative</w:t>
            </w:r>
          </w:p>
        </w:tc>
        <w:tc>
          <w:tcPr>
            <w:tcW w:type="dxa" w:w="4873"/>
            <w:shd w:val="clear" w:fill="F2F6FA"/>
          </w:tcPr>
          <w:p>
            <w:pPr>
              <w:spacing w:before="40" w:after="40"/>
            </w:pPr>
            <w:r>
              <w:rPr>
                <w:rFonts w:ascii="Calibri" w:hAnsi="Calibri"/>
                <w:b w:val="0"/>
                <w:i w:val="0"/>
                <w:color w:val="333333"/>
                <w:sz w:val="17"/>
              </w:rPr>
              <w:t>Apache HTTP Server avec PHP 8, application Laravel 9</w:t>
            </w:r>
          </w:p>
        </w:tc>
      </w:tr>
      <w:tr>
        <w:tc>
          <w:tcPr>
            <w:tcW w:type="dxa" w:w="4873"/>
          </w:tcPr>
          <w:p>
            <w:pPr>
              <w:spacing w:before="40" w:after="40"/>
            </w:pPr>
            <w:r>
              <w:rPr>
                <w:rFonts w:ascii="Calibri" w:hAnsi="Calibri"/>
                <w:b w:val="0"/>
                <w:i w:val="0"/>
                <w:color w:val="333333"/>
                <w:sz w:val="17"/>
              </w:rPr>
              <w:t>Base de données</w:t>
            </w:r>
          </w:p>
        </w:tc>
        <w:tc>
          <w:tcPr>
            <w:tcW w:type="dxa" w:w="4873"/>
          </w:tcPr>
          <w:p>
            <w:pPr>
              <w:spacing w:before="40" w:after="40"/>
            </w:pPr>
            <w:r>
              <w:rPr>
                <w:rFonts w:ascii="Calibri" w:hAnsi="Calibri"/>
                <w:b w:val="0"/>
                <w:i w:val="0"/>
                <w:color w:val="333333"/>
                <w:sz w:val="17"/>
              </w:rPr>
              <w:t>MySQL, schéma dédié SUNU</w:t>
            </w:r>
          </w:p>
        </w:tc>
      </w:tr>
      <w:tr>
        <w:tc>
          <w:tcPr>
            <w:tcW w:type="dxa" w:w="4873"/>
            <w:shd w:val="clear" w:fill="F2F6FA"/>
          </w:tcPr>
          <w:p>
            <w:pPr>
              <w:spacing w:before="40" w:after="40"/>
            </w:pPr>
            <w:r>
              <w:rPr>
                <w:rFonts w:ascii="Calibri" w:hAnsi="Calibri"/>
                <w:b w:val="0"/>
                <w:i w:val="0"/>
                <w:color w:val="333333"/>
                <w:sz w:val="17"/>
              </w:rPr>
              <w:t>Stockage des images</w:t>
            </w:r>
          </w:p>
        </w:tc>
        <w:tc>
          <w:tcPr>
            <w:tcW w:type="dxa" w:w="4873"/>
            <w:shd w:val="clear" w:fill="F2F6FA"/>
          </w:tcPr>
          <w:p>
            <w:pPr>
              <w:spacing w:before="40" w:after="40"/>
            </w:pPr>
            <w:r>
              <w:rPr>
                <w:rFonts w:ascii="Calibri" w:hAnsi="Calibri"/>
                <w:b w:val="0"/>
                <w:i w:val="0"/>
                <w:color w:val="333333"/>
                <w:sz w:val="17"/>
              </w:rPr>
              <w:t>Système de fichiers du serveur, un dossier par proposition</w:t>
            </w:r>
          </w:p>
        </w:tc>
      </w:tr>
      <w:tr>
        <w:tc>
          <w:tcPr>
            <w:tcW w:type="dxa" w:w="4873"/>
          </w:tcPr>
          <w:p>
            <w:pPr>
              <w:spacing w:before="40" w:after="40"/>
            </w:pPr>
            <w:r>
              <w:rPr>
                <w:rFonts w:ascii="Calibri" w:hAnsi="Calibri"/>
                <w:b w:val="0"/>
                <w:i w:val="0"/>
                <w:color w:val="333333"/>
                <w:sz w:val="17"/>
              </w:rPr>
              <w:t>Application terminal</w:t>
            </w:r>
          </w:p>
        </w:tc>
        <w:tc>
          <w:tcPr>
            <w:tcW w:type="dxa" w:w="4873"/>
          </w:tcPr>
          <w:p>
            <w:pPr>
              <w:spacing w:before="40" w:after="40"/>
            </w:pPr>
            <w:r>
              <w:rPr>
                <w:rFonts w:ascii="Consolas" w:hAnsi="Consolas"/>
                <w:b w:val="0"/>
                <w:i w:val="0"/>
                <w:color w:val="1B3A5C"/>
                <w:sz w:val="16"/>
              </w:rPr>
              <w:t>com.sunu.telpo</w:t>
            </w:r>
            <w:r>
              <w:rPr>
                <w:rFonts w:ascii="Calibri" w:hAnsi="Calibri"/>
                <w:b w:val="0"/>
                <w:i w:val="0"/>
                <w:color w:val="333333"/>
                <w:sz w:val="17"/>
              </w:rPr>
              <w:t xml:space="preserve"> version 1.1.2 (build 4), ARM 32 bits, environ 15 Mo, installée par chargement direct</w:t>
            </w:r>
          </w:p>
        </w:tc>
      </w:tr>
      <w:tr>
        <w:tc>
          <w:tcPr>
            <w:tcW w:type="dxa" w:w="4873"/>
            <w:shd w:val="clear" w:fill="F2F6FA"/>
          </w:tcPr>
          <w:p>
            <w:pPr>
              <w:spacing w:before="40" w:after="40"/>
            </w:pPr>
            <w:r>
              <w:rPr>
                <w:rFonts w:ascii="Calibri" w:hAnsi="Calibri"/>
                <w:b w:val="0"/>
                <w:i w:val="0"/>
                <w:color w:val="333333"/>
                <w:sz w:val="17"/>
              </w:rPr>
              <w:t>Terminaux</w:t>
            </w:r>
          </w:p>
        </w:tc>
        <w:tc>
          <w:tcPr>
            <w:tcW w:type="dxa" w:w="4873"/>
            <w:shd w:val="clear" w:fill="F2F6FA"/>
          </w:tcPr>
          <w:p>
            <w:pPr>
              <w:spacing w:before="40" w:after="40"/>
            </w:pPr>
            <w:r>
              <w:rPr>
                <w:rFonts w:ascii="Calibri" w:hAnsi="Calibri"/>
                <w:b w:val="0"/>
                <w:i w:val="0"/>
                <w:color w:val="333333"/>
                <w:sz w:val="17"/>
              </w:rPr>
              <w:t>Telpo F20 ; chaque terminal est enregistré dans le back-office par son identifiant Android, et les requêtes d'un terminal non enregistré sont refusées</w:t>
            </w:r>
          </w:p>
        </w:tc>
      </w:tr>
      <w:tr>
        <w:tc>
          <w:tcPr>
            <w:tcW w:type="dxa" w:w="4873"/>
          </w:tcPr>
          <w:p>
            <w:pPr>
              <w:spacing w:before="40" w:after="40"/>
            </w:pPr>
            <w:r>
              <w:rPr>
                <w:rFonts w:ascii="Calibri" w:hAnsi="Calibri"/>
                <w:b w:val="0"/>
                <w:i w:val="0"/>
                <w:color w:val="333333"/>
                <w:sz w:val="17"/>
              </w:rPr>
              <w:t>Transport</w:t>
            </w:r>
          </w:p>
        </w:tc>
        <w:tc>
          <w:tcPr>
            <w:tcW w:type="dxa" w:w="4873"/>
          </w:tcPr>
          <w:p>
            <w:pPr>
              <w:spacing w:before="40" w:after="40"/>
            </w:pPr>
            <w:r>
              <w:rPr>
                <w:rFonts w:ascii="Calibri" w:hAnsi="Calibri"/>
                <w:b w:val="0"/>
                <w:i w:val="0"/>
                <w:color w:val="333333"/>
                <w:sz w:val="17"/>
              </w:rPr>
              <w:t>HTTP sur un port dédié pendant le pilote ; TLS fait partie des actions avant production (§14.6)</w:t>
            </w:r>
          </w:p>
        </w:tc>
      </w:tr>
    </w:tbl>
    <w:p>
      <w:pPr>
        <w:spacing w:after="40"/>
      </w:pPr>
    </w:p>
    <w:p>
      <w:pPr>
        <w:pStyle w:val="Heading2"/>
        <w:spacing w:before="280" w:after="80"/>
        <w:keepNext/>
      </w:pPr>
      <w:bookmarkStart w:id="154" w:name="_Toc_s053"/>
      <w:r>
        <w:rPr>
          <w:rFonts w:ascii="Calibri" w:hAnsi="Calibri"/>
          <w:b/>
          <w:color w:val="1B3A5C"/>
          <w:sz w:val="24"/>
        </w:rPr>
        <w:t>14.2 Périmètre livré et périmètre prévu</w:t>
      </w:r>
      <w:bookmarkEnd w:id="15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Fonctionnalité</w:t>
            </w:r>
          </w:p>
        </w:tc>
        <w:tc>
          <w:tcPr>
            <w:tcW w:type="dxa" w:w="3249"/>
            <w:shd w:val="clear" w:fill="1B3A5C"/>
          </w:tcPr>
          <w:p>
            <w:pPr>
              <w:spacing w:before="60" w:after="60"/>
            </w:pPr>
            <w:r>
              <w:rPr>
                <w:rFonts w:ascii="Calibri" w:hAnsi="Calibri"/>
                <w:b/>
                <w:color w:val="FFFFFF"/>
                <w:sz w:val="17"/>
              </w:rPr>
              <w:t>Référence cible</w:t>
            </w:r>
          </w:p>
        </w:tc>
        <w:tc>
          <w:tcPr>
            <w:tcW w:type="dxa" w:w="3249"/>
            <w:shd w:val="clear" w:fill="1B3A5C"/>
          </w:tcPr>
          <w:p>
            <w:pPr>
              <w:spacing w:before="60" w:after="60"/>
            </w:pPr>
            <w:r>
              <w:rPr>
                <w:rFonts w:ascii="Calibri" w:hAnsi="Calibri"/>
                <w:b/>
                <w:color w:val="FFFFFF"/>
                <w:sz w:val="17"/>
              </w:rPr>
              <w:t>État au pilote</w:t>
            </w:r>
          </w:p>
        </w:tc>
      </w:tr>
      <w:tr>
        <w:tc>
          <w:tcPr>
            <w:tcW w:type="dxa" w:w="3249"/>
          </w:tcPr>
          <w:p>
            <w:pPr>
              <w:spacing w:before="40" w:after="40"/>
            </w:pPr>
            <w:r>
              <w:rPr>
                <w:rFonts w:ascii="Calibri" w:hAnsi="Calibri"/>
                <w:b w:val="0"/>
                <w:i w:val="0"/>
                <w:color w:val="333333"/>
                <w:sz w:val="17"/>
              </w:rPr>
              <w:t>Catalogue produits : Micro Épargne Retraite, Mixte Plus Horizon, Rente Éducation Plus, Micro Quiétude, avec visa DGTCP, catégorie, garanties et valeurs de prime par défaut ; modifiable, activé ou désactivé plutôt que supprimé</w:t>
            </w:r>
          </w:p>
        </w:tc>
        <w:tc>
          <w:tcPr>
            <w:tcW w:type="dxa" w:w="3249"/>
          </w:tcPr>
          <w:p>
            <w:pPr>
              <w:spacing w:before="40" w:after="40"/>
            </w:pPr>
            <w:r>
              <w:rPr>
                <w:rFonts w:ascii="Calibri" w:hAnsi="Calibri"/>
                <w:b w:val="0"/>
                <w:i w:val="0"/>
                <w:color w:val="333333"/>
                <w:sz w:val="17"/>
              </w:rPr>
              <w:t>B7</w:t>
            </w:r>
          </w:p>
        </w:tc>
        <w:tc>
          <w:tcPr>
            <w:tcW w:type="dxa" w:w="3249"/>
          </w:tcPr>
          <w:p>
            <w:pPr>
              <w:spacing w:before="40" w:after="40"/>
            </w:pPr>
            <w:r>
              <w:rPr>
                <w:rFonts w:ascii="Calibri" w:hAnsi="Calibri"/>
                <w:b w:val="0"/>
                <w:i w:val="0"/>
                <w:color w:val="333333"/>
                <w:sz w:val="17"/>
              </w:rPr>
              <w:t>Réalisé</w:t>
            </w:r>
          </w:p>
        </w:tc>
      </w:tr>
      <w:tr>
        <w:tc>
          <w:tcPr>
            <w:tcW w:type="dxa" w:w="3249"/>
            <w:shd w:val="clear" w:fill="F2F6FA"/>
          </w:tcPr>
          <w:p>
            <w:pPr>
              <w:spacing w:before="40" w:after="40"/>
            </w:pPr>
            <w:r>
              <w:rPr>
                <w:rFonts w:ascii="Calibri" w:hAnsi="Calibri"/>
                <w:b w:val="0"/>
                <w:i w:val="0"/>
                <w:color w:val="333333"/>
                <w:sz w:val="17"/>
              </w:rPr>
              <w:t>Souscription sur le terminal : choix du produit, identité, photo de la proposition signée, CNIB recto et verso, position GPS, sauvegarde hors ligne en cas d'échec d'envoi</w:t>
            </w:r>
          </w:p>
        </w:tc>
        <w:tc>
          <w:tcPr>
            <w:tcW w:type="dxa" w:w="3249"/>
            <w:shd w:val="clear" w:fill="F2F6FA"/>
          </w:tcPr>
          <w:p>
            <w:pPr>
              <w:spacing w:before="40" w:after="40"/>
            </w:pPr>
            <w:r>
              <w:rPr>
                <w:rFonts w:ascii="Calibri" w:hAnsi="Calibri"/>
                <w:b w:val="0"/>
                <w:i w:val="0"/>
                <w:color w:val="333333"/>
                <w:sz w:val="17"/>
              </w:rPr>
              <w:t>P3–P5, B8</w:t>
            </w:r>
          </w:p>
        </w:tc>
        <w:tc>
          <w:tcPr>
            <w:tcW w:type="dxa" w:w="3249"/>
            <w:shd w:val="clear" w:fill="F2F6FA"/>
          </w:tcPr>
          <w:p>
            <w:pPr>
              <w:spacing w:before="40" w:after="40"/>
            </w:pPr>
            <w:r>
              <w:rPr>
                <w:rFonts w:ascii="Calibri" w:hAnsi="Calibri"/>
                <w:b w:val="0"/>
                <w:i w:val="0"/>
                <w:color w:val="333333"/>
                <w:sz w:val="17"/>
              </w:rPr>
              <w:t>Réalisé ; en test terrain</w:t>
            </w:r>
          </w:p>
        </w:tc>
      </w:tr>
      <w:tr>
        <w:tc>
          <w:tcPr>
            <w:tcW w:type="dxa" w:w="3249"/>
          </w:tcPr>
          <w:p>
            <w:pPr>
              <w:spacing w:before="40" w:after="40"/>
            </w:pPr>
            <w:r>
              <w:rPr>
                <w:rFonts w:ascii="Calibri" w:hAnsi="Calibri"/>
                <w:b w:val="0"/>
                <w:i w:val="0"/>
                <w:color w:val="333333"/>
                <w:sz w:val="17"/>
              </w:rPr>
              <w:t xml:space="preserve">Revue et acceptation des propositions au back-office, création de la police </w:t>
            </w:r>
            <w:r>
              <w:rPr>
                <w:rFonts w:ascii="Consolas" w:hAnsi="Consolas"/>
                <w:b w:val="0"/>
                <w:i w:val="0"/>
                <w:color w:val="1B3A5C"/>
                <w:sz w:val="16"/>
              </w:rPr>
              <w:t>POL-{numéro de proposition}</w:t>
            </w:r>
          </w:p>
        </w:tc>
        <w:tc>
          <w:tcPr>
            <w:tcW w:type="dxa" w:w="3249"/>
          </w:tcPr>
          <w:p>
            <w:pPr>
              <w:spacing w:before="40" w:after="40"/>
            </w:pPr>
            <w:r>
              <w:rPr>
                <w:rFonts w:ascii="Calibri" w:hAnsi="Calibri"/>
                <w:b w:val="0"/>
                <w:i w:val="0"/>
                <w:color w:val="333333"/>
                <w:sz w:val="17"/>
              </w:rPr>
              <w:t>B8, B9</w:t>
            </w:r>
          </w:p>
        </w:tc>
        <w:tc>
          <w:tcPr>
            <w:tcW w:type="dxa" w:w="3249"/>
          </w:tcPr>
          <w:p>
            <w:pPr>
              <w:spacing w:before="40" w:after="40"/>
            </w:pPr>
            <w:r>
              <w:rPr>
                <w:rFonts w:ascii="Calibri" w:hAnsi="Calibri"/>
                <w:b w:val="0"/>
                <w:i w:val="0"/>
                <w:color w:val="333333"/>
                <w:sz w:val="17"/>
              </w:rPr>
              <w:t>Réalisé</w:t>
            </w:r>
          </w:p>
        </w:tc>
      </w:tr>
      <w:tr>
        <w:tc>
          <w:tcPr>
            <w:tcW w:type="dxa" w:w="3249"/>
            <w:shd w:val="clear" w:fill="F2F6FA"/>
          </w:tcPr>
          <w:p>
            <w:pPr>
              <w:spacing w:before="40" w:after="40"/>
            </w:pPr>
            <w:r>
              <w:rPr>
                <w:rFonts w:ascii="Calibri" w:hAnsi="Calibri"/>
                <w:b w:val="0"/>
                <w:i w:val="0"/>
                <w:color w:val="333333"/>
                <w:sz w:val="17"/>
              </w:rPr>
              <w:t>Encaissement des primes : coût de police, première prime, prime récurrente, chacun avec une référence unique</w:t>
            </w:r>
          </w:p>
        </w:tc>
        <w:tc>
          <w:tcPr>
            <w:tcW w:type="dxa" w:w="3249"/>
            <w:shd w:val="clear" w:fill="F2F6FA"/>
          </w:tcPr>
          <w:p>
            <w:pPr>
              <w:spacing w:before="40" w:after="40"/>
            </w:pPr>
            <w:r>
              <w:rPr>
                <w:rFonts w:ascii="Calibri" w:hAnsi="Calibri"/>
                <w:b w:val="0"/>
                <w:i w:val="0"/>
                <w:color w:val="333333"/>
                <w:sz w:val="17"/>
              </w:rPr>
              <w:t>B10</w:t>
            </w:r>
          </w:p>
        </w:tc>
        <w:tc>
          <w:tcPr>
            <w:tcW w:type="dxa" w:w="3249"/>
            <w:shd w:val="clear" w:fill="F2F6FA"/>
          </w:tcPr>
          <w:p>
            <w:pPr>
              <w:spacing w:before="40" w:after="40"/>
            </w:pPr>
            <w:r>
              <w:rPr>
                <w:rFonts w:ascii="Calibri" w:hAnsi="Calibri"/>
                <w:b w:val="0"/>
                <w:i w:val="0"/>
                <w:color w:val="333333"/>
                <w:sz w:val="17"/>
              </w:rPr>
              <w:t>Réalisé</w:t>
            </w:r>
          </w:p>
        </w:tc>
      </w:tr>
      <w:tr>
        <w:tc>
          <w:tcPr>
            <w:tcW w:type="dxa" w:w="3249"/>
          </w:tcPr>
          <w:p>
            <w:pPr>
              <w:spacing w:before="40" w:after="40"/>
            </w:pPr>
            <w:r>
              <w:rPr>
                <w:rFonts w:ascii="Calibri" w:hAnsi="Calibri"/>
                <w:b w:val="0"/>
                <w:i w:val="0"/>
                <w:color w:val="333333"/>
                <w:sz w:val="17"/>
              </w:rPr>
              <w:t>Recherche des polices à partir de l'UID de la carte</w:t>
            </w:r>
          </w:p>
        </w:tc>
        <w:tc>
          <w:tcPr>
            <w:tcW w:type="dxa" w:w="3249"/>
          </w:tcPr>
          <w:p>
            <w:pPr>
              <w:spacing w:before="40" w:after="40"/>
            </w:pPr>
            <w:r>
              <w:rPr>
                <w:rFonts w:ascii="Calibri" w:hAnsi="Calibri"/>
                <w:b w:val="0"/>
                <w:i w:val="0"/>
                <w:color w:val="333333"/>
                <w:sz w:val="17"/>
              </w:rPr>
              <w:t>P6, B13</w:t>
            </w:r>
          </w:p>
        </w:tc>
        <w:tc>
          <w:tcPr>
            <w:tcW w:type="dxa" w:w="3249"/>
          </w:tcPr>
          <w:p>
            <w:pPr>
              <w:spacing w:before="40" w:after="40"/>
            </w:pPr>
            <w:r>
              <w:rPr>
                <w:rFonts w:ascii="Calibri" w:hAnsi="Calibri"/>
                <w:b w:val="0"/>
                <w:i w:val="0"/>
                <w:color w:val="333333"/>
                <w:sz w:val="17"/>
              </w:rPr>
              <w:t>Réalisé</w:t>
            </w:r>
          </w:p>
        </w:tc>
      </w:tr>
      <w:tr>
        <w:tc>
          <w:tcPr>
            <w:tcW w:type="dxa" w:w="3249"/>
            <w:shd w:val="clear" w:fill="F2F6FA"/>
          </w:tcPr>
          <w:p>
            <w:pPr>
              <w:spacing w:before="40" w:after="40"/>
            </w:pPr>
            <w:r>
              <w:rPr>
                <w:rFonts w:ascii="Calibri" w:hAnsi="Calibri"/>
                <w:b w:val="0"/>
                <w:i w:val="0"/>
                <w:color w:val="333333"/>
                <w:sz w:val="17"/>
              </w:rPr>
              <w:t>Plafond collecteur, déclaration de versement, confirmation ou rejet au back-office</w:t>
            </w:r>
          </w:p>
        </w:tc>
        <w:tc>
          <w:tcPr>
            <w:tcW w:type="dxa" w:w="3249"/>
            <w:shd w:val="clear" w:fill="F2F6FA"/>
          </w:tcPr>
          <w:p>
            <w:pPr>
              <w:spacing w:before="40" w:after="40"/>
            </w:pPr>
            <w:r>
              <w:rPr>
                <w:rFonts w:ascii="Calibri" w:hAnsi="Calibri"/>
                <w:b w:val="0"/>
                <w:i w:val="0"/>
                <w:color w:val="333333"/>
                <w:sz w:val="17"/>
              </w:rPr>
              <w:t>B12, P14</w:t>
            </w:r>
          </w:p>
        </w:tc>
        <w:tc>
          <w:tcPr>
            <w:tcW w:type="dxa" w:w="3249"/>
            <w:shd w:val="clear" w:fill="F2F6FA"/>
          </w:tcPr>
          <w:p>
            <w:pPr>
              <w:spacing w:before="40" w:after="40"/>
            </w:pPr>
            <w:r>
              <w:rPr>
                <w:rFonts w:ascii="Calibri" w:hAnsi="Calibri"/>
                <w:b w:val="0"/>
                <w:i w:val="0"/>
                <w:color w:val="333333"/>
                <w:sz w:val="17"/>
              </w:rPr>
              <w:t>Réalisé</w:t>
            </w:r>
          </w:p>
        </w:tc>
      </w:tr>
      <w:tr>
        <w:tc>
          <w:tcPr>
            <w:tcW w:type="dxa" w:w="3249"/>
          </w:tcPr>
          <w:p>
            <w:pPr>
              <w:spacing w:before="40" w:after="40"/>
            </w:pPr>
            <w:r>
              <w:rPr>
                <w:rFonts w:ascii="Calibri" w:hAnsi="Calibri"/>
                <w:b w:val="0"/>
                <w:i w:val="0"/>
                <w:color w:val="333333"/>
                <w:sz w:val="17"/>
              </w:rPr>
              <w:t>Liste des encaissements et export CSV pour saisie dans SUNULIFE</w:t>
            </w:r>
          </w:p>
        </w:tc>
        <w:tc>
          <w:tcPr>
            <w:tcW w:type="dxa" w:w="3249"/>
          </w:tcPr>
          <w:p>
            <w:pPr>
              <w:spacing w:before="40" w:after="40"/>
            </w:pPr>
            <w:r>
              <w:rPr>
                <w:rFonts w:ascii="Calibri" w:hAnsi="Calibri"/>
                <w:b w:val="0"/>
                <w:i w:val="0"/>
                <w:color w:val="333333"/>
                <w:sz w:val="17"/>
              </w:rPr>
              <w:t>B17, §8.4 Phase 0</w:t>
            </w:r>
          </w:p>
        </w:tc>
        <w:tc>
          <w:tcPr>
            <w:tcW w:type="dxa" w:w="3249"/>
          </w:tcPr>
          <w:p>
            <w:pPr>
              <w:spacing w:before="40" w:after="40"/>
            </w:pPr>
            <w:r>
              <w:rPr>
                <w:rFonts w:ascii="Calibri" w:hAnsi="Calibri"/>
                <w:b w:val="0"/>
                <w:i w:val="0"/>
                <w:color w:val="333333"/>
                <w:sz w:val="17"/>
              </w:rPr>
              <w:t>Réalisé</w:t>
            </w:r>
          </w:p>
        </w:tc>
      </w:tr>
      <w:tr>
        <w:tc>
          <w:tcPr>
            <w:tcW w:type="dxa" w:w="3249"/>
            <w:shd w:val="clear" w:fill="F2F6FA"/>
          </w:tcPr>
          <w:p>
            <w:pPr>
              <w:spacing w:before="40" w:after="40"/>
            </w:pPr>
            <w:r>
              <w:rPr>
                <w:rFonts w:ascii="Calibri" w:hAnsi="Calibri"/>
                <w:b w:val="0"/>
                <w:i w:val="0"/>
                <w:color w:val="333333"/>
                <w:sz w:val="17"/>
              </w:rPr>
              <w:t>Import des clients et polices existants depuis un fichier CSV</w:t>
            </w:r>
          </w:p>
        </w:tc>
        <w:tc>
          <w:tcPr>
            <w:tcW w:type="dxa" w:w="3249"/>
            <w:shd w:val="clear" w:fill="F2F6FA"/>
          </w:tcPr>
          <w:p>
            <w:pPr>
              <w:spacing w:before="40" w:after="40"/>
            </w:pPr>
            <w:r>
              <w:rPr>
                <w:rFonts w:ascii="Calibri" w:hAnsi="Calibri"/>
                <w:b w:val="0"/>
                <w:i w:val="0"/>
                <w:color w:val="333333"/>
                <w:sz w:val="17"/>
              </w:rPr>
              <w:t>§8.4 Phase 0</w:t>
            </w:r>
          </w:p>
        </w:tc>
        <w:tc>
          <w:tcPr>
            <w:tcW w:type="dxa" w:w="3249"/>
            <w:shd w:val="clear" w:fill="F2F6FA"/>
          </w:tcPr>
          <w:p>
            <w:pPr>
              <w:spacing w:before="40" w:after="40"/>
            </w:pPr>
            <w:r>
              <w:rPr>
                <w:rFonts w:ascii="Calibri" w:hAnsi="Calibri"/>
                <w:b w:val="0"/>
                <w:i w:val="0"/>
                <w:color w:val="333333"/>
                <w:sz w:val="17"/>
              </w:rPr>
              <w:t>Réalisé ; format décrit dans le Document 5</w:t>
            </w:r>
          </w:p>
        </w:tc>
      </w:tr>
      <w:tr>
        <w:tc>
          <w:tcPr>
            <w:tcW w:type="dxa" w:w="3249"/>
          </w:tcPr>
          <w:p>
            <w:pPr>
              <w:spacing w:before="40" w:after="40"/>
            </w:pPr>
            <w:r>
              <w:rPr>
                <w:rFonts w:ascii="Calibri" w:hAnsi="Calibri"/>
                <w:b w:val="0"/>
                <w:i w:val="0"/>
                <w:color w:val="333333"/>
                <w:sz w:val="17"/>
              </w:rPr>
              <w:t>Synchronisation par API avec SUNULIFE</w:t>
            </w:r>
          </w:p>
        </w:tc>
        <w:tc>
          <w:tcPr>
            <w:tcW w:type="dxa" w:w="3249"/>
          </w:tcPr>
          <w:p>
            <w:pPr>
              <w:spacing w:before="40" w:after="40"/>
            </w:pPr>
            <w:r>
              <w:rPr>
                <w:rFonts w:ascii="Calibri" w:hAnsi="Calibri"/>
                <w:b w:val="0"/>
                <w:i w:val="0"/>
                <w:color w:val="333333"/>
                <w:sz w:val="17"/>
              </w:rPr>
              <w:t>B16, §8</w:t>
            </w:r>
          </w:p>
        </w:tc>
        <w:tc>
          <w:tcPr>
            <w:tcW w:type="dxa" w:w="3249"/>
          </w:tcPr>
          <w:p>
            <w:pPr>
              <w:spacing w:before="40" w:after="40"/>
            </w:pPr>
            <w:r>
              <w:rPr>
                <w:rFonts w:ascii="Calibri" w:hAnsi="Calibri"/>
                <w:b w:val="0"/>
                <w:i w:val="0"/>
                <w:color w:val="333333"/>
                <w:sz w:val="17"/>
              </w:rPr>
              <w:t>Non démarré ; dépend de OP-1</w:t>
            </w:r>
          </w:p>
        </w:tc>
      </w:tr>
      <w:tr>
        <w:tc>
          <w:tcPr>
            <w:tcW w:type="dxa" w:w="3249"/>
            <w:shd w:val="clear" w:fill="F2F6FA"/>
          </w:tcPr>
          <w:p>
            <w:pPr>
              <w:spacing w:before="40" w:after="40"/>
            </w:pPr>
            <w:r>
              <w:rPr>
                <w:rFonts w:ascii="Calibri" w:hAnsi="Calibri"/>
                <w:b w:val="0"/>
                <w:i w:val="0"/>
                <w:color w:val="333333"/>
                <w:sz w:val="17"/>
              </w:rPr>
              <w:t>Encaissement Mobile Money</w:t>
            </w:r>
          </w:p>
        </w:tc>
        <w:tc>
          <w:tcPr>
            <w:tcW w:type="dxa" w:w="3249"/>
            <w:shd w:val="clear" w:fill="F2F6FA"/>
          </w:tcPr>
          <w:p>
            <w:pPr>
              <w:spacing w:before="40" w:after="40"/>
            </w:pPr>
            <w:r>
              <w:rPr>
                <w:rFonts w:ascii="Calibri" w:hAnsi="Calibri"/>
                <w:b w:val="0"/>
                <w:i w:val="0"/>
                <w:color w:val="333333"/>
                <w:sz w:val="17"/>
              </w:rPr>
              <w:t>B15, §9</w:t>
            </w:r>
          </w:p>
        </w:tc>
        <w:tc>
          <w:tcPr>
            <w:tcW w:type="dxa" w:w="3249"/>
            <w:shd w:val="clear" w:fill="F2F6FA"/>
          </w:tcPr>
          <w:p>
            <w:pPr>
              <w:spacing w:before="40" w:after="40"/>
            </w:pPr>
            <w:r>
              <w:rPr>
                <w:rFonts w:ascii="Calibri" w:hAnsi="Calibri"/>
                <w:b w:val="0"/>
                <w:i w:val="0"/>
                <w:color w:val="333333"/>
                <w:sz w:val="17"/>
              </w:rPr>
              <w:t xml:space="preserve">Non réalisé ; le modèle de données réserve déjà </w:t>
            </w:r>
            <w:r>
              <w:rPr>
                <w:rFonts w:ascii="Consolas" w:hAnsi="Consolas"/>
                <w:b w:val="0"/>
                <w:i w:val="0"/>
                <w:color w:val="1B3A5C"/>
                <w:sz w:val="16"/>
              </w:rPr>
              <w:t>momo</w:t>
            </w:r>
            <w:r>
              <w:rPr>
                <w:rFonts w:ascii="Calibri" w:hAnsi="Calibri"/>
                <w:b w:val="0"/>
                <w:i w:val="0"/>
                <w:color w:val="333333"/>
                <w:sz w:val="17"/>
              </w:rPr>
              <w:t xml:space="preserve"> comme moyen de paiement</w:t>
            </w:r>
          </w:p>
        </w:tc>
      </w:tr>
      <w:tr>
        <w:tc>
          <w:tcPr>
            <w:tcW w:type="dxa" w:w="3249"/>
          </w:tcPr>
          <w:p>
            <w:pPr>
              <w:spacing w:before="40" w:after="40"/>
            </w:pPr>
            <w:r>
              <w:rPr>
                <w:rFonts w:ascii="Calibri" w:hAnsi="Calibri"/>
                <w:b w:val="0"/>
                <w:i w:val="0"/>
                <w:color w:val="333333"/>
                <w:sz w:val="17"/>
              </w:rPr>
              <w:t>Carte virtuelle QR</w:t>
            </w:r>
          </w:p>
        </w:tc>
        <w:tc>
          <w:tcPr>
            <w:tcW w:type="dxa" w:w="3249"/>
          </w:tcPr>
          <w:p>
            <w:pPr>
              <w:spacing w:before="40" w:after="40"/>
            </w:pPr>
            <w:r>
              <w:rPr>
                <w:rFonts w:ascii="Calibri" w:hAnsi="Calibri"/>
                <w:b w:val="0"/>
                <w:i w:val="0"/>
                <w:color w:val="333333"/>
                <w:sz w:val="17"/>
              </w:rPr>
              <w:t>B14, P8</w:t>
            </w:r>
          </w:p>
        </w:tc>
        <w:tc>
          <w:tcPr>
            <w:tcW w:type="dxa" w:w="3249"/>
          </w:tcPr>
          <w:p>
            <w:pPr>
              <w:spacing w:before="40" w:after="40"/>
            </w:pPr>
            <w:r>
              <w:rPr>
                <w:rFonts w:ascii="Calibri" w:hAnsi="Calibri"/>
                <w:b w:val="0"/>
                <w:i w:val="0"/>
                <w:color w:val="333333"/>
                <w:sz w:val="17"/>
              </w:rPr>
              <w:t>Non réalisé</w:t>
            </w:r>
          </w:p>
        </w:tc>
      </w:tr>
    </w:tbl>
    <w:p>
      <w:pPr>
        <w:spacing w:after="40"/>
      </w:pPr>
    </w:p>
    <w:p>
      <w:pPr>
        <w:pStyle w:val="Heading2"/>
        <w:spacing w:before="280" w:after="80"/>
        <w:keepNext/>
      </w:pPr>
      <w:bookmarkStart w:id="155" w:name="_Toc_s054"/>
      <w:r>
        <w:rPr>
          <w:rFonts w:ascii="Calibri" w:hAnsi="Calibri"/>
          <w:b/>
          <w:color w:val="1B3A5C"/>
          <w:sz w:val="24"/>
        </w:rPr>
        <w:t>14.3 API terminaux du pilote</w:t>
      </w:r>
      <w:bookmarkEnd w:id="155"/>
    </w:p>
    <w:p>
      <w:r>
        <w:rPr>
          <w:rFonts w:ascii="Calibri" w:hAnsi="Calibri"/>
          <w:b w:val="0"/>
          <w:i w:val="0"/>
          <w:color w:val="333333"/>
          <w:sz w:val="20"/>
        </w:rPr>
        <w:t xml:space="preserve">Chemin de base </w:t>
      </w:r>
      <w:r>
        <w:rPr>
          <w:rFonts w:ascii="Consolas" w:hAnsi="Consolas"/>
          <w:b w:val="0"/>
          <w:i w:val="0"/>
          <w:color w:val="1B3A5C"/>
          <w:sz w:val="19"/>
        </w:rPr>
        <w:t>/api/v1/sunu</w:t>
      </w:r>
      <w:r>
        <w:rPr>
          <w:rFonts w:ascii="Calibri" w:hAnsi="Calibri"/>
          <w:b w:val="0"/>
          <w:i w:val="0"/>
          <w:color w:val="333333"/>
          <w:sz w:val="20"/>
        </w:rPr>
        <w:t xml:space="preserve">. Chaque appel transmet </w:t>
      </w:r>
      <w:r>
        <w:rPr>
          <w:rFonts w:ascii="Consolas" w:hAnsi="Consolas"/>
          <w:b w:val="0"/>
          <w:i w:val="0"/>
          <w:color w:val="1B3A5C"/>
          <w:sz w:val="19"/>
        </w:rPr>
        <w:t>business_unit_id</w:t>
      </w:r>
      <w:r>
        <w:rPr>
          <w:rFonts w:ascii="Calibri" w:hAnsi="Calibri"/>
          <w:b w:val="0"/>
          <w:i w:val="0"/>
          <w:color w:val="333333"/>
          <w:sz w:val="20"/>
        </w:rPr>
        <w:t xml:space="preserve"> et l'identifiant du terminal ; le back-office retrouve le collecteur à partir de l'affectation du terminal.</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907"/>
            <w:shd w:val="clear" w:fill="1B3A5C"/>
          </w:tcPr>
          <w:p>
            <w:pPr>
              <w:spacing w:before="60" w:after="60"/>
            </w:pPr>
            <w:r>
              <w:rPr>
                <w:rFonts w:ascii="Calibri" w:hAnsi="Calibri"/>
                <w:b/>
                <w:color w:val="FFFFFF"/>
                <w:sz w:val="17"/>
              </w:rPr>
              <w:t>Méthode</w:t>
            </w:r>
          </w:p>
        </w:tc>
        <w:tc>
          <w:tcPr>
            <w:tcW w:type="dxa" w:w="4252"/>
            <w:shd w:val="clear" w:fill="1B3A5C"/>
          </w:tcPr>
          <w:p>
            <w:pPr>
              <w:spacing w:before="60" w:after="60"/>
            </w:pPr>
            <w:r>
              <w:rPr>
                <w:rFonts w:ascii="Calibri" w:hAnsi="Calibri"/>
                <w:b/>
                <w:color w:val="FFFFFF"/>
                <w:sz w:val="17"/>
              </w:rPr>
              <w:t>Chemin</w:t>
            </w:r>
          </w:p>
        </w:tc>
        <w:tc>
          <w:tcPr>
            <w:tcW w:type="dxa" w:w="4252"/>
            <w:shd w:val="clear" w:fill="1B3A5C"/>
          </w:tcPr>
          <w:p>
            <w:pPr>
              <w:spacing w:before="60" w:after="60"/>
            </w:pPr>
            <w:r>
              <w:rPr>
                <w:rFonts w:ascii="Calibri" w:hAnsi="Calibri"/>
                <w:b/>
                <w:color w:val="FFFFFF"/>
                <w:sz w:val="17"/>
              </w:rPr>
              <w:t>Rôle</w:t>
            </w:r>
          </w:p>
        </w:tc>
      </w:tr>
      <w:tr>
        <w:tc>
          <w:tcPr>
            <w:tcW w:type="dxa" w:w="907"/>
          </w:tcPr>
          <w:p>
            <w:pPr>
              <w:spacing w:before="40" w:after="40"/>
            </w:pPr>
            <w:r>
              <w:rPr>
                <w:rFonts w:ascii="Calibri" w:hAnsi="Calibri"/>
                <w:b w:val="0"/>
                <w:i w:val="0"/>
                <w:color w:val="333333"/>
                <w:sz w:val="17"/>
              </w:rPr>
              <w:t>POST</w:t>
            </w:r>
          </w:p>
        </w:tc>
        <w:tc>
          <w:tcPr>
            <w:tcW w:type="dxa" w:w="4252"/>
          </w:tcPr>
          <w:p>
            <w:pPr>
              <w:spacing w:before="40" w:after="40"/>
            </w:pPr>
            <w:r>
              <w:rPr>
                <w:rFonts w:ascii="Consolas" w:hAnsi="Consolas"/>
                <w:b w:val="0"/>
                <w:i w:val="0"/>
                <w:color w:val="1B3A5C"/>
                <w:sz w:val="16"/>
              </w:rPr>
              <w:t>/api/v1/agent/login</w:t>
            </w:r>
          </w:p>
        </w:tc>
        <w:tc>
          <w:tcPr>
            <w:tcW w:type="dxa" w:w="4252"/>
          </w:tcPr>
          <w:p>
            <w:pPr>
              <w:spacing w:before="40" w:after="40"/>
            </w:pPr>
            <w:r>
              <w:rPr>
                <w:rFonts w:ascii="Calibri" w:hAnsi="Calibri"/>
                <w:b w:val="0"/>
                <w:i w:val="0"/>
                <w:color w:val="333333"/>
                <w:sz w:val="17"/>
              </w:rPr>
              <w:t>Connexion du collecteur</w:t>
            </w:r>
          </w:p>
        </w:tc>
      </w:tr>
      <w:tr>
        <w:tc>
          <w:tcPr>
            <w:tcW w:type="dxa" w:w="907"/>
            <w:shd w:val="clear" w:fill="F2F6FA"/>
          </w:tcPr>
          <w:p>
            <w:pPr>
              <w:spacing w:before="40" w:after="40"/>
            </w:pPr>
            <w:r>
              <w:rPr>
                <w:rFonts w:ascii="Calibri" w:hAnsi="Calibri"/>
                <w:b w:val="0"/>
                <w:i w:val="0"/>
                <w:color w:val="333333"/>
                <w:sz w:val="17"/>
              </w:rPr>
              <w:t>GET</w:t>
            </w:r>
          </w:p>
        </w:tc>
        <w:tc>
          <w:tcPr>
            <w:tcW w:type="dxa" w:w="4252"/>
            <w:shd w:val="clear" w:fill="F2F6FA"/>
          </w:tcPr>
          <w:p>
            <w:pPr>
              <w:spacing w:before="40" w:after="40"/>
            </w:pPr>
            <w:r>
              <w:rPr>
                <w:rFonts w:ascii="Consolas" w:hAnsi="Consolas"/>
                <w:b w:val="0"/>
                <w:i w:val="0"/>
                <w:color w:val="1B3A5C"/>
                <w:sz w:val="16"/>
              </w:rPr>
              <w:t>/products</w:t>
            </w:r>
          </w:p>
        </w:tc>
        <w:tc>
          <w:tcPr>
            <w:tcW w:type="dxa" w:w="4252"/>
            <w:shd w:val="clear" w:fill="F2F6FA"/>
          </w:tcPr>
          <w:p>
            <w:pPr>
              <w:spacing w:before="40" w:after="40"/>
            </w:pPr>
            <w:r>
              <w:rPr>
                <w:rFonts w:ascii="Calibri" w:hAnsi="Calibri"/>
                <w:b w:val="0"/>
                <w:i w:val="0"/>
                <w:color w:val="333333"/>
                <w:sz w:val="17"/>
              </w:rPr>
              <w:t>Produits actifs, mis en cache sur le terminal pour le mode hors ligne</w:t>
            </w:r>
          </w:p>
        </w:tc>
      </w:tr>
      <w:tr>
        <w:tc>
          <w:tcPr>
            <w:tcW w:type="dxa" w:w="907"/>
          </w:tcPr>
          <w:p>
            <w:pPr>
              <w:spacing w:before="40" w:after="40"/>
            </w:pPr>
            <w:r>
              <w:rPr>
                <w:rFonts w:ascii="Calibri" w:hAnsi="Calibri"/>
                <w:b w:val="0"/>
                <w:i w:val="0"/>
                <w:color w:val="333333"/>
                <w:sz w:val="17"/>
              </w:rPr>
              <w:t>POST</w:t>
            </w:r>
          </w:p>
        </w:tc>
        <w:tc>
          <w:tcPr>
            <w:tcW w:type="dxa" w:w="4252"/>
          </w:tcPr>
          <w:p>
            <w:pPr>
              <w:spacing w:before="40" w:after="40"/>
            </w:pPr>
            <w:r>
              <w:rPr>
                <w:rFonts w:ascii="Consolas" w:hAnsi="Consolas"/>
                <w:b w:val="0"/>
                <w:i w:val="0"/>
                <w:color w:val="1B3A5C"/>
                <w:sz w:val="16"/>
              </w:rPr>
              <w:t>/proposals</w:t>
            </w:r>
          </w:p>
        </w:tc>
        <w:tc>
          <w:tcPr>
            <w:tcW w:type="dxa" w:w="4252"/>
          </w:tcPr>
          <w:p>
            <w:pPr>
              <w:spacing w:before="40" w:after="40"/>
            </w:pPr>
            <w:r>
              <w:rPr>
                <w:rFonts w:ascii="Calibri" w:hAnsi="Calibri"/>
                <w:b w:val="0"/>
                <w:i w:val="0"/>
                <w:color w:val="333333"/>
                <w:sz w:val="17"/>
              </w:rPr>
              <w:t>Souscription : identité, produit, GPS et trois images (multipart)</w:t>
            </w:r>
          </w:p>
        </w:tc>
      </w:tr>
      <w:tr>
        <w:tc>
          <w:tcPr>
            <w:tcW w:type="dxa" w:w="907"/>
            <w:shd w:val="clear" w:fill="F2F6FA"/>
          </w:tcPr>
          <w:p>
            <w:pPr>
              <w:spacing w:before="40" w:after="40"/>
            </w:pPr>
            <w:r>
              <w:rPr>
                <w:rFonts w:ascii="Calibri" w:hAnsi="Calibri"/>
                <w:b w:val="0"/>
                <w:i w:val="0"/>
                <w:color w:val="333333"/>
                <w:sz w:val="17"/>
              </w:rPr>
              <w:t>GET</w:t>
            </w:r>
          </w:p>
        </w:tc>
        <w:tc>
          <w:tcPr>
            <w:tcW w:type="dxa" w:w="4252"/>
            <w:shd w:val="clear" w:fill="F2F6FA"/>
          </w:tcPr>
          <w:p>
            <w:pPr>
              <w:spacing w:before="40" w:after="40"/>
            </w:pPr>
            <w:r>
              <w:rPr>
                <w:rFonts w:ascii="Consolas" w:hAnsi="Consolas"/>
                <w:b w:val="0"/>
                <w:i w:val="0"/>
                <w:color w:val="1B3A5C"/>
                <w:sz w:val="16"/>
              </w:rPr>
              <w:t>/proposals/{id}</w:t>
            </w:r>
          </w:p>
        </w:tc>
        <w:tc>
          <w:tcPr>
            <w:tcW w:type="dxa" w:w="4252"/>
            <w:shd w:val="clear" w:fill="F2F6FA"/>
          </w:tcPr>
          <w:p>
            <w:pPr>
              <w:spacing w:before="40" w:after="40"/>
            </w:pPr>
            <w:r>
              <w:rPr>
                <w:rFonts w:ascii="Calibri" w:hAnsi="Calibri"/>
                <w:b w:val="0"/>
                <w:i w:val="0"/>
                <w:color w:val="333333"/>
                <w:sz w:val="17"/>
              </w:rPr>
              <w:t>Détail d'une proposition</w:t>
            </w:r>
          </w:p>
        </w:tc>
      </w:tr>
      <w:tr>
        <w:tc>
          <w:tcPr>
            <w:tcW w:type="dxa" w:w="907"/>
          </w:tcPr>
          <w:p>
            <w:pPr>
              <w:spacing w:before="40" w:after="40"/>
            </w:pPr>
            <w:r>
              <w:rPr>
                <w:rFonts w:ascii="Calibri" w:hAnsi="Calibri"/>
                <w:b w:val="0"/>
                <w:i w:val="0"/>
                <w:color w:val="333333"/>
                <w:sz w:val="17"/>
              </w:rPr>
              <w:t>POST</w:t>
            </w:r>
          </w:p>
        </w:tc>
        <w:tc>
          <w:tcPr>
            <w:tcW w:type="dxa" w:w="4252"/>
          </w:tcPr>
          <w:p>
            <w:pPr>
              <w:spacing w:before="40" w:after="40"/>
            </w:pPr>
            <w:r>
              <w:rPr>
                <w:rFonts w:ascii="Consolas" w:hAnsi="Consolas"/>
                <w:b w:val="0"/>
                <w:i w:val="0"/>
                <w:color w:val="1B3A5C"/>
                <w:sz w:val="16"/>
              </w:rPr>
              <w:t>/premiums</w:t>
            </w:r>
          </w:p>
        </w:tc>
        <w:tc>
          <w:tcPr>
            <w:tcW w:type="dxa" w:w="4252"/>
          </w:tcPr>
          <w:p>
            <w:pPr>
              <w:spacing w:before="40" w:after="40"/>
            </w:pPr>
            <w:r>
              <w:rPr>
                <w:rFonts w:ascii="Calibri" w:hAnsi="Calibri"/>
                <w:b w:val="0"/>
                <w:i w:val="0"/>
                <w:color w:val="333333"/>
                <w:sz w:val="17"/>
              </w:rPr>
              <w:t xml:space="preserve">Encaissement de prime ; </w:t>
            </w:r>
            <w:r>
              <w:rPr>
                <w:rFonts w:ascii="Consolas" w:hAnsi="Consolas"/>
                <w:b w:val="0"/>
                <w:i w:val="0"/>
                <w:color w:val="1B3A5C"/>
                <w:sz w:val="16"/>
              </w:rPr>
              <w:t>reference</w:t>
            </w:r>
            <w:r>
              <w:rPr>
                <w:rFonts w:ascii="Calibri" w:hAnsi="Calibri"/>
                <w:b w:val="0"/>
                <w:i w:val="0"/>
                <w:color w:val="333333"/>
                <w:sz w:val="17"/>
              </w:rPr>
              <w:t xml:space="preserve"> rend idempotent un envoi répété</w:t>
            </w:r>
          </w:p>
        </w:tc>
      </w:tr>
      <w:tr>
        <w:tc>
          <w:tcPr>
            <w:tcW w:type="dxa" w:w="907"/>
            <w:shd w:val="clear" w:fill="F2F6FA"/>
          </w:tcPr>
          <w:p>
            <w:pPr>
              <w:spacing w:before="40" w:after="40"/>
            </w:pPr>
            <w:r>
              <w:rPr>
                <w:rFonts w:ascii="Calibri" w:hAnsi="Calibri"/>
                <w:b w:val="0"/>
                <w:i w:val="0"/>
                <w:color w:val="333333"/>
                <w:sz w:val="17"/>
              </w:rPr>
              <w:t>GET</w:t>
            </w:r>
          </w:p>
        </w:tc>
        <w:tc>
          <w:tcPr>
            <w:tcW w:type="dxa" w:w="4252"/>
            <w:shd w:val="clear" w:fill="F2F6FA"/>
          </w:tcPr>
          <w:p>
            <w:pPr>
              <w:spacing w:before="40" w:after="40"/>
            </w:pPr>
            <w:r>
              <w:rPr>
                <w:rFonts w:ascii="Consolas" w:hAnsi="Consolas"/>
                <w:b w:val="0"/>
                <w:i w:val="0"/>
                <w:color w:val="1B3A5C"/>
                <w:sz w:val="16"/>
              </w:rPr>
              <w:t>/policies/by-card/{uid}</w:t>
            </w:r>
          </w:p>
        </w:tc>
        <w:tc>
          <w:tcPr>
            <w:tcW w:type="dxa" w:w="4252"/>
            <w:shd w:val="clear" w:fill="F2F6FA"/>
          </w:tcPr>
          <w:p>
            <w:pPr>
              <w:spacing w:before="40" w:after="40"/>
            </w:pPr>
            <w:r>
              <w:rPr>
                <w:rFonts w:ascii="Calibri" w:hAnsi="Calibri"/>
                <w:b w:val="0"/>
                <w:i w:val="0"/>
                <w:color w:val="333333"/>
                <w:sz w:val="17"/>
              </w:rPr>
              <w:t>Polices actives rattachées à une carte</w:t>
            </w:r>
          </w:p>
        </w:tc>
      </w:tr>
      <w:tr>
        <w:tc>
          <w:tcPr>
            <w:tcW w:type="dxa" w:w="907"/>
          </w:tcPr>
          <w:p>
            <w:pPr>
              <w:spacing w:before="40" w:after="40"/>
            </w:pPr>
            <w:r>
              <w:rPr>
                <w:rFonts w:ascii="Calibri" w:hAnsi="Calibri"/>
                <w:b w:val="0"/>
                <w:i w:val="0"/>
                <w:color w:val="333333"/>
                <w:sz w:val="17"/>
              </w:rPr>
              <w:t>GET</w:t>
            </w:r>
          </w:p>
        </w:tc>
        <w:tc>
          <w:tcPr>
            <w:tcW w:type="dxa" w:w="4252"/>
          </w:tcPr>
          <w:p>
            <w:pPr>
              <w:spacing w:before="40" w:after="40"/>
            </w:pPr>
            <w:r>
              <w:rPr>
                <w:rFonts w:ascii="Consolas" w:hAnsi="Consolas"/>
                <w:b w:val="0"/>
                <w:i w:val="0"/>
                <w:color w:val="1B3A5C"/>
                <w:sz w:val="16"/>
              </w:rPr>
              <w:t>/collector/status</w:t>
            </w:r>
          </w:p>
        </w:tc>
        <w:tc>
          <w:tcPr>
            <w:tcW w:type="dxa" w:w="4252"/>
          </w:tcPr>
          <w:p>
            <w:pPr>
              <w:spacing w:before="40" w:after="40"/>
            </w:pPr>
            <w:r>
              <w:rPr>
                <w:rFonts w:ascii="Calibri" w:hAnsi="Calibri"/>
                <w:b w:val="0"/>
                <w:i w:val="0"/>
                <w:color w:val="333333"/>
                <w:sz w:val="17"/>
              </w:rPr>
              <w:t>Plafond, montant non reversé, indicateur de blocage</w:t>
            </w:r>
          </w:p>
        </w:tc>
      </w:tr>
      <w:tr>
        <w:tc>
          <w:tcPr>
            <w:tcW w:type="dxa" w:w="907"/>
            <w:shd w:val="clear" w:fill="F2F6FA"/>
          </w:tcPr>
          <w:p>
            <w:pPr>
              <w:spacing w:before="40" w:after="40"/>
            </w:pPr>
            <w:r>
              <w:rPr>
                <w:rFonts w:ascii="Calibri" w:hAnsi="Calibri"/>
                <w:b w:val="0"/>
                <w:i w:val="0"/>
                <w:color w:val="333333"/>
                <w:sz w:val="17"/>
              </w:rPr>
              <w:t>POST</w:t>
            </w:r>
          </w:p>
        </w:tc>
        <w:tc>
          <w:tcPr>
            <w:tcW w:type="dxa" w:w="4252"/>
            <w:shd w:val="clear" w:fill="F2F6FA"/>
          </w:tcPr>
          <w:p>
            <w:pPr>
              <w:spacing w:before="40" w:after="40"/>
            </w:pPr>
            <w:r>
              <w:rPr>
                <w:rFonts w:ascii="Consolas" w:hAnsi="Consolas"/>
                <w:b w:val="0"/>
                <w:i w:val="0"/>
                <w:color w:val="1B3A5C"/>
                <w:sz w:val="16"/>
              </w:rPr>
              <w:t>/pay-ins</w:t>
            </w:r>
          </w:p>
        </w:tc>
        <w:tc>
          <w:tcPr>
            <w:tcW w:type="dxa" w:w="4252"/>
            <w:shd w:val="clear" w:fill="F2F6FA"/>
          </w:tcPr>
          <w:p>
            <w:pPr>
              <w:spacing w:before="40" w:after="40"/>
            </w:pPr>
            <w:r>
              <w:rPr>
                <w:rFonts w:ascii="Calibri" w:hAnsi="Calibri"/>
                <w:b w:val="0"/>
                <w:i w:val="0"/>
                <w:color w:val="333333"/>
                <w:sz w:val="17"/>
              </w:rPr>
              <w:t>Déclaration de versement du collecteur</w:t>
            </w:r>
          </w:p>
        </w:tc>
      </w:tr>
    </w:tbl>
    <w:p>
      <w:pPr>
        <w:spacing w:after="40"/>
      </w:pPr>
    </w:p>
    <w:p>
      <w:pPr>
        <w:pStyle w:val="Heading2"/>
        <w:spacing w:before="280" w:after="80"/>
        <w:keepNext/>
      </w:pPr>
      <w:bookmarkStart w:id="156" w:name="_Toc_s055"/>
      <w:r>
        <w:rPr>
          <w:rFonts w:ascii="Calibri" w:hAnsi="Calibri"/>
          <w:b/>
          <w:color w:val="1B3A5C"/>
          <w:sz w:val="24"/>
        </w:rPr>
        <w:t>14.4 Flux de souscription tel que réalisé</w:t>
      </w:r>
      <w:bookmarkEnd w:id="156"/>
    </w:p>
    <w:p>
      <w:pPr>
        <w:spacing w:before="120" w:after="160" w:line="240" w:lineRule="auto"/>
        <w:ind w:left="113"/>
        <w:shd w:val="clear" w:fill="F4F5F2"/>
        <w:pBdr>
          <w:left w:val="single" w:sz="12" w:space="6" w:color="1B3A5C"/>
        </w:pBdr>
      </w:pPr>
      <w:r>
        <w:rPr>
          <w:rFonts w:ascii="Consolas" w:hAnsi="Consolas" w:cs="Consolas"/>
          <w:color w:val="333333"/>
          <w:sz w:val="15"/>
        </w:rPr>
        <w:t xml:space="preserve"> Terminal                                     Back-office</w:t>
        <w:br/>
      </w:r>
      <w:r>
        <w:rPr>
          <w:rFonts w:ascii="Consolas" w:hAnsi="Consolas" w:cs="Consolas"/>
          <w:color w:val="333333"/>
          <w:sz w:val="15"/>
        </w:rPr>
        <w:t xml:space="preserve"> 1  GET  /products ─────────────────────────▶ produits actifs</w:t>
        <w:br/>
      </w:r>
      <w:r>
        <w:rPr>
          <w:rFonts w:ascii="Consolas" w:hAnsi="Consolas" w:cs="Consolas"/>
          <w:color w:val="333333"/>
          <w:sz w:val="15"/>
        </w:rPr>
        <w:t xml:space="preserve"> 2  le collecteur saisit identité, produit,</w:t>
        <w:br/>
      </w:r>
      <w:r>
        <w:rPr>
          <w:rFonts w:ascii="Consolas" w:hAnsi="Consolas" w:cs="Consolas"/>
          <w:color w:val="333333"/>
          <w:sz w:val="15"/>
        </w:rPr>
        <w:t xml:space="preserve">    photo proposition, CNIB recto, CNIB verso, GPS</w:t>
        <w:br/>
      </w:r>
      <w:r>
        <w:rPr>
          <w:rFonts w:ascii="Consolas" w:hAnsi="Consolas" w:cs="Consolas"/>
          <w:color w:val="333333"/>
          <w:sz w:val="15"/>
        </w:rPr>
        <w:t xml:space="preserve"> 3  POST /proposals (multipart) ────────────▶ contrôle des champs</w:t>
        <w:br/>
      </w:r>
      <w:r>
        <w:rPr>
          <w:rFonts w:ascii="Consolas" w:hAnsi="Consolas" w:cs="Consolas"/>
          <w:color w:val="333333"/>
          <w:sz w:val="15"/>
        </w:rPr>
        <w:t xml:space="preserve">                                              terminal → collecteur</w:t>
        <w:br/>
      </w:r>
      <w:r>
        <w:rPr>
          <w:rFonts w:ascii="Consolas" w:hAnsi="Consolas" w:cs="Consolas"/>
          <w:color w:val="333333"/>
          <w:sz w:val="15"/>
        </w:rPr>
        <w:t xml:space="preserve">                                              enregistrement des trois images</w:t>
        <w:br/>
      </w:r>
      <w:r>
        <w:rPr>
          <w:rFonts w:ascii="Consolas" w:hAnsi="Consolas" w:cs="Consolas"/>
          <w:color w:val="333333"/>
          <w:sz w:val="15"/>
        </w:rPr>
        <w:t xml:space="preserve">                                              création de la proposition, statut « captured »</w:t>
        <w:br/>
      </w:r>
      <w:r>
        <w:rPr>
          <w:rFonts w:ascii="Consolas" w:hAnsi="Consolas" w:cs="Consolas"/>
          <w:color w:val="333333"/>
          <w:sz w:val="15"/>
        </w:rPr>
        <w:t xml:space="preserve"> 4  ◀──────────── JSON : proposition créée, ou HTTP 422 avec la liste des erreurs par champ</w:t>
        <w:br/>
      </w:r>
      <w:r>
        <w:rPr>
          <w:rFonts w:ascii="Consolas" w:hAnsi="Consolas" w:cs="Consolas"/>
          <w:color w:val="333333"/>
          <w:sz w:val="15"/>
        </w:rPr>
        <w:t xml:space="preserve">    en cas d'échec réseau : sauvegarde hors ligne sur le terminal, renvoi ultérieur</w:t>
        <w:br/>
      </w:r>
      <w:r>
        <w:rPr>
          <w:rFonts w:ascii="Consolas" w:hAnsi="Consolas" w:cs="Consolas"/>
          <w:color w:val="333333"/>
          <w:sz w:val="15"/>
        </w:rPr>
        <w:br/>
      </w:r>
      <w:r>
        <w:rPr>
          <w:rFonts w:ascii="Consolas" w:hAnsi="Consolas" w:cs="Consolas"/>
          <w:color w:val="333333"/>
          <w:sz w:val="15"/>
        </w:rPr>
        <w:t xml:space="preserve"> Utilisateur back-office : Propositions → contrôle images et données → Accepter ──▶ police POL-{numéro}</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Champ multipart</w:t>
            </w:r>
          </w:p>
        </w:tc>
        <w:tc>
          <w:tcPr>
            <w:tcW w:type="dxa" w:w="3249"/>
            <w:shd w:val="clear" w:fill="1B3A5C"/>
          </w:tcPr>
          <w:p>
            <w:pPr>
              <w:spacing w:before="60" w:after="60"/>
            </w:pPr>
            <w:r>
              <w:rPr>
                <w:rFonts w:ascii="Calibri" w:hAnsi="Calibri"/>
                <w:b/>
                <w:color w:val="FFFFFF"/>
                <w:sz w:val="17"/>
              </w:rPr>
              <w:t>Contenu</w:t>
            </w:r>
          </w:p>
        </w:tc>
        <w:tc>
          <w:tcPr>
            <w:tcW w:type="dxa" w:w="3249"/>
            <w:shd w:val="clear" w:fill="1B3A5C"/>
          </w:tcPr>
          <w:p>
            <w:pPr>
              <w:spacing w:before="60" w:after="60"/>
            </w:pPr>
            <w:r>
              <w:rPr>
                <w:rFonts w:ascii="Calibri" w:hAnsi="Calibri"/>
                <w:b/>
                <w:color w:val="FFFFFF"/>
                <w:sz w:val="17"/>
              </w:rPr>
              <w:t>Enregistré dans</w:t>
            </w:r>
          </w:p>
        </w:tc>
      </w:tr>
      <w:tr>
        <w:tc>
          <w:tcPr>
            <w:tcW w:type="dxa" w:w="3249"/>
          </w:tcPr>
          <w:p>
            <w:pPr>
              <w:spacing w:before="40" w:after="40"/>
            </w:pPr>
            <w:r>
              <w:rPr>
                <w:rFonts w:ascii="Consolas" w:hAnsi="Consolas"/>
                <w:b w:val="0"/>
                <w:i w:val="0"/>
                <w:color w:val="1B3A5C"/>
                <w:sz w:val="16"/>
              </w:rPr>
              <w:t>proposal_image</w:t>
            </w:r>
          </w:p>
        </w:tc>
        <w:tc>
          <w:tcPr>
            <w:tcW w:type="dxa" w:w="3249"/>
          </w:tcPr>
          <w:p>
            <w:pPr>
              <w:spacing w:before="40" w:after="40"/>
            </w:pPr>
            <w:r>
              <w:rPr>
                <w:rFonts w:ascii="Calibri" w:hAnsi="Calibri"/>
                <w:b w:val="0"/>
                <w:i w:val="0"/>
                <w:color w:val="333333"/>
                <w:sz w:val="17"/>
              </w:rPr>
              <w:t>Photo de la proposition signée</w:t>
            </w:r>
          </w:p>
        </w:tc>
        <w:tc>
          <w:tcPr>
            <w:tcW w:type="dxa" w:w="3249"/>
          </w:tcPr>
          <w:p>
            <w:pPr>
              <w:spacing w:before="40" w:after="40"/>
            </w:pPr>
            <w:r>
              <w:rPr>
                <w:rFonts w:ascii="Consolas" w:hAnsi="Consolas"/>
                <w:b w:val="0"/>
                <w:i w:val="0"/>
                <w:color w:val="1B3A5C"/>
                <w:sz w:val="16"/>
              </w:rPr>
              <w:t>proposal_image_path</w:t>
            </w:r>
          </w:p>
        </w:tc>
      </w:tr>
      <w:tr>
        <w:tc>
          <w:tcPr>
            <w:tcW w:type="dxa" w:w="3249"/>
            <w:shd w:val="clear" w:fill="F2F6FA"/>
          </w:tcPr>
          <w:p>
            <w:pPr>
              <w:spacing w:before="40" w:after="40"/>
            </w:pPr>
            <w:r>
              <w:rPr>
                <w:rFonts w:ascii="Consolas" w:hAnsi="Consolas"/>
                <w:b w:val="0"/>
                <w:i w:val="0"/>
                <w:color w:val="1B3A5C"/>
                <w:sz w:val="16"/>
              </w:rPr>
              <w:t>id_document_front</w:t>
            </w:r>
          </w:p>
        </w:tc>
        <w:tc>
          <w:tcPr>
            <w:tcW w:type="dxa" w:w="3249"/>
            <w:shd w:val="clear" w:fill="F2F6FA"/>
          </w:tcPr>
          <w:p>
            <w:pPr>
              <w:spacing w:before="40" w:after="40"/>
            </w:pPr>
            <w:r>
              <w:rPr>
                <w:rFonts w:ascii="Calibri" w:hAnsi="Calibri"/>
                <w:b w:val="0"/>
                <w:i w:val="0"/>
                <w:color w:val="333333"/>
                <w:sz w:val="17"/>
              </w:rPr>
              <w:t>CNIB, recto</w:t>
            </w:r>
          </w:p>
        </w:tc>
        <w:tc>
          <w:tcPr>
            <w:tcW w:type="dxa" w:w="3249"/>
            <w:shd w:val="clear" w:fill="F2F6FA"/>
          </w:tcPr>
          <w:p>
            <w:pPr>
              <w:spacing w:before="40" w:after="40"/>
            </w:pPr>
            <w:r>
              <w:rPr>
                <w:rFonts w:ascii="Consolas" w:hAnsi="Consolas"/>
                <w:b w:val="0"/>
                <w:i w:val="0"/>
                <w:color w:val="1B3A5C"/>
                <w:sz w:val="16"/>
              </w:rPr>
              <w:t>id_document_front_path</w:t>
            </w:r>
          </w:p>
        </w:tc>
      </w:tr>
      <w:tr>
        <w:tc>
          <w:tcPr>
            <w:tcW w:type="dxa" w:w="3249"/>
          </w:tcPr>
          <w:p>
            <w:pPr>
              <w:spacing w:before="40" w:after="40"/>
            </w:pPr>
            <w:r>
              <w:rPr>
                <w:rFonts w:ascii="Consolas" w:hAnsi="Consolas"/>
                <w:b w:val="0"/>
                <w:i w:val="0"/>
                <w:color w:val="1B3A5C"/>
                <w:sz w:val="16"/>
              </w:rPr>
              <w:t>id_document_back</w:t>
            </w:r>
          </w:p>
        </w:tc>
        <w:tc>
          <w:tcPr>
            <w:tcW w:type="dxa" w:w="3249"/>
          </w:tcPr>
          <w:p>
            <w:pPr>
              <w:spacing w:before="40" w:after="40"/>
            </w:pPr>
            <w:r>
              <w:rPr>
                <w:rFonts w:ascii="Calibri" w:hAnsi="Calibri"/>
                <w:b w:val="0"/>
                <w:i w:val="0"/>
                <w:color w:val="333333"/>
                <w:sz w:val="17"/>
              </w:rPr>
              <w:t>CNIB, verso</w:t>
            </w:r>
          </w:p>
        </w:tc>
        <w:tc>
          <w:tcPr>
            <w:tcW w:type="dxa" w:w="3249"/>
          </w:tcPr>
          <w:p>
            <w:pPr>
              <w:spacing w:before="40" w:after="40"/>
            </w:pPr>
            <w:r>
              <w:rPr>
                <w:rFonts w:ascii="Consolas" w:hAnsi="Consolas"/>
                <w:b w:val="0"/>
                <w:i w:val="0"/>
                <w:color w:val="1B3A5C"/>
                <w:sz w:val="16"/>
              </w:rPr>
              <w:t>id_document_back_path</w:t>
            </w:r>
          </w:p>
        </w:tc>
      </w:tr>
    </w:tbl>
    <w:p>
      <w:pPr>
        <w:spacing w:after="40"/>
      </w:pPr>
    </w:p>
    <w:p>
      <w:r>
        <w:rPr>
          <w:rFonts w:ascii="Calibri" w:hAnsi="Calibri"/>
          <w:b w:val="0"/>
          <w:i w:val="0"/>
          <w:color w:val="333333"/>
          <w:sz w:val="20"/>
        </w:rPr>
        <w:t>Les images sont compressées sur le terminal à 900 Ko au maximum chacune. Le back-office accepte les formats JPEG, PNG et WebP.</w:t>
      </w:r>
    </w:p>
    <w:p>
      <w:pPr>
        <w:pStyle w:val="Heading2"/>
        <w:spacing w:before="280" w:after="80"/>
        <w:keepNext/>
      </w:pPr>
      <w:bookmarkStart w:id="157" w:name="_Toc_s056"/>
      <w:r>
        <w:rPr>
          <w:rFonts w:ascii="Calibri" w:hAnsi="Calibri"/>
          <w:b/>
          <w:color w:val="1B3A5C"/>
          <w:sz w:val="24"/>
        </w:rPr>
        <w:t>14.5 Formats d'échange de données</w:t>
      </w:r>
      <w:bookmarkEnd w:id="15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Échange</w:t>
            </w:r>
          </w:p>
        </w:tc>
        <w:tc>
          <w:tcPr>
            <w:tcW w:type="dxa" w:w="3249"/>
            <w:shd w:val="clear" w:fill="1B3A5C"/>
          </w:tcPr>
          <w:p>
            <w:pPr>
              <w:spacing w:before="60" w:after="60"/>
            </w:pPr>
            <w:r>
              <w:rPr>
                <w:rFonts w:ascii="Calibri" w:hAnsi="Calibri"/>
                <w:b/>
                <w:color w:val="FFFFFF"/>
                <w:sz w:val="17"/>
              </w:rPr>
              <w:t>Sens</w:t>
            </w:r>
          </w:p>
        </w:tc>
        <w:tc>
          <w:tcPr>
            <w:tcW w:type="dxa" w:w="3249"/>
            <w:shd w:val="clear" w:fill="1B3A5C"/>
          </w:tcPr>
          <w:p>
            <w:pPr>
              <w:spacing w:before="60" w:after="60"/>
            </w:pPr>
            <w:r>
              <w:rPr>
                <w:rFonts w:ascii="Calibri" w:hAnsi="Calibri"/>
                <w:b/>
                <w:color w:val="FFFFFF"/>
                <w:sz w:val="17"/>
              </w:rPr>
              <w:t>Format</w:t>
            </w:r>
          </w:p>
        </w:tc>
      </w:tr>
      <w:tr>
        <w:tc>
          <w:tcPr>
            <w:tcW w:type="dxa" w:w="3249"/>
          </w:tcPr>
          <w:p>
            <w:pPr>
              <w:spacing w:before="40" w:after="40"/>
            </w:pPr>
            <w:r>
              <w:rPr>
                <w:rFonts w:ascii="Calibri" w:hAnsi="Calibri"/>
                <w:b w:val="0"/>
                <w:i w:val="0"/>
                <w:color w:val="333333"/>
                <w:sz w:val="17"/>
              </w:rPr>
              <w:t>API terminaux</w:t>
            </w:r>
          </w:p>
        </w:tc>
        <w:tc>
          <w:tcPr>
            <w:tcW w:type="dxa" w:w="3249"/>
          </w:tcPr>
          <w:p>
            <w:pPr>
              <w:spacing w:before="40" w:after="40"/>
            </w:pPr>
            <w:r>
              <w:rPr>
                <w:rFonts w:ascii="Calibri" w:hAnsi="Calibri"/>
                <w:b w:val="0"/>
                <w:i w:val="0"/>
                <w:color w:val="333333"/>
                <w:sz w:val="17"/>
              </w:rPr>
              <w:t>Terminal ↔ back-office</w:t>
            </w:r>
          </w:p>
        </w:tc>
        <w:tc>
          <w:tcPr>
            <w:tcW w:type="dxa" w:w="3249"/>
          </w:tcPr>
          <w:p>
            <w:pPr>
              <w:spacing w:before="40" w:after="40"/>
            </w:pPr>
            <w:r>
              <w:rPr>
                <w:rFonts w:ascii="Calibri" w:hAnsi="Calibri"/>
                <w:b w:val="0"/>
                <w:i w:val="0"/>
                <w:color w:val="333333"/>
                <w:sz w:val="17"/>
              </w:rPr>
              <w:t>JSON, UTF-8 ; images en multipart/form-data</w:t>
            </w:r>
          </w:p>
        </w:tc>
      </w:tr>
      <w:tr>
        <w:tc>
          <w:tcPr>
            <w:tcW w:type="dxa" w:w="3249"/>
            <w:shd w:val="clear" w:fill="F2F6FA"/>
          </w:tcPr>
          <w:p>
            <w:pPr>
              <w:spacing w:before="40" w:after="40"/>
            </w:pPr>
            <w:r>
              <w:rPr>
                <w:rFonts w:ascii="Calibri" w:hAnsi="Calibri"/>
                <w:b w:val="0"/>
                <w:i w:val="0"/>
                <w:color w:val="333333"/>
                <w:sz w:val="17"/>
              </w:rPr>
              <w:t>Clients et polices existants</w:t>
            </w:r>
          </w:p>
        </w:tc>
        <w:tc>
          <w:tcPr>
            <w:tcW w:type="dxa" w:w="3249"/>
            <w:shd w:val="clear" w:fill="F2F6FA"/>
          </w:tcPr>
          <w:p>
            <w:pPr>
              <w:spacing w:before="40" w:after="40"/>
            </w:pPr>
            <w:r>
              <w:rPr>
                <w:rFonts w:ascii="Calibri" w:hAnsi="Calibri"/>
                <w:b w:val="0"/>
                <w:i w:val="0"/>
                <w:color w:val="333333"/>
                <w:sz w:val="17"/>
              </w:rPr>
              <w:t>Extraction SUNULIFE → back-office</w:t>
            </w:r>
          </w:p>
        </w:tc>
        <w:tc>
          <w:tcPr>
            <w:tcW w:type="dxa" w:w="3249"/>
            <w:shd w:val="clear" w:fill="F2F6FA"/>
          </w:tcPr>
          <w:p>
            <w:pPr>
              <w:spacing w:before="40" w:after="40"/>
            </w:pPr>
            <w:r>
              <w:rPr>
                <w:rFonts w:ascii="Calibri" w:hAnsi="Calibri"/>
                <w:b w:val="0"/>
                <w:i w:val="0"/>
                <w:color w:val="333333"/>
                <w:sz w:val="17"/>
              </w:rPr>
              <w:t>CSV, UTF-8, séparateur virgule ; décrit dans le Document 5</w:t>
            </w:r>
          </w:p>
        </w:tc>
      </w:tr>
      <w:tr>
        <w:tc>
          <w:tcPr>
            <w:tcW w:type="dxa" w:w="3249"/>
          </w:tcPr>
          <w:p>
            <w:pPr>
              <w:spacing w:before="40" w:after="40"/>
            </w:pPr>
            <w:r>
              <w:rPr>
                <w:rFonts w:ascii="Calibri" w:hAnsi="Calibri"/>
                <w:b w:val="0"/>
                <w:i w:val="0"/>
                <w:color w:val="333333"/>
                <w:sz w:val="17"/>
              </w:rPr>
              <w:t>Primes encaissées</w:t>
            </w:r>
          </w:p>
        </w:tc>
        <w:tc>
          <w:tcPr>
            <w:tcW w:type="dxa" w:w="3249"/>
          </w:tcPr>
          <w:p>
            <w:pPr>
              <w:spacing w:before="40" w:after="40"/>
            </w:pPr>
            <w:r>
              <w:rPr>
                <w:rFonts w:ascii="Calibri" w:hAnsi="Calibri"/>
                <w:b w:val="0"/>
                <w:i w:val="0"/>
                <w:color w:val="333333"/>
                <w:sz w:val="17"/>
              </w:rPr>
              <w:t>Back-office → SUNU</w:t>
            </w:r>
          </w:p>
        </w:tc>
        <w:tc>
          <w:tcPr>
            <w:tcW w:type="dxa" w:w="3249"/>
          </w:tcPr>
          <w:p>
            <w:pPr>
              <w:spacing w:before="40" w:after="40"/>
            </w:pPr>
            <w:r>
              <w:rPr>
                <w:rFonts w:ascii="Calibri" w:hAnsi="Calibri"/>
                <w:b w:val="0"/>
                <w:i w:val="0"/>
                <w:color w:val="333333"/>
                <w:sz w:val="17"/>
              </w:rPr>
              <w:t>Téléchargement CSV</w:t>
            </w:r>
          </w:p>
        </w:tc>
      </w:tr>
    </w:tbl>
    <w:p>
      <w:pPr>
        <w:spacing w:after="40"/>
      </w:pPr>
    </w:p>
    <w:p>
      <w:pPr>
        <w:pStyle w:val="Heading2"/>
        <w:spacing w:before="280" w:after="80"/>
        <w:keepNext/>
      </w:pPr>
      <w:bookmarkStart w:id="158" w:name="_Toc_s057"/>
      <w:r>
        <w:rPr>
          <w:rFonts w:ascii="Calibri" w:hAnsi="Calibri"/>
          <w:b/>
          <w:color w:val="1B3A5C"/>
          <w:sz w:val="24"/>
        </w:rPr>
        <w:t>14.6 Enseignements du pilote et actions avant production</w:t>
      </w:r>
      <w:bookmarkEnd w:id="158"/>
    </w:p>
    <w:p>
      <w:r>
        <w:rPr>
          <w:rFonts w:ascii="Calibri" w:hAnsi="Calibri"/>
          <w:b w:val="0"/>
          <w:i w:val="0"/>
          <w:color w:val="333333"/>
          <w:sz w:val="20"/>
        </w:rPr>
        <w:t>Les tests terrain du 14 au 16 septembre 2026 ont donné lieu à trois versions de l'application terminal (1.1.0 à 1.1.2) :</w:t>
      </w:r>
    </w:p>
    <w:p>
      <w:pPr>
        <w:spacing w:after="40"/>
        <w:ind w:left="312" w:hanging="198"/>
      </w:pPr>
      <w:r>
        <w:rPr>
          <w:rFonts w:ascii="Calibri" w:hAnsi="Calibri"/>
          <w:b w:val="0"/>
          <w:color w:val="2C5F8A"/>
          <w:sz w:val="20"/>
        </w:rPr>
        <w:t xml:space="preserve">•  </w:t>
      </w:r>
      <w:r>
        <w:rPr>
          <w:rFonts w:ascii="Calibri" w:hAnsi="Calibri"/>
          <w:b/>
          <w:i w:val="0"/>
          <w:color w:val="333333"/>
          <w:sz w:val="20"/>
        </w:rPr>
        <w:t>Envoi des images.</w:t>
      </w:r>
      <w:r>
        <w:rPr>
          <w:rFonts w:ascii="Calibri" w:hAnsi="Calibri"/>
          <w:b w:val="0"/>
          <w:i w:val="0"/>
          <w:color w:val="333333"/>
          <w:sz w:val="20"/>
        </w:rPr>
        <w:t xml:space="preserve"> Chaque photo circule désormais sous un nom de champ propre, est compressée sur le terminal et est envoyée avec un corps de requête de longueur fixe, car la couche PHP ne lit pas les corps multipart transmis par blocs (chunked). Les limites d'envoi du serveur ont été relevées en conséquence.</w:t>
      </w:r>
    </w:p>
    <w:p>
      <w:pPr>
        <w:spacing w:after="40"/>
        <w:ind w:left="312" w:hanging="198"/>
      </w:pPr>
      <w:r>
        <w:rPr>
          <w:rFonts w:ascii="Calibri" w:hAnsi="Calibri"/>
          <w:b w:val="0"/>
          <w:color w:val="2C5F8A"/>
          <w:sz w:val="20"/>
        </w:rPr>
        <w:t xml:space="preserve">•  </w:t>
      </w:r>
      <w:r>
        <w:rPr>
          <w:rFonts w:ascii="Calibri" w:hAnsi="Calibri"/>
          <w:b/>
          <w:i w:val="0"/>
          <w:color w:val="333333"/>
          <w:sz w:val="20"/>
        </w:rPr>
        <w:t>GPS.</w:t>
      </w:r>
      <w:r>
        <w:rPr>
          <w:rFonts w:ascii="Calibri" w:hAnsi="Calibri"/>
          <w:b w:val="0"/>
          <w:i w:val="0"/>
          <w:color w:val="333333"/>
          <w:sz w:val="20"/>
        </w:rPr>
        <w:t xml:space="preserve"> Une position 0,0 est traitée comme absente, et le terminal demande l'autorisation de localisation à l'exécution.</w:t>
      </w:r>
    </w:p>
    <w:p>
      <w:pPr>
        <w:spacing w:after="40"/>
        <w:ind w:left="312" w:hanging="198"/>
      </w:pPr>
      <w:r>
        <w:rPr>
          <w:rFonts w:ascii="Calibri" w:hAnsi="Calibri"/>
          <w:b w:val="0"/>
          <w:color w:val="2C5F8A"/>
          <w:sz w:val="20"/>
        </w:rPr>
        <w:t xml:space="preserve">•  </w:t>
      </w:r>
      <w:r>
        <w:rPr>
          <w:rFonts w:ascii="Calibri" w:hAnsi="Calibri"/>
          <w:b/>
          <w:i w:val="0"/>
          <w:color w:val="333333"/>
          <w:sz w:val="20"/>
        </w:rPr>
        <w:t>Démarrage du terminal.</w:t>
      </w:r>
      <w:r>
        <w:rPr>
          <w:rFonts w:ascii="Calibri" w:hAnsi="Calibri"/>
          <w:b w:val="0"/>
          <w:i w:val="0"/>
          <w:color w:val="333333"/>
          <w:sz w:val="20"/>
        </w:rPr>
        <w:t xml:space="preserve"> Les bibliothèques NFC et impression ne se chargent qu'à l'usage, et le paquet d'installation est passé d'environ 70 Mo à environ 15 Mo.</w:t>
      </w:r>
    </w:p>
    <w:p>
      <w:pPr>
        <w:spacing w:after="40"/>
        <w:ind w:left="312" w:hanging="198"/>
      </w:pPr>
      <w:r>
        <w:rPr>
          <w:rFonts w:ascii="Calibri" w:hAnsi="Calibri"/>
          <w:b w:val="0"/>
          <w:color w:val="2C5F8A"/>
          <w:sz w:val="20"/>
        </w:rPr>
        <w:t xml:space="preserve">•  </w:t>
      </w:r>
      <w:r>
        <w:rPr>
          <w:rFonts w:ascii="Calibri" w:hAnsi="Calibri"/>
          <w:b/>
          <w:i w:val="0"/>
          <w:color w:val="333333"/>
          <w:sz w:val="20"/>
        </w:rPr>
        <w:t>Diagnostic.</w:t>
      </w:r>
      <w:r>
        <w:rPr>
          <w:rFonts w:ascii="Calibri" w:hAnsi="Calibri"/>
          <w:b w:val="0"/>
          <w:i w:val="0"/>
          <w:color w:val="333333"/>
          <w:sz w:val="20"/>
        </w:rPr>
        <w:t xml:space="preserve"> Les erreurs de validation sont renvoyées champ par champ au terminal et journalisées sur le serveur.</w:t>
      </w:r>
    </w:p>
    <w:p>
      <w:r>
        <w:rPr>
          <w:rFonts w:ascii="Calibri" w:hAnsi="Calibri"/>
          <w:b w:val="0"/>
          <w:i w:val="0"/>
          <w:color w:val="333333"/>
          <w:sz w:val="20"/>
        </w:rPr>
        <w:t>Avant la production, le pilote évolue vers la cible décrite à la section 10 et dans le Document 2 :</w:t>
      </w:r>
    </w:p>
    <w:p>
      <w:pPr>
        <w:spacing w:after="40"/>
        <w:ind w:left="312" w:hanging="198"/>
      </w:pPr>
      <w:r>
        <w:rPr>
          <w:rFonts w:ascii="Calibri" w:hAnsi="Calibri"/>
          <w:b/>
          <w:color w:val="2C5F8A"/>
          <w:sz w:val="20"/>
        </w:rPr>
        <w:t xml:space="preserve">1.  </w:t>
      </w:r>
      <w:r>
        <w:rPr>
          <w:rFonts w:ascii="Calibri" w:hAnsi="Calibri"/>
          <w:b w:val="0"/>
          <w:i w:val="0"/>
          <w:color w:val="333333"/>
          <w:sz w:val="20"/>
        </w:rPr>
        <w:t>TLS sur tout le trafic terminaux et web (Document 2 §12 et §18).</w:t>
      </w:r>
    </w:p>
    <w:p>
      <w:pPr>
        <w:spacing w:after="40"/>
        <w:ind w:left="312" w:hanging="198"/>
      </w:pPr>
      <w:r>
        <w:rPr>
          <w:rFonts w:ascii="Calibri" w:hAnsi="Calibri"/>
          <w:b/>
          <w:color w:val="2C5F8A"/>
          <w:sz w:val="20"/>
        </w:rPr>
        <w:t xml:space="preserve">2.  </w:t>
      </w:r>
      <w:r>
        <w:rPr>
          <w:rFonts w:ascii="Calibri" w:hAnsi="Calibri"/>
          <w:b w:val="0"/>
          <w:i w:val="0"/>
          <w:color w:val="333333"/>
          <w:sz w:val="20"/>
        </w:rPr>
        <w:t>Authentification API par terminal, en plus de l'identifiant de l'appareil.</w:t>
      </w:r>
    </w:p>
    <w:p>
      <w:pPr>
        <w:spacing w:after="40"/>
        <w:ind w:left="312" w:hanging="198"/>
      </w:pPr>
      <w:r>
        <w:rPr>
          <w:rFonts w:ascii="Calibri" w:hAnsi="Calibri"/>
          <w:b/>
          <w:color w:val="2C5F8A"/>
          <w:sz w:val="20"/>
        </w:rPr>
        <w:t xml:space="preserve">3.  </w:t>
      </w:r>
      <w:r>
        <w:rPr>
          <w:rFonts w:ascii="Calibri" w:hAnsi="Calibri"/>
          <w:b w:val="0"/>
          <w:i w:val="0"/>
          <w:color w:val="333333"/>
          <w:sz w:val="20"/>
        </w:rPr>
        <w:t>Topologie de production du §10.2 : Nginx et PHP-FPM, serveur de base de données séparé, sauvegardes chiffrées avec restauration à un instant donné.</w:t>
      </w:r>
    </w:p>
    <w:p>
      <w:pPr>
        <w:spacing w:after="40"/>
        <w:ind w:left="312" w:hanging="198"/>
      </w:pPr>
      <w:r>
        <w:rPr>
          <w:rFonts w:ascii="Calibri" w:hAnsi="Calibri"/>
          <w:b/>
          <w:color w:val="2C5F8A"/>
          <w:sz w:val="20"/>
        </w:rPr>
        <w:t xml:space="preserve">4.  </w:t>
      </w:r>
      <w:r>
        <w:rPr>
          <w:rFonts w:ascii="Calibri" w:hAnsi="Calibri"/>
          <w:b w:val="0"/>
          <w:i w:val="0"/>
          <w:color w:val="333333"/>
          <w:sz w:val="20"/>
        </w:rPr>
        <w:t>Décision sur le lieu d'hébergement (OP-5).</w:t>
      </w:r>
    </w:p>
    <w:p>
      <w:pPr>
        <w:spacing w:after="40"/>
        <w:ind w:left="312" w:hanging="198"/>
      </w:pPr>
      <w:r>
        <w:rPr>
          <w:rFonts w:ascii="Calibri" w:hAnsi="Calibri"/>
          <w:b/>
          <w:color w:val="2C5F8A"/>
          <w:sz w:val="20"/>
        </w:rPr>
        <w:t xml:space="preserve">5.  </w:t>
      </w:r>
      <w:r>
        <w:rPr>
          <w:rFonts w:ascii="Calibri" w:hAnsi="Calibri"/>
          <w:b w:val="0"/>
          <w:i w:val="0"/>
          <w:color w:val="333333"/>
          <w:sz w:val="20"/>
        </w:rPr>
        <w:t>Décision sur la phase d'intégration SUNULIFE (OP-1).</w:t>
      </w:r>
    </w:p>
    <w:p>
      <w:pPr>
        <w:spacing w:before="40" w:after="120"/>
        <w:pBdr>
          <w:bottom w:val="single" w:sz="6" w:space="6" w:color="D8DEE6"/>
        </w:pBdr>
      </w:pPr>
    </w:p>
    <w:p>
      <w:r>
        <w:rPr>
          <w:rFonts w:ascii="Calibri" w:hAnsi="Calibri"/>
          <w:b w:val="0"/>
          <w:i/>
          <w:color w:val="333333"/>
          <w:sz w:val="20"/>
        </w:rPr>
        <w:t>Fin du Document 1.</w:t>
      </w:r>
    </w:p>
    <w:sectPr w:rsidR="00FC693F" w:rsidRPr="0006063C" w:rsidSect="00034616">
      <w:headerReference w:type="default" r:id="rId9"/>
      <w:footerReference w:type="default" r:id="rId10"/>
      <w:pgSz w:w="12240" w:h="15840"/>
      <w:pgMar w:top="1247" w:right="1247" w:bottom="1134"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6" w:space="6" w:color="C9D4E0"/>
      </w:pBdr>
    </w:pPr>
    <w:r/>
    <w:r>
      <w:drawing>
        <wp:inline xmlns:a="http://schemas.openxmlformats.org/drawingml/2006/main" xmlns:pic="http://schemas.openxmlformats.org/drawingml/2006/picture">
          <wp:extent cx="518644" cy="270000"/>
          <wp:docPr id="1" name="Picture 1"/>
          <wp:cNvGraphicFramePr>
            <a:graphicFrameLocks noChangeAspect="1"/>
          </wp:cNvGraphicFramePr>
          <a:graphic>
            <a:graphicData uri="http://schemas.openxmlformats.org/drawingml/2006/picture">
              <pic:pic>
                <pic:nvPicPr>
                  <pic:cNvPr id="0" name="dbs_logo.png"/>
                  <pic:cNvPicPr/>
                </pic:nvPicPr>
                <pic:blipFill>
                  <a:blip r:embed="rId1"/>
                  <a:stretch>
                    <a:fillRect/>
                  </a:stretch>
                </pic:blipFill>
                <pic:spPr>
                  <a:xfrm>
                    <a:off x="0" y="0"/>
                    <a:ext cx="518644" cy="270000"/>
                  </a:xfrm>
                  <a:prstGeom prst="rect"/>
                </pic:spPr>
              </pic:pic>
            </a:graphicData>
          </a:graphic>
        </wp:inline>
      </w:drawing>
    </w:r>
    <w:r>
      <w:rPr>
        <w:rFonts w:ascii="Calibri" w:hAnsi="Calibri"/>
        <w:color w:val="666666"/>
        <w:sz w:val="16"/>
      </w:rPr>
      <w:tab/>
      <w:t>Document 1 · Architecture technique globale et détaillée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 Architecture technique globale et détaillée</dc:title>
  <dc:subject>Spécification d’architecture technique</dc:subject>
  <dc:creator>DBS SA — Digital Business Services</dc:creator>
  <cp:keywords/>
  <dc:description>SUNU Assurances Vie Burkina Faso — Confidentiel — SUNU Assurances Vie et DBS SA</dc:description>
  <cp:lastModifiedBy/>
  <cp:revision>1</cp:revision>
  <dcterms:created xsi:type="dcterms:W3CDTF">2013-12-23T23:15:00Z</dcterms:created>
  <dcterms:modified xsi:type="dcterms:W3CDTF">2013-12-23T23:15:00Z</dcterms:modified>
  <cp:category>Solution mobile de collecte de primes sur terminaux TPE</cp:category>
</cp:coreProperties>
</file>