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1</w:t>
      </w:r>
    </w:p>
    <w:p>
      <w:pPr>
        <w:pBdr>
          <w:bottom w:val="single" w:sz="12" w:space="6" w:color="1B3A5C"/>
        </w:pBdr>
        <w:spacing w:after="520"/>
      </w:pPr>
      <w:r>
        <w:rPr>
          <w:rFonts w:ascii="Calibri" w:hAnsi="Calibri"/>
          <w:b/>
          <w:color w:val="1B3A5C"/>
          <w:sz w:val="52"/>
        </w:rPr>
        <w:t>Overall and Detailed Technical Architecture</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Technical Architecture Specification</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1.1 — adds pilot as-built status (§14)</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September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Purpose and Scope</w:t>
        </w:r>
      </w:hyperlink>
    </w:p>
    <w:p>
      <w:pPr>
        <w:spacing w:before="0" w:after="30"/>
        <w:ind w:left="340"/>
      </w:pPr>
      <w:hyperlink w:anchor="_Toc_s001" w:history="1">
        <w:r>
          <w:rPr>
            <w:rFonts w:ascii="Calibri" w:hAnsi="Calibri"/>
            <w:color w:val="333333"/>
            <w:sz w:val="19"/>
          </w:rPr>
          <w:t xml:space="preserve">1.1 Purpose</w:t>
        </w:r>
      </w:hyperlink>
    </w:p>
    <w:p>
      <w:pPr>
        <w:spacing w:before="0" w:after="30"/>
        <w:ind w:left="340"/>
      </w:pPr>
      <w:hyperlink w:anchor="_Toc_s002" w:history="1">
        <w:r>
          <w:rPr>
            <w:rFonts w:ascii="Calibri" w:hAnsi="Calibri"/>
            <w:color w:val="333333"/>
            <w:sz w:val="19"/>
          </w:rPr>
          <w:t xml:space="preserve">1.2 Scope</w:t>
        </w:r>
      </w:hyperlink>
    </w:p>
    <w:p>
      <w:pPr>
        <w:spacing w:before="0" w:after="30"/>
        <w:ind w:left="340"/>
      </w:pPr>
      <w:hyperlink w:anchor="_Toc_s003" w:history="1">
        <w:r>
          <w:rPr>
            <w:rFonts w:ascii="Calibri" w:hAnsi="Calibri"/>
            <w:color w:val="333333"/>
            <w:sz w:val="19"/>
          </w:rPr>
          <w:t xml:space="preserve">1.3 Intended audience</w:t>
        </w:r>
      </w:hyperlink>
    </w:p>
    <w:p>
      <w:pPr>
        <w:spacing w:before="100" w:after="30"/>
        <w:ind w:left="0"/>
      </w:pPr>
      <w:hyperlink w:anchor="_Toc_s004" w:history="1">
        <w:r>
          <w:rPr>
            <w:rFonts w:ascii="Calibri" w:hAnsi="Calibri"/>
            <w:b/>
            <w:color w:val="1B3A5C"/>
            <w:sz w:val="21"/>
          </w:rPr>
          <w:t xml:space="preserve">2. Business Context — What the System Must Do</w:t>
        </w:r>
      </w:hyperlink>
    </w:p>
    <w:p>
      <w:pPr>
        <w:spacing w:before="0" w:after="30"/>
        <w:ind w:left="340"/>
      </w:pPr>
      <w:hyperlink w:anchor="_Toc_s005" w:history="1">
        <w:r>
          <w:rPr>
            <w:rFonts w:ascii="Calibri" w:hAnsi="Calibri"/>
            <w:color w:val="333333"/>
            <w:sz w:val="19"/>
          </w:rPr>
          <w:t xml:space="preserve">2.1 A note on why the September date is achievable</w:t>
        </w:r>
      </w:hyperlink>
    </w:p>
    <w:p>
      <w:pPr>
        <w:spacing w:before="100" w:after="30"/>
        <w:ind w:left="0"/>
      </w:pPr>
      <w:hyperlink w:anchor="_Toc_s006" w:history="1">
        <w:r>
          <w:rPr>
            <w:rFonts w:ascii="Calibri" w:hAnsi="Calibri"/>
            <w:b/>
            <w:color w:val="1B3A5C"/>
            <w:sz w:val="21"/>
          </w:rPr>
          <w:t xml:space="preserve">3. Overall Architecture (Level 1)</w:t>
        </w:r>
      </w:hyperlink>
    </w:p>
    <w:p>
      <w:pPr>
        <w:spacing w:before="0" w:after="30"/>
        <w:ind w:left="340"/>
      </w:pPr>
      <w:hyperlink w:anchor="_Toc_s007" w:history="1">
        <w:r>
          <w:rPr>
            <w:rFonts w:ascii="Calibri" w:hAnsi="Calibri"/>
            <w:color w:val="333333"/>
            <w:sz w:val="19"/>
          </w:rPr>
          <w:t xml:space="preserve">3.1 Context view</w:t>
        </w:r>
      </w:hyperlink>
    </w:p>
    <w:p>
      <w:pPr>
        <w:spacing w:before="0" w:after="30"/>
        <w:ind w:left="340"/>
      </w:pPr>
      <w:hyperlink w:anchor="_Toc_s008" w:history="1">
        <w:r>
          <w:rPr>
            <w:rFonts w:ascii="Calibri" w:hAnsi="Calibri"/>
            <w:color w:val="333333"/>
            <w:sz w:val="19"/>
          </w:rPr>
          <w:t xml:space="preserve">3.2 Architectural principles</w:t>
        </w:r>
      </w:hyperlink>
    </w:p>
    <w:p>
      <w:pPr>
        <w:spacing w:before="0" w:after="30"/>
        <w:ind w:left="340"/>
      </w:pPr>
      <w:hyperlink w:anchor="_Toc_s009" w:history="1">
        <w:r>
          <w:rPr>
            <w:rFonts w:ascii="Calibri" w:hAnsi="Calibri"/>
            <w:color w:val="333333"/>
            <w:sz w:val="19"/>
          </w:rPr>
          <w:t xml:space="preserve">3.3 Technology stack</w:t>
        </w:r>
      </w:hyperlink>
    </w:p>
    <w:p>
      <w:pPr>
        <w:spacing w:before="100" w:after="30"/>
        <w:ind w:left="0"/>
      </w:pPr>
      <w:hyperlink w:anchor="_Toc_s010" w:history="1">
        <w:r>
          <w:rPr>
            <w:rFonts w:ascii="Calibri" w:hAnsi="Calibri"/>
            <w:b/>
            <w:color w:val="1B3A5C"/>
            <w:sz w:val="21"/>
          </w:rPr>
          <w:t xml:space="preserve">4. Component Architecture (Level 2) — Reuse, Extend, Build</w:t>
        </w:r>
      </w:hyperlink>
    </w:p>
    <w:p>
      <w:pPr>
        <w:spacing w:before="0" w:after="30"/>
        <w:ind w:left="340"/>
      </w:pPr>
      <w:hyperlink w:anchor="_Toc_s011" w:history="1">
        <w:r>
          <w:rPr>
            <w:rFonts w:ascii="Calibri" w:hAnsi="Calibri"/>
            <w:color w:val="333333"/>
            <w:sz w:val="19"/>
          </w:rPr>
          <w:t xml:space="preserve">4.1 Back-office platform</w:t>
        </w:r>
      </w:hyperlink>
    </w:p>
    <w:p>
      <w:pPr>
        <w:spacing w:before="0" w:after="30"/>
        <w:ind w:left="340"/>
      </w:pPr>
      <w:hyperlink w:anchor="_Toc_s012" w:history="1">
        <w:r>
          <w:rPr>
            <w:rFonts w:ascii="Calibri" w:hAnsi="Calibri"/>
            <w:color w:val="333333"/>
            <w:sz w:val="19"/>
          </w:rPr>
          <w:t xml:space="preserve">4.2 POS application</w:t>
        </w:r>
      </w:hyperlink>
    </w:p>
    <w:p>
      <w:pPr>
        <w:spacing w:before="0" w:after="30"/>
        <w:ind w:left="340"/>
      </w:pPr>
      <w:hyperlink w:anchor="_Toc_s013" w:history="1">
        <w:r>
          <w:rPr>
            <w:rFonts w:ascii="Calibri" w:hAnsi="Calibri"/>
            <w:color w:val="333333"/>
            <w:sz w:val="19"/>
          </w:rPr>
          <w:t xml:space="preserve">4.3 Effort concentration</w:t>
        </w:r>
      </w:hyperlink>
    </w:p>
    <w:p>
      <w:pPr>
        <w:spacing w:before="100" w:after="30"/>
        <w:ind w:left="0"/>
      </w:pPr>
      <w:hyperlink w:anchor="_Toc_s014" w:history="1">
        <w:r>
          <w:rPr>
            <w:rFonts w:ascii="Calibri" w:hAnsi="Calibri"/>
            <w:b/>
            <w:color w:val="1B3A5C"/>
            <w:sz w:val="21"/>
          </w:rPr>
          <w:t xml:space="preserve">5. Data Architecture</w:t>
        </w:r>
      </w:hyperlink>
    </w:p>
    <w:p>
      <w:pPr>
        <w:spacing w:before="0" w:after="30"/>
        <w:ind w:left="340"/>
      </w:pPr>
      <w:hyperlink w:anchor="_Toc_s015" w:history="1">
        <w:r>
          <w:rPr>
            <w:rFonts w:ascii="Calibri" w:hAnsi="Calibri"/>
            <w:color w:val="333333"/>
            <w:sz w:val="19"/>
          </w:rPr>
          <w:t xml:space="preserve">5.1 Core entities</w:t>
        </w:r>
      </w:hyperlink>
    </w:p>
    <w:p>
      <w:pPr>
        <w:spacing w:before="0" w:after="30"/>
        <w:ind w:left="340"/>
      </w:pPr>
      <w:hyperlink w:anchor="_Toc_s016" w:history="1">
        <w:r>
          <w:rPr>
            <w:rFonts w:ascii="Calibri" w:hAnsi="Calibri"/>
            <w:color w:val="333333"/>
            <w:sz w:val="19"/>
          </w:rPr>
          <w:t xml:space="preserve">5.2 Key new/adapted tables</w:t>
        </w:r>
      </w:hyperlink>
    </w:p>
    <w:p>
      <w:pPr>
        <w:spacing w:before="0" w:after="30"/>
        <w:ind w:left="340"/>
      </w:pPr>
      <w:hyperlink w:anchor="_Toc_s017" w:history="1">
        <w:r>
          <w:rPr>
            <w:rFonts w:ascii="Calibri" w:hAnsi="Calibri"/>
            <w:color w:val="333333"/>
            <w:sz w:val="19"/>
          </w:rPr>
          <w:t xml:space="preserve">5.3 Idempotency and reference generation</w:t>
        </w:r>
      </w:hyperlink>
    </w:p>
    <w:p>
      <w:pPr>
        <w:spacing w:before="0" w:after="30"/>
        <w:ind w:left="340"/>
      </w:pPr>
      <w:hyperlink w:anchor="_Toc_s018" w:history="1">
        <w:r>
          <w:rPr>
            <w:rFonts w:ascii="Calibri" w:hAnsi="Calibri"/>
            <w:color w:val="333333"/>
            <w:sz w:val="19"/>
          </w:rPr>
          <w:t xml:space="preserve">5.4 Data retention</w:t>
        </w:r>
      </w:hyperlink>
    </w:p>
    <w:p>
      <w:pPr>
        <w:spacing w:before="100" w:after="30"/>
        <w:ind w:left="0"/>
      </w:pPr>
      <w:hyperlink w:anchor="_Toc_s019" w:history="1">
        <w:r>
          <w:rPr>
            <w:rFonts w:ascii="Calibri" w:hAnsi="Calibri"/>
            <w:b/>
            <w:color w:val="1B3A5C"/>
            <w:sz w:val="21"/>
          </w:rPr>
          <w:t xml:space="preserve">6. Functional Flows (Level 3)</w:t>
        </w:r>
      </w:hyperlink>
    </w:p>
    <w:p>
      <w:pPr>
        <w:spacing w:before="0" w:after="30"/>
        <w:ind w:left="340"/>
      </w:pPr>
      <w:hyperlink w:anchor="_Toc_s020" w:history="1">
        <w:r>
          <w:rPr>
            <w:rFonts w:ascii="Calibri" w:hAnsi="Calibri"/>
            <w:color w:val="333333"/>
            <w:sz w:val="19"/>
          </w:rPr>
          <w:t xml:space="preserve">6.1 Flow A — Subscription and first premium (TdR Need 1)</w:t>
        </w:r>
      </w:hyperlink>
    </w:p>
    <w:p>
      <w:pPr>
        <w:spacing w:before="0" w:after="30"/>
        <w:ind w:left="340"/>
      </w:pPr>
      <w:hyperlink w:anchor="_Toc_s021" w:history="1">
        <w:r>
          <w:rPr>
            <w:rFonts w:ascii="Calibri" w:hAnsi="Calibri"/>
            <w:color w:val="333333"/>
            <w:sz w:val="19"/>
          </w:rPr>
          <w:t xml:space="preserve">6.2 Flow B — Recurring premium collection by card (TdR Need 2)</w:t>
        </w:r>
      </w:hyperlink>
    </w:p>
    <w:p>
      <w:pPr>
        <w:spacing w:before="0" w:after="30"/>
        <w:ind w:left="340"/>
      </w:pPr>
      <w:hyperlink w:anchor="_Toc_s022" w:history="1">
        <w:r>
          <w:rPr>
            <w:rFonts w:ascii="Calibri" w:hAnsi="Calibri"/>
            <w:color w:val="333333"/>
            <w:sz w:val="19"/>
          </w:rPr>
          <w:t xml:space="preserve">6.3 Flow C — Collector cap and pay-in (TdR Need 2)</w:t>
        </w:r>
      </w:hyperlink>
    </w:p>
    <w:p>
      <w:pPr>
        <w:spacing w:before="0" w:after="30"/>
        <w:ind w:left="340"/>
      </w:pPr>
      <w:hyperlink w:anchor="_Toc_s023" w:history="1">
        <w:r>
          <w:rPr>
            <w:rFonts w:ascii="Calibri" w:hAnsi="Calibri"/>
            <w:color w:val="333333"/>
            <w:sz w:val="19"/>
          </w:rPr>
          <w:t xml:space="preserve">6.4 Flow D — Card issuance (TdR Need 1 and Need 3)</w:t>
        </w:r>
      </w:hyperlink>
    </w:p>
    <w:p>
      <w:pPr>
        <w:spacing w:before="0" w:after="30"/>
        <w:ind w:left="340"/>
      </w:pPr>
      <w:hyperlink w:anchor="_Toc_s024" w:history="1">
        <w:r>
          <w:rPr>
            <w:rFonts w:ascii="Calibri" w:hAnsi="Calibri"/>
            <w:color w:val="333333"/>
            <w:sz w:val="19"/>
          </w:rPr>
          <w:t xml:space="preserve">6.5 Flow E — SUNULIFE synchronisation</w:t>
        </w:r>
      </w:hyperlink>
    </w:p>
    <w:p>
      <w:pPr>
        <w:spacing w:before="100" w:after="30"/>
        <w:ind w:left="0"/>
      </w:pPr>
      <w:hyperlink w:anchor="_Toc_s025" w:history="1">
        <w:r>
          <w:rPr>
            <w:rFonts w:ascii="Calibri" w:hAnsi="Calibri"/>
            <w:b/>
            <w:color w:val="1B3A5C"/>
            <w:sz w:val="21"/>
          </w:rPr>
          <w:t xml:space="preserve">7. Card Architecture (physical and virtual)</w:t>
        </w:r>
      </w:hyperlink>
    </w:p>
    <w:p>
      <w:pPr>
        <w:spacing w:before="0" w:after="30"/>
        <w:ind w:left="340"/>
      </w:pPr>
      <w:hyperlink w:anchor="_Toc_s026" w:history="1">
        <w:r>
          <w:rPr>
            <w:rFonts w:ascii="Calibri" w:hAnsi="Calibri"/>
            <w:color w:val="333333"/>
            <w:sz w:val="19"/>
          </w:rPr>
          <w:t xml:space="preserve">7.1 Physical card</w:t>
        </w:r>
      </w:hyperlink>
    </w:p>
    <w:p>
      <w:pPr>
        <w:spacing w:before="0" w:after="30"/>
        <w:ind w:left="340"/>
      </w:pPr>
      <w:hyperlink w:anchor="_Toc_s027" w:history="1">
        <w:r>
          <w:rPr>
            <w:rFonts w:ascii="Calibri" w:hAnsi="Calibri"/>
            <w:color w:val="333333"/>
            <w:sz w:val="19"/>
          </w:rPr>
          <w:t xml:space="preserve">7.2 Card technology decision (open point OP-3)</w:t>
        </w:r>
      </w:hyperlink>
    </w:p>
    <w:p>
      <w:pPr>
        <w:spacing w:before="0" w:after="30"/>
        <w:ind w:left="340"/>
      </w:pPr>
      <w:hyperlink w:anchor="_Toc_s028" w:history="1">
        <w:r>
          <w:rPr>
            <w:rFonts w:ascii="Calibri" w:hAnsi="Calibri"/>
            <w:color w:val="333333"/>
            <w:sz w:val="19"/>
          </w:rPr>
          <w:t xml:space="preserve">7.3 Virtual card — QR code (e-mail §4)</w:t>
        </w:r>
      </w:hyperlink>
    </w:p>
    <w:p>
      <w:pPr>
        <w:spacing w:before="100" w:after="30"/>
        <w:ind w:left="0"/>
      </w:pPr>
      <w:hyperlink w:anchor="_Toc_s029" w:history="1">
        <w:r>
          <w:rPr>
            <w:rFonts w:ascii="Calibri" w:hAnsi="Calibri"/>
            <w:b/>
            <w:color w:val="1B3A5C"/>
            <w:sz w:val="21"/>
          </w:rPr>
          <w:t xml:space="preserve">8. SUNULIFE Integration Architecture (E-mail §1 — priority requirement)</w:t>
        </w:r>
      </w:hyperlink>
    </w:p>
    <w:p>
      <w:pPr>
        <w:spacing w:before="0" w:after="30"/>
        <w:ind w:left="340"/>
      </w:pPr>
      <w:hyperlink w:anchor="_Toc_s030" w:history="1">
        <w:r>
          <w:rPr>
            <w:rFonts w:ascii="Calibri" w:hAnsi="Calibri"/>
            <w:color w:val="333333"/>
            <w:sz w:val="19"/>
          </w:rPr>
          <w:t xml:space="preserve">8.1 Integration principles</w:t>
        </w:r>
      </w:hyperlink>
    </w:p>
    <w:p>
      <w:pPr>
        <w:spacing w:before="0" w:after="30"/>
        <w:ind w:left="340"/>
      </w:pPr>
      <w:hyperlink w:anchor="_Toc_s031" w:history="1">
        <w:r>
          <w:rPr>
            <w:rFonts w:ascii="Calibri" w:hAnsi="Calibri"/>
            <w:color w:val="333333"/>
            <w:sz w:val="19"/>
          </w:rPr>
          <w:t xml:space="preserve">8.2 Integration surface — what we need from SUNULIFE</w:t>
        </w:r>
      </w:hyperlink>
    </w:p>
    <w:p>
      <w:pPr>
        <w:spacing w:before="0" w:after="30"/>
        <w:ind w:left="340"/>
      </w:pPr>
      <w:hyperlink w:anchor="_Toc_s032" w:history="1">
        <w:r>
          <w:rPr>
            <w:rFonts w:ascii="Calibri" w:hAnsi="Calibri"/>
            <w:color w:val="333333"/>
            <w:sz w:val="19"/>
          </w:rPr>
          <w:t xml:space="preserve">8.3 Synchronisation model</w:t>
        </w:r>
      </w:hyperlink>
    </w:p>
    <w:p>
      <w:pPr>
        <w:spacing w:before="0" w:after="30"/>
        <w:ind w:left="340"/>
      </w:pPr>
      <w:hyperlink w:anchor="_Toc_s033" w:history="1">
        <w:r>
          <w:rPr>
            <w:rFonts w:ascii="Calibri" w:hAnsi="Calibri"/>
            <w:color w:val="333333"/>
            <w:sz w:val="19"/>
          </w:rPr>
          <w:t xml:space="preserve">8.4 Phasing (this is the pragmatic path to the September date)</w:t>
        </w:r>
      </w:hyperlink>
    </w:p>
    <w:p>
      <w:pPr>
        <w:spacing w:before="0" w:after="30"/>
        <w:ind w:left="340"/>
      </w:pPr>
      <w:hyperlink w:anchor="_Toc_s034" w:history="1">
        <w:r>
          <w:rPr>
            <w:rFonts w:ascii="Calibri" w:hAnsi="Calibri"/>
            <w:color w:val="333333"/>
            <w:sz w:val="19"/>
          </w:rPr>
          <w:t xml:space="preserve">8.5 Information required from SUNU / the SUNULIFE editor</w:t>
        </w:r>
      </w:hyperlink>
    </w:p>
    <w:p>
      <w:pPr>
        <w:spacing w:before="100" w:after="30"/>
        <w:ind w:left="0"/>
      </w:pPr>
      <w:hyperlink w:anchor="_Toc_s035" w:history="1">
        <w:r>
          <w:rPr>
            <w:rFonts w:ascii="Calibri" w:hAnsi="Calibri"/>
            <w:b/>
            <w:color w:val="1B3A5C"/>
            <w:sz w:val="21"/>
          </w:rPr>
          <w:t xml:space="preserve">9. Mobile Money Architecture (e-mail §4)</w:t>
        </w:r>
      </w:hyperlink>
    </w:p>
    <w:p>
      <w:pPr>
        <w:spacing w:before="0" w:after="30"/>
        <w:ind w:left="340"/>
      </w:pPr>
      <w:hyperlink w:anchor="_Toc_s036" w:history="1">
        <w:r>
          <w:rPr>
            <w:rFonts w:ascii="Calibri" w:hAnsi="Calibri"/>
            <w:color w:val="333333"/>
            <w:sz w:val="19"/>
          </w:rPr>
          <w:t xml:space="preserve">9.1 Provider-agnostic design</w:t>
        </w:r>
      </w:hyperlink>
    </w:p>
    <w:p>
      <w:pPr>
        <w:spacing w:before="0" w:after="30"/>
        <w:ind w:left="340"/>
      </w:pPr>
      <w:hyperlink w:anchor="_Toc_s037" w:history="1">
        <w:r>
          <w:rPr>
            <w:rFonts w:ascii="Calibri" w:hAnsi="Calibri"/>
            <w:color w:val="333333"/>
            <w:sz w:val="19"/>
          </w:rPr>
          <w:t xml:space="preserve">9.2 Collection flow</w:t>
        </w:r>
      </w:hyperlink>
    </w:p>
    <w:p>
      <w:pPr>
        <w:spacing w:before="0" w:after="30"/>
        <w:ind w:left="340"/>
      </w:pPr>
      <w:hyperlink w:anchor="_Toc_s038" w:history="1">
        <w:r>
          <w:rPr>
            <w:rFonts w:ascii="Calibri" w:hAnsi="Calibri"/>
            <w:color w:val="333333"/>
            <w:sz w:val="19"/>
          </w:rPr>
          <w:t xml:space="preserve">9.3 Direct versus aggregator</w:t>
        </w:r>
      </w:hyperlink>
    </w:p>
    <w:p>
      <w:pPr>
        <w:spacing w:before="0" w:after="30"/>
        <w:ind w:left="340"/>
      </w:pPr>
      <w:hyperlink w:anchor="_Toc_s039" w:history="1">
        <w:r>
          <w:rPr>
            <w:rFonts w:ascii="Calibri" w:hAnsi="Calibri"/>
            <w:color w:val="333333"/>
            <w:sz w:val="19"/>
          </w:rPr>
          <w:t xml:space="preserve">9.4 Reconciliation</w:t>
        </w:r>
      </w:hyperlink>
    </w:p>
    <w:p>
      <w:pPr>
        <w:spacing w:before="100" w:after="30"/>
        <w:ind w:left="0"/>
      </w:pPr>
      <w:hyperlink w:anchor="_Toc_s040" w:history="1">
        <w:r>
          <w:rPr>
            <w:rFonts w:ascii="Calibri" w:hAnsi="Calibri"/>
            <w:b/>
            <w:color w:val="1B3A5C"/>
            <w:sz w:val="21"/>
          </w:rPr>
          <w:t xml:space="preserve">10. Deployment and Infrastructure Architecture</w:t>
        </w:r>
      </w:hyperlink>
    </w:p>
    <w:p>
      <w:pPr>
        <w:spacing w:before="0" w:after="30"/>
        <w:ind w:left="340"/>
      </w:pPr>
      <w:hyperlink w:anchor="_Toc_s041" w:history="1">
        <w:r>
          <w:rPr>
            <w:rFonts w:ascii="Calibri" w:hAnsi="Calibri"/>
            <w:color w:val="333333"/>
            <w:sz w:val="19"/>
          </w:rPr>
          <w:t xml:space="preserve">10.1 Environments</w:t>
        </w:r>
      </w:hyperlink>
    </w:p>
    <w:p>
      <w:pPr>
        <w:spacing w:before="0" w:after="30"/>
        <w:ind w:left="340"/>
      </w:pPr>
      <w:hyperlink w:anchor="_Toc_s042" w:history="1">
        <w:r>
          <w:rPr>
            <w:rFonts w:ascii="Calibri" w:hAnsi="Calibri"/>
            <w:color w:val="333333"/>
            <w:sz w:val="19"/>
          </w:rPr>
          <w:t xml:space="preserve">10.2 Production topology</w:t>
        </w:r>
      </w:hyperlink>
    </w:p>
    <w:p>
      <w:pPr>
        <w:spacing w:before="0" w:after="30"/>
        <w:ind w:left="340"/>
      </w:pPr>
      <w:hyperlink w:anchor="_Toc_s043" w:history="1">
        <w:r>
          <w:rPr>
            <w:rFonts w:ascii="Calibri" w:hAnsi="Calibri"/>
            <w:color w:val="333333"/>
            <w:sz w:val="19"/>
          </w:rPr>
          <w:t xml:space="preserve">10.3 Sizing for the pilot and the first year</w:t>
        </w:r>
      </w:hyperlink>
    </w:p>
    <w:p>
      <w:pPr>
        <w:spacing w:before="0" w:after="30"/>
        <w:ind w:left="340"/>
      </w:pPr>
      <w:hyperlink w:anchor="_Toc_s044" w:history="1">
        <w:r>
          <w:rPr>
            <w:rFonts w:ascii="Calibri" w:hAnsi="Calibri"/>
            <w:color w:val="333333"/>
            <w:sz w:val="19"/>
          </w:rPr>
          <w:t xml:space="preserve">10.4 Hosting location (open point OP-5)</w:t>
        </w:r>
      </w:hyperlink>
    </w:p>
    <w:p>
      <w:pPr>
        <w:spacing w:before="0" w:after="30"/>
        <w:ind w:left="340"/>
      </w:pPr>
      <w:hyperlink w:anchor="_Toc_s045" w:history="1">
        <w:r>
          <w:rPr>
            <w:rFonts w:ascii="Calibri" w:hAnsi="Calibri"/>
            <w:color w:val="333333"/>
            <w:sz w:val="19"/>
          </w:rPr>
          <w:t xml:space="preserve">10.5 Availability, backup and continuity</w:t>
        </w:r>
      </w:hyperlink>
    </w:p>
    <w:p>
      <w:pPr>
        <w:spacing w:before="100" w:after="30"/>
        <w:ind w:left="0"/>
      </w:pPr>
      <w:hyperlink w:anchor="_Toc_s046" w:history="1">
        <w:r>
          <w:rPr>
            <w:rFonts w:ascii="Calibri" w:hAnsi="Calibri"/>
            <w:b/>
            <w:color w:val="1B3A5C"/>
            <w:sz w:val="21"/>
          </w:rPr>
          <w:t xml:space="preserve">11. Non-Functional Requirements</w:t>
        </w:r>
      </w:hyperlink>
    </w:p>
    <w:p>
      <w:pPr>
        <w:spacing w:before="100" w:after="30"/>
        <w:ind w:left="0"/>
      </w:pPr>
      <w:hyperlink w:anchor="_Toc_s047" w:history="1">
        <w:r>
          <w:rPr>
            <w:rFonts w:ascii="Calibri" w:hAnsi="Calibri"/>
            <w:b/>
            <w:color w:val="1B3A5C"/>
            <w:sz w:val="21"/>
          </w:rPr>
          <w:t xml:space="preserve">12. Assumptions, Open Points and Decisions Required</w:t>
        </w:r>
      </w:hyperlink>
    </w:p>
    <w:p>
      <w:pPr>
        <w:spacing w:before="0" w:after="30"/>
        <w:ind w:left="340"/>
      </w:pPr>
      <w:hyperlink w:anchor="_Toc_s048" w:history="1">
        <w:r>
          <w:rPr>
            <w:rFonts w:ascii="Calibri" w:hAnsi="Calibri"/>
            <w:color w:val="333333"/>
            <w:sz w:val="19"/>
          </w:rPr>
          <w:t xml:space="preserve">12.1 Assumptions</w:t>
        </w:r>
      </w:hyperlink>
    </w:p>
    <w:p>
      <w:pPr>
        <w:spacing w:before="0" w:after="30"/>
        <w:ind w:left="340"/>
      </w:pPr>
      <w:hyperlink w:anchor="_Toc_s049" w:history="1">
        <w:r>
          <w:rPr>
            <w:rFonts w:ascii="Calibri" w:hAnsi="Calibri"/>
            <w:color w:val="333333"/>
            <w:sz w:val="19"/>
          </w:rPr>
          <w:t xml:space="preserve">12.2 Open points requiring a SUNU decision</w:t>
        </w:r>
      </w:hyperlink>
    </w:p>
    <w:p>
      <w:pPr>
        <w:spacing w:before="100" w:after="30"/>
        <w:ind w:left="0"/>
      </w:pPr>
      <w:hyperlink w:anchor="_Toc_s050" w:history="1">
        <w:r>
          <w:rPr>
            <w:rFonts w:ascii="Calibri" w:hAnsi="Calibri"/>
            <w:b/>
            <w:color w:val="1B3A5C"/>
            <w:sz w:val="21"/>
          </w:rPr>
          <w:t xml:space="preserve">13. Traceability — Requirements to Architecture</w:t>
        </w:r>
      </w:hyperlink>
    </w:p>
    <w:p>
      <w:pPr>
        <w:spacing w:before="100" w:after="30"/>
        <w:ind w:left="0"/>
      </w:pPr>
      <w:hyperlink w:anchor="_Toc_s051" w:history="1">
        <w:r>
          <w:rPr>
            <w:rFonts w:ascii="Calibri" w:hAnsi="Calibri"/>
            <w:b/>
            <w:color w:val="1B3A5C"/>
            <w:sz w:val="21"/>
          </w:rPr>
          <w:t xml:space="preserve">14. Pilot Implementation — As Built (17 September 2026)</w:t>
        </w:r>
      </w:hyperlink>
    </w:p>
    <w:p>
      <w:pPr>
        <w:spacing w:before="0" w:after="30"/>
        <w:ind w:left="340"/>
      </w:pPr>
      <w:hyperlink w:anchor="_Toc_s052" w:history="1">
        <w:r>
          <w:rPr>
            <w:rFonts w:ascii="Calibri" w:hAnsi="Calibri"/>
            <w:color w:val="333333"/>
            <w:sz w:val="19"/>
          </w:rPr>
          <w:t xml:space="preserve">14.1 Pilot deployment</w:t>
        </w:r>
      </w:hyperlink>
    </w:p>
    <w:p>
      <w:pPr>
        <w:spacing w:before="0" w:after="30"/>
        <w:ind w:left="340"/>
      </w:pPr>
      <w:hyperlink w:anchor="_Toc_s053" w:history="1">
        <w:r>
          <w:rPr>
            <w:rFonts w:ascii="Calibri" w:hAnsi="Calibri"/>
            <w:color w:val="333333"/>
            <w:sz w:val="19"/>
          </w:rPr>
          <w:t xml:space="preserve">14.2 Scope delivered versus planned</w:t>
        </w:r>
      </w:hyperlink>
    </w:p>
    <w:p>
      <w:pPr>
        <w:spacing w:before="0" w:after="30"/>
        <w:ind w:left="340"/>
      </w:pPr>
      <w:hyperlink w:anchor="_Toc_s054" w:history="1">
        <w:r>
          <w:rPr>
            <w:rFonts w:ascii="Calibri" w:hAnsi="Calibri"/>
            <w:color w:val="333333"/>
            <w:sz w:val="19"/>
          </w:rPr>
          <w:t xml:space="preserve">14.3 Terminal API in the pilot</w:t>
        </w:r>
      </w:hyperlink>
    </w:p>
    <w:p>
      <w:pPr>
        <w:spacing w:before="0" w:after="30"/>
        <w:ind w:left="340"/>
      </w:pPr>
      <w:hyperlink w:anchor="_Toc_s055" w:history="1">
        <w:r>
          <w:rPr>
            <w:rFonts w:ascii="Calibri" w:hAnsi="Calibri"/>
            <w:color w:val="333333"/>
            <w:sz w:val="19"/>
          </w:rPr>
          <w:t xml:space="preserve">14.4 Subscription flow as built</w:t>
        </w:r>
      </w:hyperlink>
    </w:p>
    <w:p>
      <w:pPr>
        <w:spacing w:before="0" w:after="30"/>
        <w:ind w:left="340"/>
      </w:pPr>
      <w:hyperlink w:anchor="_Toc_s056" w:history="1">
        <w:r>
          <w:rPr>
            <w:rFonts w:ascii="Calibri" w:hAnsi="Calibri"/>
            <w:color w:val="333333"/>
            <w:sz w:val="19"/>
          </w:rPr>
          <w:t xml:space="preserve">14.5 Data exchange formats</w:t>
        </w:r>
      </w:hyperlink>
    </w:p>
    <w:p>
      <w:pPr>
        <w:spacing w:before="0" w:after="30"/>
        <w:ind w:left="340"/>
      </w:pPr>
      <w:hyperlink w:anchor="_Toc_s057" w:history="1">
        <w:r>
          <w:rPr>
            <w:rFonts w:ascii="Calibri" w:hAnsi="Calibri"/>
            <w:color w:val="333333"/>
            <w:sz w:val="19"/>
          </w:rPr>
          <w:t xml:space="preserve">14.6 Lessons from the pilot and pre-production items</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Purpose and Scope</w:t>
      </w:r>
      <w:bookmarkEnd w:id="101"/>
    </w:p>
    <w:p>
      <w:pPr>
        <w:pStyle w:val="Heading2"/>
        <w:spacing w:before="280" w:after="80"/>
        <w:keepNext/>
      </w:pPr>
      <w:bookmarkStart w:id="102" w:name="_Toc_s001"/>
      <w:r>
        <w:rPr>
          <w:rFonts w:ascii="Calibri" w:hAnsi="Calibri"/>
          <w:b/>
          <w:color w:val="1B3A5C"/>
          <w:sz w:val="24"/>
        </w:rPr>
        <w:t>1.1 Purpose</w:t>
      </w:r>
      <w:bookmarkEnd w:id="102"/>
    </w:p>
    <w:p>
      <w:r>
        <w:rPr>
          <w:rFonts w:ascii="Calibri" w:hAnsi="Calibri"/>
          <w:b w:val="0"/>
          <w:i w:val="0"/>
          <w:color w:val="333333"/>
          <w:sz w:val="20"/>
        </w:rPr>
        <w:t>This document describes the overall and detailed technical architecture of the Mobile Premium Collection Solution to be delivered to SUNU Assurances Vie Burkina Faso. It is the reference architecture against which the solution is built, tested, security-reviewed and accepted.</w:t>
      </w:r>
    </w:p>
    <w:p>
      <w:r>
        <w:rPr>
          <w:rFonts w:ascii="Calibri" w:hAnsi="Calibri"/>
          <w:b w:val="0"/>
          <w:i w:val="0"/>
          <w:color w:val="333333"/>
          <w:sz w:val="20"/>
        </w:rPr>
        <w:t>It answers point 2 of SUNU's requirements e-mail ("a document presenting the overall and detailed technical architecture of the solution") and point 1 ("integration with SUNULIFE and retrieval of existing data"), which is treated here as a first-class architectural concern rather than a later add-on.</w:t>
      </w:r>
    </w:p>
    <w:p>
      <w:r>
        <w:rPr>
          <w:rFonts w:ascii="Calibri" w:hAnsi="Calibri"/>
          <w:b w:val="0"/>
          <w:i w:val="0"/>
          <w:color w:val="333333"/>
          <w:sz w:val="20"/>
        </w:rPr>
        <w:t>Version 1.1 adds section 14, which records what the pilot running since September 2026 actually implements. Sections 1 to 13 remain the target architecture. File and data formats for importing existing customers are specified in Document 5.</w:t>
      </w:r>
    </w:p>
    <w:p>
      <w:pPr>
        <w:pStyle w:val="Heading2"/>
        <w:spacing w:before="280" w:after="80"/>
        <w:keepNext/>
      </w:pPr>
      <w:bookmarkStart w:id="103" w:name="_Toc_s002"/>
      <w:r>
        <w:rPr>
          <w:rFonts w:ascii="Calibri" w:hAnsi="Calibri"/>
          <w:b/>
          <w:color w:val="1B3A5C"/>
          <w:sz w:val="24"/>
        </w:rPr>
        <w:t>1.2 Scope</w:t>
      </w:r>
      <w:bookmarkEnd w:id="103"/>
    </w:p>
    <w:p>
      <w:r>
        <w:rPr>
          <w:rFonts w:ascii="Calibri" w:hAnsi="Calibri"/>
          <w:b/>
          <w:i w:val="0"/>
          <w:color w:val="333333"/>
          <w:sz w:val="20"/>
        </w:rPr>
        <w:t>In scope</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Android POS application running on the field terminals (subscription capture, premium collection, receipt printing, card read/write, QR scan, Mobile Money initiation).</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web back-office platform (user and profile management, insured and policy management, collections monitoring, collector caps and pay-ins, reporting and Excel export).</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card issuance and personalisation chain (physical card + virtual QR card).</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integration layer towards SUNULIFE, Mobile Money providers, and SMS.</w:t>
      </w:r>
    </w:p>
    <w:p>
      <w:pPr>
        <w:spacing w:after="40"/>
        <w:ind w:left="312" w:hanging="198"/>
      </w:pPr>
      <w:r>
        <w:rPr>
          <w:rFonts w:ascii="Calibri" w:hAnsi="Calibri"/>
          <w:b w:val="0"/>
          <w:color w:val="2C5F8A"/>
          <w:sz w:val="20"/>
        </w:rPr>
        <w:t xml:space="preserve">•  </w:t>
      </w:r>
      <w:r>
        <w:rPr>
          <w:rFonts w:ascii="Calibri" w:hAnsi="Calibri"/>
          <w:b w:val="0"/>
          <w:i w:val="0"/>
          <w:color w:val="333333"/>
          <w:sz w:val="20"/>
        </w:rPr>
        <w:t>Hosting, network and deployment topology.</w:t>
      </w:r>
    </w:p>
    <w:p>
      <w:r>
        <w:rPr>
          <w:rFonts w:ascii="Calibri" w:hAnsi="Calibri"/>
          <w:b/>
          <w:i w:val="0"/>
          <w:color w:val="333333"/>
          <w:sz w:val="20"/>
        </w:rPr>
        <w:t>Out of scope of this document</w:t>
      </w:r>
      <w:r>
        <w:rPr>
          <w:rFonts w:ascii="Calibri" w:hAnsi="Calibri"/>
          <w:b w:val="0"/>
          <w:i w:val="0"/>
          <w:color w:val="333333"/>
          <w:sz w:val="20"/>
        </w:rPr>
        <w:t xml:space="preserve"> (covered elsewhere)</w:t>
      </w:r>
    </w:p>
    <w:p>
      <w:pPr>
        <w:spacing w:after="40"/>
        <w:ind w:left="312" w:hanging="198"/>
      </w:pPr>
      <w:r>
        <w:rPr>
          <w:rFonts w:ascii="Calibri" w:hAnsi="Calibri"/>
          <w:b w:val="0"/>
          <w:color w:val="2C5F8A"/>
          <w:sz w:val="20"/>
        </w:rPr>
        <w:t xml:space="preserve">•  </w:t>
      </w:r>
      <w:r>
        <w:rPr>
          <w:rFonts w:ascii="Calibri" w:hAnsi="Calibri"/>
          <w:b w:val="0"/>
          <w:i w:val="0"/>
          <w:color w:val="333333"/>
          <w:sz w:val="20"/>
        </w:rPr>
        <w:t>Security controls and procedures — Document 2.</w:t>
      </w:r>
    </w:p>
    <w:p>
      <w:pPr>
        <w:spacing w:after="40"/>
        <w:ind w:left="312" w:hanging="198"/>
      </w:pPr>
      <w:r>
        <w:rPr>
          <w:rFonts w:ascii="Calibri" w:hAnsi="Calibri"/>
          <w:b w:val="0"/>
          <w:color w:val="2C5F8A"/>
          <w:sz w:val="20"/>
        </w:rPr>
        <w:t xml:space="preserve">•  </w:t>
      </w:r>
      <w:r>
        <w:rPr>
          <w:rFonts w:ascii="Calibri" w:hAnsi="Calibri"/>
          <w:b w:val="0"/>
          <w:i w:val="0"/>
          <w:color w:val="333333"/>
          <w:sz w:val="20"/>
        </w:rPr>
        <w:t>End-user operating procedures — Document 3.</w:t>
      </w:r>
    </w:p>
    <w:p>
      <w:pPr>
        <w:spacing w:after="40"/>
        <w:ind w:left="312" w:hanging="198"/>
      </w:pPr>
      <w:r>
        <w:rPr>
          <w:rFonts w:ascii="Calibri" w:hAnsi="Calibri"/>
          <w:b w:val="0"/>
          <w:color w:val="2C5F8A"/>
          <w:sz w:val="20"/>
        </w:rPr>
        <w:t xml:space="preserve">•  </w:t>
      </w:r>
      <w:r>
        <w:rPr>
          <w:rFonts w:ascii="Calibri" w:hAnsi="Calibri"/>
          <w:b w:val="0"/>
          <w:i w:val="0"/>
          <w:color w:val="333333"/>
          <w:sz w:val="20"/>
        </w:rPr>
        <w:t>Planning, milestones and responsibilities — Document 4.</w:t>
      </w:r>
    </w:p>
    <w:p>
      <w:pPr>
        <w:spacing w:after="40"/>
        <w:ind w:left="312" w:hanging="198"/>
      </w:pPr>
      <w:r>
        <w:rPr>
          <w:rFonts w:ascii="Calibri" w:hAnsi="Calibri"/>
          <w:b w:val="0"/>
          <w:color w:val="2C5F8A"/>
          <w:sz w:val="20"/>
        </w:rPr>
        <w:t xml:space="preserve">•  </w:t>
      </w:r>
      <w:r>
        <w:rPr>
          <w:rFonts w:ascii="Calibri" w:hAnsi="Calibri"/>
          <w:b w:val="0"/>
          <w:i w:val="0"/>
          <w:color w:val="333333"/>
          <w:sz w:val="20"/>
        </w:rPr>
        <w:t>Commercial terms, hardware supply of terminals, cards and the card personalisation station — covered by the commercial offer.</w:t>
      </w:r>
    </w:p>
    <w:p>
      <w:pPr>
        <w:pStyle w:val="Heading2"/>
        <w:spacing w:before="280" w:after="80"/>
        <w:keepNext/>
      </w:pPr>
      <w:bookmarkStart w:id="104" w:name="_Toc_s003"/>
      <w:r>
        <w:rPr>
          <w:rFonts w:ascii="Calibri" w:hAnsi="Calibri"/>
          <w:b/>
          <w:color w:val="1B3A5C"/>
          <w:sz w:val="24"/>
        </w:rPr>
        <w:t>1.3 Intended audience</w:t>
      </w:r>
      <w:bookmarkEnd w:id="104"/>
    </w:p>
    <w:p>
      <w:r>
        <w:rPr>
          <w:rFonts w:ascii="Calibri" w:hAnsi="Calibri"/>
          <w:b w:val="0"/>
          <w:i w:val="0"/>
          <w:color w:val="333333"/>
          <w:sz w:val="20"/>
        </w:rPr>
        <w:t>SUNU IT and Operations, SUNU General Management (sections 2 and 3), the SUNULIFE editor or maintenance team (section 8), and the delivery team.</w:t>
      </w:r>
    </w:p>
    <w:p>
      <w:pPr>
        <w:pStyle w:val="Heading1"/>
        <w:pageBreakBefore/>
        <w:spacing w:before="360" w:after="80"/>
        <w:keepNext/>
        <w:pBdr>
          <w:bottom w:val="single" w:sz="8" w:space="6" w:color="1B3A5C"/>
        </w:pBdr>
      </w:pPr>
      <w:bookmarkStart w:id="105" w:name="_Toc_s004"/>
      <w:r>
        <w:rPr>
          <w:rFonts w:ascii="Calibri" w:hAnsi="Calibri"/>
          <w:b/>
          <w:color w:val="1B3A5C"/>
          <w:sz w:val="30"/>
        </w:rPr>
        <w:t>2. Business Context — What the System Must Do</w:t>
      </w:r>
      <w:bookmarkEnd w:id="105"/>
    </w:p>
    <w:p>
      <w:r>
        <w:rPr>
          <w:rFonts w:ascii="Calibri" w:hAnsi="Calibri"/>
          <w:b w:val="0"/>
          <w:i w:val="0"/>
          <w:color w:val="333333"/>
          <w:sz w:val="20"/>
        </w:rPr>
        <w:t>The architecture is derived directly from the four needs stated in the TdR plus the four functional additions requested in the 21 August e-mail.</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Ref</w:t>
            </w:r>
          </w:p>
        </w:tc>
        <w:tc>
          <w:tcPr>
            <w:tcW w:type="dxa" w:w="2835"/>
            <w:shd w:val="clear" w:fill="1B3A5C"/>
          </w:tcPr>
          <w:p>
            <w:pPr>
              <w:spacing w:before="60" w:after="60"/>
            </w:pPr>
            <w:r>
              <w:rPr>
                <w:rFonts w:ascii="Calibri" w:hAnsi="Calibri"/>
                <w:b/>
                <w:color w:val="FFFFFF"/>
                <w:sz w:val="17"/>
              </w:rPr>
              <w:t>Requirement</w:t>
            </w:r>
          </w:p>
        </w:tc>
        <w:tc>
          <w:tcPr>
            <w:tcW w:type="dxa" w:w="2835"/>
            <w:shd w:val="clear" w:fill="1B3A5C"/>
          </w:tcPr>
          <w:p>
            <w:pPr>
              <w:spacing w:before="60" w:after="60"/>
            </w:pPr>
            <w:r>
              <w:rPr>
                <w:rFonts w:ascii="Calibri" w:hAnsi="Calibri"/>
                <w:b/>
                <w:color w:val="FFFFFF"/>
                <w:sz w:val="17"/>
              </w:rPr>
              <w:t>Origin</w:t>
            </w:r>
          </w:p>
        </w:tc>
        <w:tc>
          <w:tcPr>
            <w:tcW w:type="dxa" w:w="2835"/>
            <w:shd w:val="clear" w:fill="1B3A5C"/>
          </w:tcPr>
          <w:p>
            <w:pPr>
              <w:spacing w:before="60" w:after="60"/>
            </w:pPr>
            <w:r>
              <w:rPr>
                <w:rFonts w:ascii="Calibri" w:hAnsi="Calibri"/>
                <w:b/>
                <w:color w:val="FFFFFF"/>
                <w:sz w:val="17"/>
              </w:rPr>
              <w:t>Architectural consequence</w:t>
            </w:r>
          </w:p>
        </w:tc>
      </w:tr>
      <w:tr>
        <w:tc>
          <w:tcPr>
            <w:tcW w:type="dxa" w:w="907"/>
          </w:tcPr>
          <w:p>
            <w:pPr>
              <w:spacing w:before="40" w:after="40"/>
            </w:pPr>
            <w:r>
              <w:rPr>
                <w:rFonts w:ascii="Calibri" w:hAnsi="Calibri"/>
                <w:b w:val="0"/>
                <w:i w:val="0"/>
                <w:color w:val="333333"/>
                <w:sz w:val="17"/>
              </w:rPr>
              <w:t>R1</w:t>
            </w:r>
          </w:p>
        </w:tc>
        <w:tc>
          <w:tcPr>
            <w:tcW w:type="dxa" w:w="2835"/>
          </w:tcPr>
          <w:p>
            <w:pPr>
              <w:spacing w:before="40" w:after="40"/>
            </w:pPr>
            <w:r>
              <w:rPr>
                <w:rFonts w:ascii="Calibri" w:hAnsi="Calibri"/>
                <w:b w:val="0"/>
                <w:i w:val="0"/>
                <w:color w:val="333333"/>
                <w:sz w:val="17"/>
              </w:rPr>
              <w:t>Subscribe a prospect to a micro-insurance policy and collect the first premium plus policy costs in the field</w:t>
            </w:r>
          </w:p>
        </w:tc>
        <w:tc>
          <w:tcPr>
            <w:tcW w:type="dxa" w:w="2835"/>
          </w:tcPr>
          <w:p>
            <w:pPr>
              <w:spacing w:before="40" w:after="40"/>
            </w:pPr>
            <w:r>
              <w:rPr>
                <w:rFonts w:ascii="Calibri" w:hAnsi="Calibri"/>
                <w:b w:val="0"/>
                <w:i w:val="0"/>
                <w:color w:val="333333"/>
                <w:sz w:val="17"/>
              </w:rPr>
              <w:t>TdR Need 1</w:t>
            </w:r>
          </w:p>
        </w:tc>
        <w:tc>
          <w:tcPr>
            <w:tcW w:type="dxa" w:w="2835"/>
          </w:tcPr>
          <w:p>
            <w:pPr>
              <w:spacing w:before="40" w:after="40"/>
            </w:pPr>
            <w:r>
              <w:rPr>
                <w:rFonts w:ascii="Calibri" w:hAnsi="Calibri"/>
                <w:b w:val="0"/>
                <w:i w:val="0"/>
                <w:color w:val="333333"/>
                <w:sz w:val="17"/>
              </w:rPr>
              <w:t>Subscription capture module on POS; document/photo capture; geolocation; two distinct receipts</w:t>
            </w:r>
          </w:p>
        </w:tc>
      </w:tr>
      <w:tr>
        <w:tc>
          <w:tcPr>
            <w:tcW w:type="dxa" w:w="907"/>
            <w:shd w:val="clear" w:fill="F2F6FA"/>
          </w:tcPr>
          <w:p>
            <w:pPr>
              <w:spacing w:before="40" w:after="40"/>
            </w:pPr>
            <w:r>
              <w:rPr>
                <w:rFonts w:ascii="Calibri" w:hAnsi="Calibri"/>
                <w:b w:val="0"/>
                <w:i w:val="0"/>
                <w:color w:val="333333"/>
                <w:sz w:val="17"/>
              </w:rPr>
              <w:t>R2</w:t>
            </w:r>
          </w:p>
        </w:tc>
        <w:tc>
          <w:tcPr>
            <w:tcW w:type="dxa" w:w="2835"/>
            <w:shd w:val="clear" w:fill="F2F6FA"/>
          </w:tcPr>
          <w:p>
            <w:pPr>
              <w:spacing w:before="40" w:after="40"/>
            </w:pPr>
            <w:r>
              <w:rPr>
                <w:rFonts w:ascii="Calibri" w:hAnsi="Calibri"/>
                <w:b w:val="0"/>
                <w:i w:val="0"/>
                <w:color w:val="333333"/>
                <w:sz w:val="17"/>
              </w:rPr>
              <w:t>Photograph the signed proposal and the CNIB, transmit to back office with agent reference, product, proposal number, insured name, GPS</w:t>
            </w:r>
          </w:p>
        </w:tc>
        <w:tc>
          <w:tcPr>
            <w:tcW w:type="dxa" w:w="2835"/>
            <w:shd w:val="clear" w:fill="F2F6FA"/>
          </w:tcPr>
          <w:p>
            <w:pPr>
              <w:spacing w:before="40" w:after="40"/>
            </w:pPr>
            <w:r>
              <w:rPr>
                <w:rFonts w:ascii="Calibri" w:hAnsi="Calibri"/>
                <w:b w:val="0"/>
                <w:i w:val="0"/>
                <w:color w:val="333333"/>
                <w:sz w:val="17"/>
              </w:rPr>
              <w:t>TdR Need 1</w:t>
            </w:r>
          </w:p>
        </w:tc>
        <w:tc>
          <w:tcPr>
            <w:tcW w:type="dxa" w:w="2835"/>
            <w:shd w:val="clear" w:fill="F2F6FA"/>
          </w:tcPr>
          <w:p>
            <w:pPr>
              <w:spacing w:before="40" w:after="40"/>
            </w:pPr>
            <w:r>
              <w:rPr>
                <w:rFonts w:ascii="Calibri" w:hAnsi="Calibri"/>
                <w:b w:val="0"/>
                <w:i w:val="0"/>
                <w:color w:val="333333"/>
                <w:sz w:val="17"/>
              </w:rPr>
              <w:t>Image pipeline, offline queue, metadata binding, back-office review queue</w:t>
            </w:r>
          </w:p>
        </w:tc>
      </w:tr>
      <w:tr>
        <w:tc>
          <w:tcPr>
            <w:tcW w:type="dxa" w:w="907"/>
          </w:tcPr>
          <w:p>
            <w:pPr>
              <w:spacing w:before="40" w:after="40"/>
            </w:pPr>
            <w:r>
              <w:rPr>
                <w:rFonts w:ascii="Calibri" w:hAnsi="Calibri"/>
                <w:b w:val="0"/>
                <w:i w:val="0"/>
                <w:color w:val="333333"/>
                <w:sz w:val="17"/>
              </w:rPr>
              <w:t>R3</w:t>
            </w:r>
          </w:p>
        </w:tc>
        <w:tc>
          <w:tcPr>
            <w:tcW w:type="dxa" w:w="2835"/>
          </w:tcPr>
          <w:p>
            <w:pPr>
              <w:spacing w:before="40" w:after="40"/>
            </w:pPr>
            <w:r>
              <w:rPr>
                <w:rFonts w:ascii="Calibri" w:hAnsi="Calibri"/>
                <w:b w:val="0"/>
                <w:i w:val="0"/>
                <w:color w:val="333333"/>
                <w:sz w:val="17"/>
              </w:rPr>
              <w:t>Issue a card carrying the insured's identity and his/her list of policies; support several policies per insured</w:t>
            </w:r>
          </w:p>
        </w:tc>
        <w:tc>
          <w:tcPr>
            <w:tcW w:type="dxa" w:w="2835"/>
          </w:tcPr>
          <w:p>
            <w:pPr>
              <w:spacing w:before="40" w:after="40"/>
            </w:pPr>
            <w:r>
              <w:rPr>
                <w:rFonts w:ascii="Calibri" w:hAnsi="Calibri"/>
                <w:b w:val="0"/>
                <w:i w:val="0"/>
                <w:color w:val="333333"/>
                <w:sz w:val="17"/>
              </w:rPr>
              <w:t>TdR Need 1</w:t>
            </w:r>
          </w:p>
        </w:tc>
        <w:tc>
          <w:tcPr>
            <w:tcW w:type="dxa" w:w="2835"/>
          </w:tcPr>
          <w:p>
            <w:pPr>
              <w:spacing w:before="40" w:after="40"/>
            </w:pPr>
            <w:r>
              <w:rPr>
                <w:rFonts w:ascii="Calibri" w:hAnsi="Calibri"/>
                <w:b w:val="0"/>
                <w:i w:val="0"/>
                <w:color w:val="333333"/>
                <w:sz w:val="17"/>
              </w:rPr>
              <w:t>Card issuance workflow; multi-policy card data model; personalisation export to the card printer/encoder</w:t>
            </w:r>
          </w:p>
        </w:tc>
      </w:tr>
      <w:tr>
        <w:tc>
          <w:tcPr>
            <w:tcW w:type="dxa" w:w="907"/>
            <w:shd w:val="clear" w:fill="F2F6FA"/>
          </w:tcPr>
          <w:p>
            <w:pPr>
              <w:spacing w:before="40" w:after="40"/>
            </w:pPr>
            <w:r>
              <w:rPr>
                <w:rFonts w:ascii="Calibri" w:hAnsi="Calibri"/>
                <w:b w:val="0"/>
                <w:i w:val="0"/>
                <w:color w:val="333333"/>
                <w:sz w:val="17"/>
              </w:rPr>
              <w:t>R4</w:t>
            </w:r>
          </w:p>
        </w:tc>
        <w:tc>
          <w:tcPr>
            <w:tcW w:type="dxa" w:w="2835"/>
            <w:shd w:val="clear" w:fill="F2F6FA"/>
          </w:tcPr>
          <w:p>
            <w:pPr>
              <w:spacing w:before="40" w:after="40"/>
            </w:pPr>
            <w:r>
              <w:rPr>
                <w:rFonts w:ascii="Calibri" w:hAnsi="Calibri"/>
                <w:b w:val="0"/>
                <w:i w:val="0"/>
                <w:color w:val="333333"/>
                <w:sz w:val="17"/>
              </w:rPr>
              <w:t>Collect recurring premiums: read card → list active policies → select policy → collect → print receipt</w:t>
            </w:r>
          </w:p>
        </w:tc>
        <w:tc>
          <w:tcPr>
            <w:tcW w:type="dxa" w:w="2835"/>
            <w:shd w:val="clear" w:fill="F2F6FA"/>
          </w:tcPr>
          <w:p>
            <w:pPr>
              <w:spacing w:before="40" w:after="40"/>
            </w:pPr>
            <w:r>
              <w:rPr>
                <w:rFonts w:ascii="Calibri" w:hAnsi="Calibri"/>
                <w:b w:val="0"/>
                <w:i w:val="0"/>
                <w:color w:val="333333"/>
                <w:sz w:val="17"/>
              </w:rPr>
              <w:t>TdR Need 2</w:t>
            </w:r>
          </w:p>
        </w:tc>
        <w:tc>
          <w:tcPr>
            <w:tcW w:type="dxa" w:w="2835"/>
            <w:shd w:val="clear" w:fill="F2F6FA"/>
          </w:tcPr>
          <w:p>
            <w:pPr>
              <w:spacing w:before="40" w:after="40"/>
            </w:pPr>
            <w:r>
              <w:rPr>
                <w:rFonts w:ascii="Calibri" w:hAnsi="Calibri"/>
                <w:b w:val="0"/>
                <w:i w:val="0"/>
                <w:color w:val="333333"/>
                <w:sz w:val="17"/>
              </w:rPr>
              <w:t>Card read flow on POS; policy selection screen; receipt template; local cache for offline operation</w:t>
            </w:r>
          </w:p>
        </w:tc>
      </w:tr>
      <w:tr>
        <w:tc>
          <w:tcPr>
            <w:tcW w:type="dxa" w:w="907"/>
          </w:tcPr>
          <w:p>
            <w:pPr>
              <w:spacing w:before="40" w:after="40"/>
            </w:pPr>
            <w:r>
              <w:rPr>
                <w:rFonts w:ascii="Calibri" w:hAnsi="Calibri"/>
                <w:b w:val="0"/>
                <w:i w:val="0"/>
                <w:color w:val="333333"/>
                <w:sz w:val="17"/>
              </w:rPr>
              <w:t>R5</w:t>
            </w:r>
          </w:p>
        </w:tc>
        <w:tc>
          <w:tcPr>
            <w:tcW w:type="dxa" w:w="2835"/>
          </w:tcPr>
          <w:p>
            <w:pPr>
              <w:spacing w:before="40" w:after="40"/>
            </w:pPr>
            <w:r>
              <w:rPr>
                <w:rFonts w:ascii="Calibri" w:hAnsi="Calibri"/>
                <w:b w:val="0"/>
                <w:i w:val="0"/>
                <w:color w:val="333333"/>
                <w:sz w:val="17"/>
              </w:rPr>
              <w:t>Per-collector collection cap (uncollected amount); when reached, the collector pays in to a SUNU bank account or cash office; back office confirms and releases the terminal</w:t>
            </w:r>
          </w:p>
        </w:tc>
        <w:tc>
          <w:tcPr>
            <w:tcW w:type="dxa" w:w="2835"/>
          </w:tcPr>
          <w:p>
            <w:pPr>
              <w:spacing w:before="40" w:after="40"/>
            </w:pPr>
            <w:r>
              <w:rPr>
                <w:rFonts w:ascii="Calibri" w:hAnsi="Calibri"/>
                <w:b w:val="0"/>
                <w:i w:val="0"/>
                <w:color w:val="333333"/>
                <w:sz w:val="17"/>
              </w:rPr>
              <w:t>TdR Need 2</w:t>
            </w:r>
          </w:p>
        </w:tc>
        <w:tc>
          <w:tcPr>
            <w:tcW w:type="dxa" w:w="2835"/>
          </w:tcPr>
          <w:p>
            <w:pPr>
              <w:spacing w:before="40" w:after="40"/>
            </w:pPr>
            <w:r>
              <w:rPr>
                <w:rFonts w:ascii="Calibri" w:hAnsi="Calibri"/>
                <w:b w:val="0"/>
                <w:i w:val="0"/>
                <w:color w:val="333333"/>
                <w:sz w:val="17"/>
              </w:rPr>
              <w:t>Collector float ledger; cap engine; pay-in declaration + back-office confirmation; terminal release</w:t>
            </w:r>
          </w:p>
        </w:tc>
      </w:tr>
      <w:tr>
        <w:tc>
          <w:tcPr>
            <w:tcW w:type="dxa" w:w="907"/>
            <w:shd w:val="clear" w:fill="F2F6FA"/>
          </w:tcPr>
          <w:p>
            <w:pPr>
              <w:spacing w:before="40" w:after="40"/>
            </w:pPr>
            <w:r>
              <w:rPr>
                <w:rFonts w:ascii="Calibri" w:hAnsi="Calibri"/>
                <w:b w:val="0"/>
                <w:i w:val="0"/>
                <w:color w:val="333333"/>
                <w:sz w:val="17"/>
              </w:rPr>
              <w:t>R6</w:t>
            </w:r>
          </w:p>
        </w:tc>
        <w:tc>
          <w:tcPr>
            <w:tcW w:type="dxa" w:w="2835"/>
            <w:shd w:val="clear" w:fill="F2F6FA"/>
          </w:tcPr>
          <w:p>
            <w:pPr>
              <w:spacing w:before="40" w:after="40"/>
            </w:pPr>
            <w:r>
              <w:rPr>
                <w:rFonts w:ascii="Calibri" w:hAnsi="Calibri"/>
                <w:b w:val="0"/>
                <w:i w:val="0"/>
                <w:color w:val="333333"/>
                <w:sz w:val="17"/>
              </w:rPr>
              <w:t>All payments visible in the back office and downloadable in Excel for recording in SUNULIFE</w:t>
            </w:r>
          </w:p>
        </w:tc>
        <w:tc>
          <w:tcPr>
            <w:tcW w:type="dxa" w:w="2835"/>
            <w:shd w:val="clear" w:fill="F2F6FA"/>
          </w:tcPr>
          <w:p>
            <w:pPr>
              <w:spacing w:before="40" w:after="40"/>
            </w:pPr>
            <w:r>
              <w:rPr>
                <w:rFonts w:ascii="Calibri" w:hAnsi="Calibri"/>
                <w:b w:val="0"/>
                <w:i w:val="0"/>
                <w:color w:val="333333"/>
                <w:sz w:val="17"/>
              </w:rPr>
              <w:t>TdR Need 2</w:t>
            </w:r>
          </w:p>
        </w:tc>
        <w:tc>
          <w:tcPr>
            <w:tcW w:type="dxa" w:w="2835"/>
            <w:shd w:val="clear" w:fill="F2F6FA"/>
          </w:tcPr>
          <w:p>
            <w:pPr>
              <w:spacing w:before="40" w:after="40"/>
            </w:pPr>
            <w:r>
              <w:rPr>
                <w:rFonts w:ascii="Calibri" w:hAnsi="Calibri"/>
                <w:b w:val="0"/>
                <w:i w:val="0"/>
                <w:color w:val="333333"/>
                <w:sz w:val="17"/>
              </w:rPr>
              <w:t xml:space="preserve">Collections reporting module and export; this is the </w:t>
            </w:r>
            <w:r>
              <w:rPr>
                <w:rFonts w:ascii="Calibri" w:hAnsi="Calibri"/>
                <w:b w:val="0"/>
                <w:i/>
                <w:color w:val="333333"/>
                <w:sz w:val="17"/>
              </w:rPr>
              <w:t>manual</w:t>
            </w:r>
            <w:r>
              <w:rPr>
                <w:rFonts w:ascii="Calibri" w:hAnsi="Calibri"/>
                <w:b w:val="0"/>
                <w:i w:val="0"/>
                <w:color w:val="333333"/>
                <w:sz w:val="17"/>
              </w:rPr>
              <w:t xml:space="preserve"> fallback path to SUNULIFE</w:t>
            </w:r>
          </w:p>
        </w:tc>
      </w:tr>
      <w:tr>
        <w:tc>
          <w:tcPr>
            <w:tcW w:type="dxa" w:w="907"/>
          </w:tcPr>
          <w:p>
            <w:pPr>
              <w:spacing w:before="40" w:after="40"/>
            </w:pPr>
            <w:r>
              <w:rPr>
                <w:rFonts w:ascii="Calibri" w:hAnsi="Calibri"/>
                <w:b w:val="0"/>
                <w:i w:val="0"/>
                <w:color w:val="333333"/>
                <w:sz w:val="17"/>
              </w:rPr>
              <w:t>R7</w:t>
            </w:r>
          </w:p>
        </w:tc>
        <w:tc>
          <w:tcPr>
            <w:tcW w:type="dxa" w:w="2835"/>
          </w:tcPr>
          <w:p>
            <w:pPr>
              <w:spacing w:before="40" w:after="40"/>
            </w:pPr>
            <w:r>
              <w:rPr>
                <w:rFonts w:ascii="Calibri" w:hAnsi="Calibri"/>
                <w:b w:val="0"/>
                <w:i w:val="0"/>
                <w:color w:val="333333"/>
                <w:sz w:val="17"/>
              </w:rPr>
              <w:t>15 POS terminals, back office with profiles and permissions, 5 000 cards, a card personalisation device</w:t>
            </w:r>
          </w:p>
        </w:tc>
        <w:tc>
          <w:tcPr>
            <w:tcW w:type="dxa" w:w="2835"/>
          </w:tcPr>
          <w:p>
            <w:pPr>
              <w:spacing w:before="40" w:after="40"/>
            </w:pPr>
            <w:r>
              <w:rPr>
                <w:rFonts w:ascii="Calibri" w:hAnsi="Calibri"/>
                <w:b w:val="0"/>
                <w:i w:val="0"/>
                <w:color w:val="333333"/>
                <w:sz w:val="17"/>
              </w:rPr>
              <w:t>TdR Need 3</w:t>
            </w:r>
          </w:p>
        </w:tc>
        <w:tc>
          <w:tcPr>
            <w:tcW w:type="dxa" w:w="2835"/>
          </w:tcPr>
          <w:p>
            <w:pPr>
              <w:spacing w:before="40" w:after="40"/>
            </w:pPr>
            <w:r>
              <w:rPr>
                <w:rFonts w:ascii="Calibri" w:hAnsi="Calibri"/>
                <w:b w:val="0"/>
                <w:i w:val="0"/>
                <w:color w:val="333333"/>
                <w:sz w:val="17"/>
              </w:rPr>
              <w:t>Terminal registry, RBAC, card stock management, personalisation station integration</w:t>
            </w:r>
          </w:p>
        </w:tc>
      </w:tr>
      <w:tr>
        <w:tc>
          <w:tcPr>
            <w:tcW w:type="dxa" w:w="907"/>
            <w:shd w:val="clear" w:fill="F2F6FA"/>
          </w:tcPr>
          <w:p>
            <w:pPr>
              <w:spacing w:before="40" w:after="40"/>
            </w:pPr>
            <w:r>
              <w:rPr>
                <w:rFonts w:ascii="Calibri" w:hAnsi="Calibri"/>
                <w:b w:val="0"/>
                <w:i w:val="0"/>
                <w:color w:val="333333"/>
                <w:sz w:val="17"/>
              </w:rPr>
              <w:t>R8</w:t>
            </w:r>
          </w:p>
        </w:tc>
        <w:tc>
          <w:tcPr>
            <w:tcW w:type="dxa" w:w="2835"/>
            <w:shd w:val="clear" w:fill="F2F6FA"/>
          </w:tcPr>
          <w:p>
            <w:pPr>
              <w:spacing w:before="40" w:after="40"/>
            </w:pPr>
            <w:r>
              <w:rPr>
                <w:rFonts w:ascii="Calibri" w:hAnsi="Calibri"/>
                <w:b w:val="0"/>
                <w:i w:val="0"/>
                <w:color w:val="333333"/>
                <w:sz w:val="17"/>
              </w:rPr>
              <w:t>APIs for automatic update of collections in the core business software</w:t>
            </w:r>
          </w:p>
        </w:tc>
        <w:tc>
          <w:tcPr>
            <w:tcW w:type="dxa" w:w="2835"/>
            <w:shd w:val="clear" w:fill="F2F6FA"/>
          </w:tcPr>
          <w:p>
            <w:pPr>
              <w:spacing w:before="40" w:after="40"/>
            </w:pPr>
            <w:r>
              <w:rPr>
                <w:rFonts w:ascii="Calibri" w:hAnsi="Calibri"/>
                <w:b w:val="0"/>
                <w:i w:val="0"/>
                <w:color w:val="333333"/>
                <w:sz w:val="17"/>
              </w:rPr>
              <w:t>TdR Need 4</w:t>
            </w:r>
          </w:p>
        </w:tc>
        <w:tc>
          <w:tcPr>
            <w:tcW w:type="dxa" w:w="2835"/>
            <w:shd w:val="clear" w:fill="F2F6FA"/>
          </w:tcPr>
          <w:p>
            <w:pPr>
              <w:spacing w:before="40" w:after="40"/>
            </w:pPr>
            <w:r>
              <w:rPr>
                <w:rFonts w:ascii="Calibri" w:hAnsi="Calibri"/>
                <w:b w:val="0"/>
                <w:i w:val="0"/>
                <w:color w:val="333333"/>
                <w:sz w:val="17"/>
              </w:rPr>
              <w:t>SUNULIFE integration — see section 8</w:t>
            </w:r>
          </w:p>
        </w:tc>
      </w:tr>
      <w:tr>
        <w:tc>
          <w:tcPr>
            <w:tcW w:type="dxa" w:w="907"/>
          </w:tcPr>
          <w:p>
            <w:pPr>
              <w:spacing w:before="40" w:after="40"/>
            </w:pPr>
            <w:r>
              <w:rPr>
                <w:rFonts w:ascii="Calibri" w:hAnsi="Calibri"/>
                <w:b w:val="0"/>
                <w:i w:val="0"/>
                <w:color w:val="333333"/>
                <w:sz w:val="17"/>
              </w:rPr>
              <w:t>R9</w:t>
            </w:r>
          </w:p>
        </w:tc>
        <w:tc>
          <w:tcPr>
            <w:tcW w:type="dxa" w:w="2835"/>
          </w:tcPr>
          <w:p>
            <w:pPr>
              <w:spacing w:before="40" w:after="40"/>
            </w:pPr>
            <w:r>
              <w:rPr>
                <w:rFonts w:ascii="Calibri" w:hAnsi="Calibri"/>
                <w:b/>
                <w:i w:val="0"/>
                <w:color w:val="333333"/>
                <w:sz w:val="17"/>
              </w:rPr>
              <w:t>Regularly retrieve up-to-date customer data and policy information from SUNULIFE via API</w:t>
            </w:r>
          </w:p>
        </w:tc>
        <w:tc>
          <w:tcPr>
            <w:tcW w:type="dxa" w:w="2835"/>
          </w:tcPr>
          <w:p>
            <w:pPr>
              <w:spacing w:before="40" w:after="40"/>
            </w:pPr>
            <w:r>
              <w:rPr>
                <w:rFonts w:ascii="Calibri" w:hAnsi="Calibri"/>
                <w:b w:val="0"/>
                <w:i w:val="0"/>
                <w:color w:val="333333"/>
                <w:sz w:val="17"/>
              </w:rPr>
              <w:t>E-mail §1</w:t>
            </w:r>
          </w:p>
        </w:tc>
        <w:tc>
          <w:tcPr>
            <w:tcW w:type="dxa" w:w="2835"/>
          </w:tcPr>
          <w:p>
            <w:pPr>
              <w:spacing w:before="40" w:after="40"/>
            </w:pPr>
            <w:r>
              <w:rPr>
                <w:rFonts w:ascii="Calibri" w:hAnsi="Calibri"/>
                <w:b w:val="0"/>
                <w:i w:val="0"/>
                <w:color w:val="333333"/>
                <w:sz w:val="17"/>
              </w:rPr>
              <w:t>SUNULIFE integration is bidirectional and part of the base architecture, not phase 2</w:t>
            </w:r>
          </w:p>
        </w:tc>
      </w:tr>
      <w:tr>
        <w:tc>
          <w:tcPr>
            <w:tcW w:type="dxa" w:w="907"/>
            <w:shd w:val="clear" w:fill="F2F6FA"/>
          </w:tcPr>
          <w:p>
            <w:pPr>
              <w:spacing w:before="40" w:after="40"/>
            </w:pPr>
            <w:r>
              <w:rPr>
                <w:rFonts w:ascii="Calibri" w:hAnsi="Calibri"/>
                <w:b w:val="0"/>
                <w:i w:val="0"/>
                <w:color w:val="333333"/>
                <w:sz w:val="17"/>
              </w:rPr>
              <w:t>R10</w:t>
            </w:r>
          </w:p>
        </w:tc>
        <w:tc>
          <w:tcPr>
            <w:tcW w:type="dxa" w:w="2835"/>
            <w:shd w:val="clear" w:fill="F2F6FA"/>
          </w:tcPr>
          <w:p>
            <w:pPr>
              <w:spacing w:before="40" w:after="40"/>
            </w:pPr>
            <w:r>
              <w:rPr>
                <w:rFonts w:ascii="Calibri" w:hAnsi="Calibri"/>
                <w:b/>
                <w:i w:val="0"/>
                <w:color w:val="333333"/>
                <w:sz w:val="17"/>
              </w:rPr>
              <w:t>Physical card</w:t>
            </w:r>
          </w:p>
        </w:tc>
        <w:tc>
          <w:tcPr>
            <w:tcW w:type="dxa" w:w="2835"/>
            <w:shd w:val="clear" w:fill="F2F6FA"/>
          </w:tcPr>
          <w:p>
            <w:pPr>
              <w:spacing w:before="40" w:after="40"/>
            </w:pPr>
            <w:r>
              <w:rPr>
                <w:rFonts w:ascii="Calibri" w:hAnsi="Calibri"/>
                <w:b w:val="0"/>
                <w:i w:val="0"/>
                <w:color w:val="333333"/>
                <w:sz w:val="17"/>
              </w:rPr>
              <w:t>E-mail §4</w:t>
            </w:r>
          </w:p>
        </w:tc>
        <w:tc>
          <w:tcPr>
            <w:tcW w:type="dxa" w:w="2835"/>
            <w:shd w:val="clear" w:fill="F2F6FA"/>
          </w:tcPr>
          <w:p>
            <w:pPr>
              <w:spacing w:before="40" w:after="40"/>
            </w:pPr>
            <w:r>
              <w:rPr>
                <w:rFonts w:ascii="Calibri" w:hAnsi="Calibri"/>
                <w:b w:val="0"/>
                <w:i w:val="0"/>
                <w:color w:val="333333"/>
                <w:sz w:val="17"/>
              </w:rPr>
              <w:t>As R3</w:t>
            </w:r>
          </w:p>
        </w:tc>
      </w:tr>
      <w:tr>
        <w:tc>
          <w:tcPr>
            <w:tcW w:type="dxa" w:w="907"/>
          </w:tcPr>
          <w:p>
            <w:pPr>
              <w:spacing w:before="40" w:after="40"/>
            </w:pPr>
            <w:r>
              <w:rPr>
                <w:rFonts w:ascii="Calibri" w:hAnsi="Calibri"/>
                <w:b w:val="0"/>
                <w:i w:val="0"/>
                <w:color w:val="333333"/>
                <w:sz w:val="17"/>
              </w:rPr>
              <w:t>R11</w:t>
            </w:r>
          </w:p>
        </w:tc>
        <w:tc>
          <w:tcPr>
            <w:tcW w:type="dxa" w:w="2835"/>
          </w:tcPr>
          <w:p>
            <w:pPr>
              <w:spacing w:before="40" w:after="40"/>
            </w:pPr>
            <w:r>
              <w:rPr>
                <w:rFonts w:ascii="Calibri" w:hAnsi="Calibri"/>
                <w:b/>
                <w:i w:val="0"/>
                <w:color w:val="333333"/>
                <w:sz w:val="17"/>
              </w:rPr>
              <w:t>Virtual card as a QR code</w:t>
            </w:r>
          </w:p>
        </w:tc>
        <w:tc>
          <w:tcPr>
            <w:tcW w:type="dxa" w:w="2835"/>
          </w:tcPr>
          <w:p>
            <w:pPr>
              <w:spacing w:before="40" w:after="40"/>
            </w:pPr>
            <w:r>
              <w:rPr>
                <w:rFonts w:ascii="Calibri" w:hAnsi="Calibri"/>
                <w:b w:val="0"/>
                <w:i w:val="0"/>
                <w:color w:val="333333"/>
                <w:sz w:val="17"/>
              </w:rPr>
              <w:t>E-mail §4</w:t>
            </w:r>
          </w:p>
        </w:tc>
        <w:tc>
          <w:tcPr>
            <w:tcW w:type="dxa" w:w="2835"/>
          </w:tcPr>
          <w:p>
            <w:pPr>
              <w:spacing w:before="40" w:after="40"/>
            </w:pPr>
            <w:r>
              <w:rPr>
                <w:rFonts w:ascii="Calibri" w:hAnsi="Calibri"/>
                <w:b w:val="0"/>
                <w:i w:val="0"/>
                <w:color w:val="333333"/>
                <w:sz w:val="17"/>
              </w:rPr>
              <w:t>Signed QR credential, printable/sendable, offline-verifiable on the POS</w:t>
            </w:r>
          </w:p>
        </w:tc>
      </w:tr>
      <w:tr>
        <w:tc>
          <w:tcPr>
            <w:tcW w:type="dxa" w:w="907"/>
            <w:shd w:val="clear" w:fill="F2F6FA"/>
          </w:tcPr>
          <w:p>
            <w:pPr>
              <w:spacing w:before="40" w:after="40"/>
            </w:pPr>
            <w:r>
              <w:rPr>
                <w:rFonts w:ascii="Calibri" w:hAnsi="Calibri"/>
                <w:b w:val="0"/>
                <w:i w:val="0"/>
                <w:color w:val="333333"/>
                <w:sz w:val="17"/>
              </w:rPr>
              <w:t>R12</w:t>
            </w:r>
          </w:p>
        </w:tc>
        <w:tc>
          <w:tcPr>
            <w:tcW w:type="dxa" w:w="2835"/>
            <w:shd w:val="clear" w:fill="F2F6FA"/>
          </w:tcPr>
          <w:p>
            <w:pPr>
              <w:spacing w:before="40" w:after="40"/>
            </w:pPr>
            <w:r>
              <w:rPr>
                <w:rFonts w:ascii="Calibri" w:hAnsi="Calibri"/>
                <w:b/>
                <w:i w:val="0"/>
                <w:color w:val="333333"/>
                <w:sz w:val="17"/>
              </w:rPr>
              <w:t>Mobile Money payments</w:t>
            </w:r>
          </w:p>
        </w:tc>
        <w:tc>
          <w:tcPr>
            <w:tcW w:type="dxa" w:w="2835"/>
            <w:shd w:val="clear" w:fill="F2F6FA"/>
          </w:tcPr>
          <w:p>
            <w:pPr>
              <w:spacing w:before="40" w:after="40"/>
            </w:pPr>
            <w:r>
              <w:rPr>
                <w:rFonts w:ascii="Calibri" w:hAnsi="Calibri"/>
                <w:b w:val="0"/>
                <w:i w:val="0"/>
                <w:color w:val="333333"/>
                <w:sz w:val="17"/>
              </w:rPr>
              <w:t>E-mail §4</w:t>
            </w:r>
          </w:p>
        </w:tc>
        <w:tc>
          <w:tcPr>
            <w:tcW w:type="dxa" w:w="2835"/>
            <w:shd w:val="clear" w:fill="F2F6FA"/>
          </w:tcPr>
          <w:p>
            <w:pPr>
              <w:spacing w:before="40" w:after="40"/>
            </w:pPr>
            <w:r>
              <w:rPr>
                <w:rFonts w:ascii="Calibri" w:hAnsi="Calibri"/>
                <w:b w:val="0"/>
                <w:i w:val="0"/>
                <w:color w:val="333333"/>
                <w:sz w:val="17"/>
              </w:rPr>
              <w:t>Payment gateway abstraction; Orange Money / Moov Money, direct or via aggregator</w:t>
            </w:r>
          </w:p>
        </w:tc>
      </w:tr>
      <w:tr>
        <w:tc>
          <w:tcPr>
            <w:tcW w:type="dxa" w:w="907"/>
          </w:tcPr>
          <w:p>
            <w:pPr>
              <w:spacing w:before="40" w:after="40"/>
            </w:pPr>
            <w:r>
              <w:rPr>
                <w:rFonts w:ascii="Calibri" w:hAnsi="Calibri"/>
                <w:b w:val="0"/>
                <w:i w:val="0"/>
                <w:color w:val="333333"/>
                <w:sz w:val="17"/>
              </w:rPr>
              <w:t>R13</w:t>
            </w:r>
          </w:p>
        </w:tc>
        <w:tc>
          <w:tcPr>
            <w:tcW w:type="dxa" w:w="2835"/>
          </w:tcPr>
          <w:p>
            <w:pPr>
              <w:spacing w:before="40" w:after="40"/>
            </w:pPr>
            <w:r>
              <w:rPr>
                <w:rFonts w:ascii="Calibri" w:hAnsi="Calibri"/>
                <w:b w:val="0"/>
                <w:i w:val="0"/>
                <w:color w:val="333333"/>
                <w:sz w:val="17"/>
              </w:rPr>
              <w:t>Technical architecture documentation</w:t>
            </w:r>
          </w:p>
        </w:tc>
        <w:tc>
          <w:tcPr>
            <w:tcW w:type="dxa" w:w="2835"/>
          </w:tcPr>
          <w:p>
            <w:pPr>
              <w:spacing w:before="40" w:after="40"/>
            </w:pPr>
            <w:r>
              <w:rPr>
                <w:rFonts w:ascii="Calibri" w:hAnsi="Calibri"/>
                <w:b w:val="0"/>
                <w:i w:val="0"/>
                <w:color w:val="333333"/>
                <w:sz w:val="17"/>
              </w:rPr>
              <w:t>E-mail §2</w:t>
            </w:r>
          </w:p>
        </w:tc>
        <w:tc>
          <w:tcPr>
            <w:tcW w:type="dxa" w:w="2835"/>
          </w:tcPr>
          <w:p>
            <w:pPr>
              <w:spacing w:before="40" w:after="40"/>
            </w:pPr>
            <w:r>
              <w:rPr>
                <w:rFonts w:ascii="Calibri" w:hAnsi="Calibri"/>
                <w:b w:val="0"/>
                <w:i w:val="0"/>
                <w:color w:val="333333"/>
                <w:sz w:val="17"/>
              </w:rPr>
              <w:t>This document</w:t>
            </w:r>
          </w:p>
        </w:tc>
      </w:tr>
      <w:tr>
        <w:tc>
          <w:tcPr>
            <w:tcW w:type="dxa" w:w="907"/>
            <w:shd w:val="clear" w:fill="F2F6FA"/>
          </w:tcPr>
          <w:p>
            <w:pPr>
              <w:spacing w:before="40" w:after="40"/>
            </w:pPr>
            <w:r>
              <w:rPr>
                <w:rFonts w:ascii="Calibri" w:hAnsi="Calibri"/>
                <w:b w:val="0"/>
                <w:i w:val="0"/>
                <w:color w:val="333333"/>
                <w:sz w:val="17"/>
              </w:rPr>
              <w:t>R14</w:t>
            </w:r>
          </w:p>
        </w:tc>
        <w:tc>
          <w:tcPr>
            <w:tcW w:type="dxa" w:w="2835"/>
            <w:shd w:val="clear" w:fill="F2F6FA"/>
          </w:tcPr>
          <w:p>
            <w:pPr>
              <w:spacing w:before="40" w:after="40"/>
            </w:pPr>
            <w:r>
              <w:rPr>
                <w:rFonts w:ascii="Calibri" w:hAnsi="Calibri"/>
                <w:b w:val="0"/>
                <w:i w:val="0"/>
                <w:color w:val="333333"/>
                <w:sz w:val="17"/>
              </w:rPr>
              <w:t>Security documentation</w:t>
            </w:r>
          </w:p>
        </w:tc>
        <w:tc>
          <w:tcPr>
            <w:tcW w:type="dxa" w:w="2835"/>
            <w:shd w:val="clear" w:fill="F2F6FA"/>
          </w:tcPr>
          <w:p>
            <w:pPr>
              <w:spacing w:before="40" w:after="40"/>
            </w:pPr>
            <w:r>
              <w:rPr>
                <w:rFonts w:ascii="Calibri" w:hAnsi="Calibri"/>
                <w:b w:val="0"/>
                <w:i w:val="0"/>
                <w:color w:val="333333"/>
                <w:sz w:val="17"/>
              </w:rPr>
              <w:t>E-mail §2</w:t>
            </w:r>
          </w:p>
        </w:tc>
        <w:tc>
          <w:tcPr>
            <w:tcW w:type="dxa" w:w="2835"/>
            <w:shd w:val="clear" w:fill="F2F6FA"/>
          </w:tcPr>
          <w:p>
            <w:pPr>
              <w:spacing w:before="40" w:after="40"/>
            </w:pPr>
            <w:r>
              <w:rPr>
                <w:rFonts w:ascii="Calibri" w:hAnsi="Calibri"/>
                <w:b w:val="0"/>
                <w:i w:val="0"/>
                <w:color w:val="333333"/>
                <w:sz w:val="17"/>
              </w:rPr>
              <w:t>Document 2</w:t>
            </w:r>
          </w:p>
        </w:tc>
      </w:tr>
      <w:tr>
        <w:tc>
          <w:tcPr>
            <w:tcW w:type="dxa" w:w="907"/>
          </w:tcPr>
          <w:p>
            <w:pPr>
              <w:spacing w:before="40" w:after="40"/>
            </w:pPr>
            <w:r>
              <w:rPr>
                <w:rFonts w:ascii="Calibri" w:hAnsi="Calibri"/>
                <w:b w:val="0"/>
                <w:i w:val="0"/>
                <w:color w:val="333333"/>
                <w:sz w:val="17"/>
              </w:rPr>
              <w:t>R15</w:t>
            </w:r>
          </w:p>
        </w:tc>
        <w:tc>
          <w:tcPr>
            <w:tcW w:type="dxa" w:w="2835"/>
          </w:tcPr>
          <w:p>
            <w:pPr>
              <w:spacing w:before="40" w:after="40"/>
            </w:pPr>
            <w:r>
              <w:rPr>
                <w:rFonts w:ascii="Calibri" w:hAnsi="Calibri"/>
                <w:b w:val="0"/>
                <w:i w:val="0"/>
                <w:color w:val="333333"/>
                <w:sz w:val="17"/>
              </w:rPr>
              <w:t>User guide per profile</w:t>
            </w:r>
          </w:p>
        </w:tc>
        <w:tc>
          <w:tcPr>
            <w:tcW w:type="dxa" w:w="2835"/>
          </w:tcPr>
          <w:p>
            <w:pPr>
              <w:spacing w:before="40" w:after="40"/>
            </w:pPr>
            <w:r>
              <w:rPr>
                <w:rFonts w:ascii="Calibri" w:hAnsi="Calibri"/>
                <w:b w:val="0"/>
                <w:i w:val="0"/>
                <w:color w:val="333333"/>
                <w:sz w:val="17"/>
              </w:rPr>
              <w:t>E-mail §3</w:t>
            </w:r>
          </w:p>
        </w:tc>
        <w:tc>
          <w:tcPr>
            <w:tcW w:type="dxa" w:w="2835"/>
          </w:tcPr>
          <w:p>
            <w:pPr>
              <w:spacing w:before="40" w:after="40"/>
            </w:pPr>
            <w:r>
              <w:rPr>
                <w:rFonts w:ascii="Calibri" w:hAnsi="Calibri"/>
                <w:b w:val="0"/>
                <w:i w:val="0"/>
                <w:color w:val="333333"/>
                <w:sz w:val="17"/>
              </w:rPr>
              <w:t>Document 3</w:t>
            </w:r>
          </w:p>
        </w:tc>
      </w:tr>
      <w:tr>
        <w:tc>
          <w:tcPr>
            <w:tcW w:type="dxa" w:w="907"/>
            <w:shd w:val="clear" w:fill="F2F6FA"/>
          </w:tcPr>
          <w:p>
            <w:pPr>
              <w:spacing w:before="40" w:after="40"/>
            </w:pPr>
            <w:r>
              <w:rPr>
                <w:rFonts w:ascii="Calibri" w:hAnsi="Calibri"/>
                <w:b w:val="0"/>
                <w:i w:val="0"/>
                <w:color w:val="333333"/>
                <w:sz w:val="17"/>
              </w:rPr>
              <w:t>R16</w:t>
            </w:r>
          </w:p>
        </w:tc>
        <w:tc>
          <w:tcPr>
            <w:tcW w:type="dxa" w:w="2835"/>
            <w:shd w:val="clear" w:fill="F2F6FA"/>
          </w:tcPr>
          <w:p>
            <w:pPr>
              <w:spacing w:before="40" w:after="40"/>
            </w:pPr>
            <w:r>
              <w:rPr>
                <w:rFonts w:ascii="Calibri" w:hAnsi="Calibri"/>
                <w:b w:val="0"/>
                <w:i w:val="0"/>
                <w:color w:val="333333"/>
                <w:sz w:val="17"/>
              </w:rPr>
              <w:t>Initial deployment before end September 2026; production launch by November 2026</w:t>
            </w:r>
          </w:p>
        </w:tc>
        <w:tc>
          <w:tcPr>
            <w:tcW w:type="dxa" w:w="2835"/>
            <w:shd w:val="clear" w:fill="F2F6FA"/>
          </w:tcPr>
          <w:p>
            <w:pPr>
              <w:spacing w:before="40" w:after="40"/>
            </w:pPr>
            <w:r>
              <w:rPr>
                <w:rFonts w:ascii="Calibri" w:hAnsi="Calibri"/>
                <w:b w:val="0"/>
                <w:i w:val="0"/>
                <w:color w:val="333333"/>
                <w:sz w:val="17"/>
              </w:rPr>
              <w:t>E-mail §5</w:t>
            </w:r>
          </w:p>
        </w:tc>
        <w:tc>
          <w:tcPr>
            <w:tcW w:type="dxa" w:w="2835"/>
            <w:shd w:val="clear" w:fill="F2F6FA"/>
          </w:tcPr>
          <w:p>
            <w:pPr>
              <w:spacing w:before="40" w:after="40"/>
            </w:pPr>
            <w:r>
              <w:rPr>
                <w:rFonts w:ascii="Calibri" w:hAnsi="Calibri"/>
                <w:b w:val="0"/>
                <w:i w:val="0"/>
                <w:color w:val="333333"/>
                <w:sz w:val="17"/>
              </w:rPr>
              <w:t>Deployment plan and phasing — Document 4; drives the "reuse first" architectural stance in section 4</w:t>
            </w:r>
          </w:p>
        </w:tc>
      </w:tr>
    </w:tbl>
    <w:p>
      <w:pPr>
        <w:spacing w:after="40"/>
      </w:pPr>
    </w:p>
    <w:p>
      <w:pPr>
        <w:pStyle w:val="Heading2"/>
        <w:spacing w:before="280" w:after="80"/>
        <w:keepNext/>
      </w:pPr>
      <w:bookmarkStart w:id="106" w:name="_Toc_s005"/>
      <w:r>
        <w:rPr>
          <w:rFonts w:ascii="Calibri" w:hAnsi="Calibri"/>
          <w:b/>
          <w:color w:val="1B3A5C"/>
          <w:sz w:val="24"/>
        </w:rPr>
        <w:t>2.1 A note on why the September date is achievable</w:t>
      </w:r>
      <w:bookmarkEnd w:id="106"/>
    </w:p>
    <w:p>
      <w:r>
        <w:rPr>
          <w:rFonts w:ascii="Calibri" w:hAnsi="Calibri"/>
          <w:b w:val="0"/>
          <w:i w:val="0"/>
          <w:color w:val="333333"/>
          <w:sz w:val="20"/>
        </w:rPr>
        <w:t xml:space="preserve">The solution is </w:t>
      </w:r>
      <w:r>
        <w:rPr>
          <w:rFonts w:ascii="Calibri" w:hAnsi="Calibri"/>
          <w:b/>
          <w:i w:val="0"/>
          <w:color w:val="333333"/>
          <w:sz w:val="20"/>
        </w:rPr>
        <w:t>not built from scratch</w:t>
      </w:r>
      <w:r>
        <w:rPr>
          <w:rFonts w:ascii="Calibri" w:hAnsi="Calibri"/>
          <w:b w:val="0"/>
          <w:i w:val="0"/>
          <w:color w:val="333333"/>
          <w:sz w:val="20"/>
        </w:rPr>
        <w:t>. It is a customisation of an existing, in-production agency-banking platform (Android POS application + Laravel web back office) that already implements: agents, terminals, terminal-to-agent assignment, business units, roles and permissions, clients, accounts, cards with issuance and status lifecycle, transactions with costs and commissions, activity/audit logging, SMS, reporting with Excel export, and a configurable core-banking integration layer.</w:t>
      </w:r>
    </w:p>
    <w:p>
      <w:r>
        <w:rPr>
          <w:rFonts w:ascii="Calibri" w:hAnsi="Calibri"/>
          <w:b w:val="0"/>
          <w:i w:val="0"/>
          <w:color w:val="333333"/>
          <w:sz w:val="20"/>
        </w:rPr>
        <w:t xml:space="preserve">Critically, the platform already contains a </w:t>
      </w:r>
      <w:r>
        <w:rPr>
          <w:rFonts w:ascii="Calibri" w:hAnsi="Calibri"/>
          <w:b/>
          <w:i w:val="0"/>
          <w:color w:val="333333"/>
          <w:sz w:val="20"/>
        </w:rPr>
        <w:t>voluntary social-insurance module</w:t>
      </w:r>
      <w:r>
        <w:rPr>
          <w:rFonts w:ascii="Calibri" w:hAnsi="Calibri"/>
          <w:b w:val="0"/>
          <w:i w:val="0"/>
          <w:color w:val="333333"/>
          <w:sz w:val="20"/>
        </w:rPr>
        <w:t xml:space="preserve"> (CNSS voluntary insured enrolment and periodic contribution collection) whose data model is structurally identical to what SUNU needs: an enrolment record carrying agent, terminal, status, identity fields, a flexible JSON form payload and supporting documents, plus a contribution record carrying amount, reference period, payment frequency and a link back to both the enrolment and the financial transaction. SUNU's "insurance proposal → policy → premium" is the same shape as "enrolment → membership → contribution".</w:t>
      </w:r>
    </w:p>
    <w:p>
      <w:r>
        <w:rPr>
          <w:rFonts w:ascii="Calibri" w:hAnsi="Calibri"/>
          <w:b w:val="0"/>
          <w:i w:val="0"/>
          <w:color w:val="333333"/>
          <w:sz w:val="20"/>
        </w:rPr>
        <w:t xml:space="preserve">The September pilot is therefore a </w:t>
      </w:r>
      <w:r>
        <w:rPr>
          <w:rFonts w:ascii="Calibri" w:hAnsi="Calibri"/>
          <w:b/>
          <w:i w:val="0"/>
          <w:color w:val="333333"/>
          <w:sz w:val="20"/>
        </w:rPr>
        <w:t>domain adaptation of proven code</w:t>
      </w:r>
      <w:r>
        <w:rPr>
          <w:rFonts w:ascii="Calibri" w:hAnsi="Calibri"/>
          <w:b w:val="0"/>
          <w:i w:val="0"/>
          <w:color w:val="333333"/>
          <w:sz w:val="20"/>
        </w:rPr>
        <w:t>, not new construction. Section 4 states explicitly, per component, what is reused, what is extended and what is new.</w:t>
      </w:r>
    </w:p>
    <w:p>
      <w:pPr>
        <w:pStyle w:val="Heading1"/>
        <w:pageBreakBefore/>
        <w:spacing w:before="360" w:after="80"/>
        <w:keepNext/>
        <w:pBdr>
          <w:bottom w:val="single" w:sz="8" w:space="6" w:color="1B3A5C"/>
        </w:pBdr>
      </w:pPr>
      <w:bookmarkStart w:id="107" w:name="_Toc_s006"/>
      <w:r>
        <w:rPr>
          <w:rFonts w:ascii="Calibri" w:hAnsi="Calibri"/>
          <w:b/>
          <w:color w:val="1B3A5C"/>
          <w:sz w:val="30"/>
        </w:rPr>
        <w:t>3. Overall Architecture (Level 1)</w:t>
      </w:r>
      <w:bookmarkEnd w:id="107"/>
    </w:p>
    <w:p>
      <w:pPr>
        <w:pStyle w:val="Heading2"/>
        <w:spacing w:before="280" w:after="80"/>
        <w:keepNext/>
      </w:pPr>
      <w:bookmarkStart w:id="108" w:name="_Toc_s007"/>
      <w:r>
        <w:rPr>
          <w:rFonts w:ascii="Calibri" w:hAnsi="Calibri"/>
          <w:b/>
          <w:color w:val="1B3A5C"/>
          <w:sz w:val="24"/>
        </w:rPr>
        <w:t>3.1 Context view</w:t>
      </w:r>
      <w:bookmarkEnd w:id="108"/>
    </w:p>
    <w:p>
      <w:pPr>
        <w:spacing w:before="200" w:after="80"/>
        <w:jc w:val="center"/>
      </w:pPr>
      <w:r>
        <w:drawing>
          <wp:inline xmlns:a="http://schemas.openxmlformats.org/drawingml/2006/main" xmlns:pic="http://schemas.openxmlformats.org/drawingml/2006/picture">
            <wp:extent cx="5903999" cy="4031999"/>
            <wp:docPr id="2" name="Picture 2"/>
            <wp:cNvGraphicFramePr>
              <a:graphicFrameLocks noChangeAspect="1"/>
            </wp:cNvGraphicFramePr>
            <a:graphic>
              <a:graphicData uri="http://schemas.openxmlformats.org/drawingml/2006/picture">
                <pic:pic>
                  <pic:nvPicPr>
                    <pic:cNvPr id="0" name="01-system-context.png"/>
                    <pic:cNvPicPr/>
                  </pic:nvPicPr>
                  <pic:blipFill>
                    <a:blip r:embed="rId12"/>
                    <a:stretch>
                      <a:fillRect/>
                    </a:stretch>
                  </pic:blipFill>
                  <pic:spPr>
                    <a:xfrm>
                      <a:off x="0" y="0"/>
                      <a:ext cx="5903999" cy="4031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1 — System context. Solid links carry field collection; dashed links are non-blocking, so an outage on any of them stops that channel and not the collection of premiums.</w:t>
      </w:r>
    </w:p>
    <w:p>
      <w:pPr>
        <w:pStyle w:val="Heading2"/>
        <w:spacing w:before="280" w:after="80"/>
        <w:keepNext/>
      </w:pPr>
      <w:bookmarkStart w:id="109" w:name="_Toc_s008"/>
      <w:r>
        <w:rPr>
          <w:rFonts w:ascii="Calibri" w:hAnsi="Calibri"/>
          <w:b/>
          <w:color w:val="1B3A5C"/>
          <w:sz w:val="24"/>
        </w:rPr>
        <w:t>3.2 Architectural principles</w:t>
      </w:r>
      <w:bookmarkEnd w:id="109"/>
    </w:p>
    <w:p>
      <w:pPr>
        <w:spacing w:after="40"/>
        <w:ind w:left="312" w:hanging="198"/>
      </w:pPr>
      <w:r>
        <w:rPr>
          <w:rFonts w:ascii="Calibri" w:hAnsi="Calibri"/>
          <w:b/>
          <w:color w:val="2C5F8A"/>
          <w:sz w:val="20"/>
        </w:rPr>
        <w:t xml:space="preserve">1.  </w:t>
      </w:r>
      <w:r>
        <w:rPr>
          <w:rFonts w:ascii="Calibri" w:hAnsi="Calibri"/>
          <w:b/>
          <w:i w:val="0"/>
          <w:color w:val="333333"/>
          <w:sz w:val="20"/>
        </w:rPr>
        <w:t>Field-first, offline-tolerant.</w:t>
      </w:r>
      <w:r>
        <w:rPr>
          <w:rFonts w:ascii="Calibri" w:hAnsi="Calibri"/>
          <w:b w:val="0"/>
          <w:i w:val="0"/>
          <w:color w:val="333333"/>
          <w:sz w:val="20"/>
        </w:rPr>
        <w:t xml:space="preserve"> A collector in a market or a village must be able to work when the network is poor. Every field operation writes locally first, produces a printed receipt immediately, and synchronises afterwards. Loss of connectivity never loses a collection.</w:t>
      </w:r>
    </w:p>
    <w:p>
      <w:pPr>
        <w:spacing w:after="40"/>
        <w:ind w:left="312" w:hanging="198"/>
      </w:pPr>
      <w:r>
        <w:rPr>
          <w:rFonts w:ascii="Calibri" w:hAnsi="Calibri"/>
          <w:b/>
          <w:color w:val="2C5F8A"/>
          <w:sz w:val="20"/>
        </w:rPr>
        <w:t xml:space="preserve">2.  </w:t>
      </w:r>
      <w:r>
        <w:rPr>
          <w:rFonts w:ascii="Calibri" w:hAnsi="Calibri"/>
          <w:b/>
          <w:i w:val="0"/>
          <w:color w:val="333333"/>
          <w:sz w:val="20"/>
        </w:rPr>
        <w:t>The back office is the system of record for collection; SUNULIFE remains the system of record for the contract.</w:t>
      </w:r>
      <w:r>
        <w:rPr>
          <w:rFonts w:ascii="Calibri" w:hAnsi="Calibri"/>
          <w:b w:val="0"/>
          <w:i w:val="0"/>
          <w:color w:val="333333"/>
          <w:sz w:val="20"/>
        </w:rPr>
        <w:t xml:space="preserve"> The solution never invents a policy. It either receives it from SUNULIFE (R9) or creates a </w:t>
      </w:r>
      <w:r>
        <w:rPr>
          <w:rFonts w:ascii="Calibri" w:hAnsi="Calibri"/>
          <w:b w:val="0"/>
          <w:i/>
          <w:color w:val="333333"/>
          <w:sz w:val="20"/>
        </w:rPr>
        <w:t>proposal</w:t>
      </w:r>
      <w:r>
        <w:rPr>
          <w:rFonts w:ascii="Calibri" w:hAnsi="Calibri"/>
          <w:b w:val="0"/>
          <w:i w:val="0"/>
          <w:color w:val="333333"/>
          <w:sz w:val="20"/>
        </w:rPr>
        <w:t xml:space="preserve"> that becomes a policy once SUNULIFE confirms. This prevents two conflicting truths about a client's contract.</w:t>
      </w:r>
    </w:p>
    <w:p>
      <w:pPr>
        <w:spacing w:after="40"/>
        <w:ind w:left="312" w:hanging="198"/>
      </w:pPr>
      <w:r>
        <w:rPr>
          <w:rFonts w:ascii="Calibri" w:hAnsi="Calibri"/>
          <w:b/>
          <w:color w:val="2C5F8A"/>
          <w:sz w:val="20"/>
        </w:rPr>
        <w:t xml:space="preserve">3.  </w:t>
      </w:r>
      <w:r>
        <w:rPr>
          <w:rFonts w:ascii="Calibri" w:hAnsi="Calibri"/>
          <w:b/>
          <w:i w:val="0"/>
          <w:color w:val="333333"/>
          <w:sz w:val="20"/>
        </w:rPr>
        <w:t>Single financial spine.</w:t>
      </w:r>
      <w:r>
        <w:rPr>
          <w:rFonts w:ascii="Calibri" w:hAnsi="Calibri"/>
          <w:b w:val="0"/>
          <w:i w:val="0"/>
          <w:color w:val="333333"/>
          <w:sz w:val="20"/>
        </w:rPr>
        <w:t xml:space="preserve"> Cash, Mobile Money and card-identified collections all produce the same </w:t>
      </w:r>
      <w:r>
        <w:rPr>
          <w:rFonts w:ascii="Consolas" w:hAnsi="Consolas"/>
          <w:b w:val="0"/>
          <w:i w:val="0"/>
          <w:color w:val="1B3A5C"/>
          <w:sz w:val="19"/>
        </w:rPr>
        <w:t>transaction</w:t>
      </w:r>
      <w:r>
        <w:rPr>
          <w:rFonts w:ascii="Calibri" w:hAnsi="Calibri"/>
          <w:b w:val="0"/>
          <w:i w:val="0"/>
          <w:color w:val="333333"/>
          <w:sz w:val="20"/>
        </w:rPr>
        <w:t xml:space="preserve"> record, differing only by payment instrument. Reporting, caps, commissions and the SUNULIFE push therefore have one code path.</w:t>
      </w:r>
    </w:p>
    <w:p>
      <w:pPr>
        <w:spacing w:after="40"/>
        <w:ind w:left="312" w:hanging="198"/>
      </w:pPr>
      <w:r>
        <w:rPr>
          <w:rFonts w:ascii="Calibri" w:hAnsi="Calibri"/>
          <w:b/>
          <w:color w:val="2C5F8A"/>
          <w:sz w:val="20"/>
        </w:rPr>
        <w:t xml:space="preserve">4.  </w:t>
      </w:r>
      <w:r>
        <w:rPr>
          <w:rFonts w:ascii="Calibri" w:hAnsi="Calibri"/>
          <w:b/>
          <w:i w:val="0"/>
          <w:color w:val="333333"/>
          <w:sz w:val="20"/>
        </w:rPr>
        <w:t>Integration behind adapters.</w:t>
      </w:r>
      <w:r>
        <w:rPr>
          <w:rFonts w:ascii="Calibri" w:hAnsi="Calibri"/>
          <w:b w:val="0"/>
          <w:i w:val="0"/>
          <w:color w:val="333333"/>
          <w:sz w:val="20"/>
        </w:rPr>
        <w:t xml:space="preserve"> SUNULIFE, each Mobile Money provider and the SMS gateway sit behind an internal interface. Changing provider, or SUNULIFE changing its API, is a configuration and adapter change, not a redesign. The platform already applies this pattern for core-banking systems (configurable driver + per-institution credentials + field mapping), and SUNULIFE reuses it.</w:t>
      </w:r>
    </w:p>
    <w:p>
      <w:pPr>
        <w:spacing w:after="40"/>
        <w:ind w:left="312" w:hanging="198"/>
      </w:pPr>
      <w:r>
        <w:rPr>
          <w:rFonts w:ascii="Calibri" w:hAnsi="Calibri"/>
          <w:b/>
          <w:color w:val="2C5F8A"/>
          <w:sz w:val="20"/>
        </w:rPr>
        <w:t xml:space="preserve">5.  </w:t>
      </w:r>
      <w:r>
        <w:rPr>
          <w:rFonts w:ascii="Calibri" w:hAnsi="Calibri"/>
          <w:b/>
          <w:i w:val="0"/>
          <w:color w:val="333333"/>
          <w:sz w:val="20"/>
        </w:rPr>
        <w:t>Everything attributable.</w:t>
      </w:r>
      <w:r>
        <w:rPr>
          <w:rFonts w:ascii="Calibri" w:hAnsi="Calibri"/>
          <w:b w:val="0"/>
          <w:i w:val="0"/>
          <w:color w:val="333333"/>
          <w:sz w:val="20"/>
        </w:rPr>
        <w:t xml:space="preserve"> Every subscription, collection, pay-in and card issuance carries agent, terminal, timestamp and — where the device permits — GPS coordinates. This is both a TdR requirement and the foundation of fraud control.</w:t>
      </w:r>
    </w:p>
    <w:p>
      <w:pPr>
        <w:spacing w:after="40"/>
        <w:ind w:left="312" w:hanging="198"/>
      </w:pPr>
      <w:r>
        <w:rPr>
          <w:rFonts w:ascii="Calibri" w:hAnsi="Calibri"/>
          <w:b/>
          <w:color w:val="2C5F8A"/>
          <w:sz w:val="20"/>
        </w:rPr>
        <w:t xml:space="preserve">6.  </w:t>
      </w:r>
      <w:r>
        <w:rPr>
          <w:rFonts w:ascii="Calibri" w:hAnsi="Calibri"/>
          <w:b/>
          <w:i w:val="0"/>
          <w:color w:val="333333"/>
          <w:sz w:val="20"/>
        </w:rPr>
        <w:t>Degrade, don't stop.</w:t>
      </w:r>
      <w:r>
        <w:rPr>
          <w:rFonts w:ascii="Calibri" w:hAnsi="Calibri"/>
          <w:b w:val="0"/>
          <w:i w:val="0"/>
          <w:color w:val="333333"/>
          <w:sz w:val="20"/>
        </w:rPr>
        <w:t xml:space="preserve"> If SUNULIFE is unreachable, collection continues and the Excel export of TdR Need 2 remains available. If Mobile Money is down, cash collection continues. No external dependency can halt premium collection.</w:t>
      </w:r>
    </w:p>
    <w:p>
      <w:pPr>
        <w:pStyle w:val="Heading2"/>
        <w:spacing w:before="280" w:after="80"/>
        <w:keepNext/>
      </w:pPr>
      <w:bookmarkStart w:id="110" w:name="_Toc_s009"/>
      <w:r>
        <w:rPr>
          <w:rFonts w:ascii="Calibri" w:hAnsi="Calibri"/>
          <w:b/>
          <w:color w:val="1B3A5C"/>
          <w:sz w:val="24"/>
        </w:rPr>
        <w:t>3.3 Technology stack</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Layer</w:t>
            </w:r>
          </w:p>
        </w:tc>
        <w:tc>
          <w:tcPr>
            <w:tcW w:type="dxa" w:w="3249"/>
            <w:shd w:val="clear" w:fill="1B3A5C"/>
          </w:tcPr>
          <w:p>
            <w:pPr>
              <w:spacing w:before="60" w:after="60"/>
            </w:pPr>
            <w:r>
              <w:rPr>
                <w:rFonts w:ascii="Calibri" w:hAnsi="Calibri"/>
                <w:b/>
                <w:color w:val="FFFFFF"/>
                <w:sz w:val="17"/>
              </w:rPr>
              <w:t>Technology</w:t>
            </w:r>
          </w:p>
        </w:tc>
        <w:tc>
          <w:tcPr>
            <w:tcW w:type="dxa" w:w="3249"/>
            <w:shd w:val="clear" w:fill="1B3A5C"/>
          </w:tcPr>
          <w:p>
            <w:pPr>
              <w:spacing w:before="60" w:after="60"/>
            </w:pPr>
            <w:r>
              <w:rPr>
                <w:rFonts w:ascii="Calibri" w:hAnsi="Calibri"/>
                <w:b/>
                <w:color w:val="FFFFFF"/>
                <w:sz w:val="17"/>
              </w:rPr>
              <w:t>Rationale</w:t>
            </w:r>
          </w:p>
        </w:tc>
      </w:tr>
      <w:tr>
        <w:tc>
          <w:tcPr>
            <w:tcW w:type="dxa" w:w="3249"/>
          </w:tcPr>
          <w:p>
            <w:pPr>
              <w:spacing w:before="40" w:after="40"/>
            </w:pPr>
            <w:r>
              <w:rPr>
                <w:rFonts w:ascii="Calibri" w:hAnsi="Calibri"/>
                <w:b w:val="0"/>
                <w:i w:val="0"/>
                <w:color w:val="333333"/>
                <w:sz w:val="17"/>
              </w:rPr>
              <w:t>POS application</w:t>
            </w:r>
          </w:p>
        </w:tc>
        <w:tc>
          <w:tcPr>
            <w:tcW w:type="dxa" w:w="3249"/>
          </w:tcPr>
          <w:p>
            <w:pPr>
              <w:spacing w:before="40" w:after="40"/>
            </w:pPr>
            <w:r>
              <w:rPr>
                <w:rFonts w:ascii="Calibri" w:hAnsi="Calibri"/>
                <w:b w:val="0"/>
                <w:i w:val="0"/>
                <w:color w:val="333333"/>
                <w:sz w:val="17"/>
              </w:rPr>
              <w:t>Android (Java), min SDK 21; pilot terminal Telpo F20 (Telpo / Feitian POS hardware)</w:t>
            </w:r>
          </w:p>
        </w:tc>
        <w:tc>
          <w:tcPr>
            <w:tcW w:type="dxa" w:w="3249"/>
          </w:tcPr>
          <w:p>
            <w:pPr>
              <w:spacing w:before="40" w:after="40"/>
            </w:pPr>
            <w:r>
              <w:rPr>
                <w:rFonts w:ascii="Calibri" w:hAnsi="Calibri"/>
                <w:b w:val="0"/>
                <w:i w:val="0"/>
                <w:color w:val="333333"/>
                <w:sz w:val="17"/>
              </w:rPr>
              <w:t>Matches the terminals in the TdR; existing production codebase; native access to NFC reader, thermal printer, camera, GPS</w:t>
            </w:r>
          </w:p>
        </w:tc>
      </w:tr>
      <w:tr>
        <w:tc>
          <w:tcPr>
            <w:tcW w:type="dxa" w:w="3249"/>
            <w:shd w:val="clear" w:fill="F2F6FA"/>
          </w:tcPr>
          <w:p>
            <w:pPr>
              <w:spacing w:before="40" w:after="40"/>
            </w:pPr>
            <w:r>
              <w:rPr>
                <w:rFonts w:ascii="Calibri" w:hAnsi="Calibri"/>
                <w:b w:val="0"/>
                <w:i w:val="0"/>
                <w:color w:val="333333"/>
                <w:sz w:val="17"/>
              </w:rPr>
              <w:t>POS local storage</w:t>
            </w:r>
          </w:p>
        </w:tc>
        <w:tc>
          <w:tcPr>
            <w:tcW w:type="dxa" w:w="3249"/>
            <w:shd w:val="clear" w:fill="F2F6FA"/>
          </w:tcPr>
          <w:p>
            <w:pPr>
              <w:spacing w:before="40" w:after="40"/>
            </w:pPr>
            <w:r>
              <w:rPr>
                <w:rFonts w:ascii="Calibri" w:hAnsi="Calibri"/>
                <w:b w:val="0"/>
                <w:i w:val="0"/>
                <w:color w:val="333333"/>
                <w:sz w:val="17"/>
              </w:rPr>
              <w:t>SQLite</w:t>
            </w:r>
          </w:p>
        </w:tc>
        <w:tc>
          <w:tcPr>
            <w:tcW w:type="dxa" w:w="3249"/>
            <w:shd w:val="clear" w:fill="F2F6FA"/>
          </w:tcPr>
          <w:p>
            <w:pPr>
              <w:spacing w:before="40" w:after="40"/>
            </w:pPr>
            <w:r>
              <w:rPr>
                <w:rFonts w:ascii="Calibri" w:hAnsi="Calibri"/>
                <w:b w:val="0"/>
                <w:i w:val="0"/>
                <w:color w:val="333333"/>
                <w:sz w:val="17"/>
              </w:rPr>
              <w:t>Offline queue and local caches</w:t>
            </w:r>
          </w:p>
        </w:tc>
      </w:tr>
      <w:tr>
        <w:tc>
          <w:tcPr>
            <w:tcW w:type="dxa" w:w="3249"/>
          </w:tcPr>
          <w:p>
            <w:pPr>
              <w:spacing w:before="40" w:after="40"/>
            </w:pPr>
            <w:r>
              <w:rPr>
                <w:rFonts w:ascii="Calibri" w:hAnsi="Calibri"/>
                <w:b w:val="0"/>
                <w:i w:val="0"/>
                <w:color w:val="333333"/>
                <w:sz w:val="17"/>
              </w:rPr>
              <w:t>Back-office application</w:t>
            </w:r>
          </w:p>
        </w:tc>
        <w:tc>
          <w:tcPr>
            <w:tcW w:type="dxa" w:w="3249"/>
          </w:tcPr>
          <w:p>
            <w:pPr>
              <w:spacing w:before="40" w:after="40"/>
            </w:pPr>
            <w:r>
              <w:rPr>
                <w:rFonts w:ascii="Calibri" w:hAnsi="Calibri"/>
                <w:b w:val="0"/>
                <w:i w:val="0"/>
                <w:color w:val="333333"/>
                <w:sz w:val="17"/>
              </w:rPr>
              <w:t>PHP 8 / Laravel 9, Blade UI</w:t>
            </w:r>
          </w:p>
        </w:tc>
        <w:tc>
          <w:tcPr>
            <w:tcW w:type="dxa" w:w="3249"/>
          </w:tcPr>
          <w:p>
            <w:pPr>
              <w:spacing w:before="40" w:after="40"/>
            </w:pPr>
            <w:r>
              <w:rPr>
                <w:rFonts w:ascii="Calibri" w:hAnsi="Calibri"/>
                <w:b w:val="0"/>
                <w:i w:val="0"/>
                <w:color w:val="333333"/>
                <w:sz w:val="17"/>
              </w:rPr>
              <w:t>Existing production codebase; rapid customisation; large maintenance pool in the region</w:t>
            </w:r>
          </w:p>
        </w:tc>
      </w:tr>
      <w:tr>
        <w:tc>
          <w:tcPr>
            <w:tcW w:type="dxa" w:w="3249"/>
            <w:shd w:val="clear" w:fill="F2F6FA"/>
          </w:tcPr>
          <w:p>
            <w:pPr>
              <w:spacing w:before="40" w:after="40"/>
            </w:pPr>
            <w:r>
              <w:rPr>
                <w:rFonts w:ascii="Calibri" w:hAnsi="Calibri"/>
                <w:b w:val="0"/>
                <w:i w:val="0"/>
                <w:color w:val="333333"/>
                <w:sz w:val="17"/>
              </w:rPr>
              <w:t>Database</w:t>
            </w:r>
          </w:p>
        </w:tc>
        <w:tc>
          <w:tcPr>
            <w:tcW w:type="dxa" w:w="3249"/>
            <w:shd w:val="clear" w:fill="F2F6FA"/>
          </w:tcPr>
          <w:p>
            <w:pPr>
              <w:spacing w:before="40" w:after="40"/>
            </w:pPr>
            <w:r>
              <w:rPr>
                <w:rFonts w:ascii="Calibri" w:hAnsi="Calibri"/>
                <w:b w:val="0"/>
                <w:i w:val="0"/>
                <w:color w:val="333333"/>
                <w:sz w:val="17"/>
              </w:rPr>
              <w:t>MySQL 8 (InnoDB)</w:t>
            </w:r>
          </w:p>
        </w:tc>
        <w:tc>
          <w:tcPr>
            <w:tcW w:type="dxa" w:w="3249"/>
            <w:shd w:val="clear" w:fill="F2F6FA"/>
          </w:tcPr>
          <w:p>
            <w:pPr>
              <w:spacing w:before="40" w:after="40"/>
            </w:pPr>
            <w:r>
              <w:rPr>
                <w:rFonts w:ascii="Calibri" w:hAnsi="Calibri"/>
                <w:b w:val="0"/>
                <w:i w:val="0"/>
                <w:color w:val="333333"/>
                <w:sz w:val="17"/>
              </w:rPr>
              <w:t>Transactional integrity, proven at this scale</w:t>
            </w:r>
          </w:p>
        </w:tc>
      </w:tr>
      <w:tr>
        <w:tc>
          <w:tcPr>
            <w:tcW w:type="dxa" w:w="3249"/>
          </w:tcPr>
          <w:p>
            <w:pPr>
              <w:spacing w:before="40" w:after="40"/>
            </w:pPr>
            <w:r>
              <w:rPr>
                <w:rFonts w:ascii="Calibri" w:hAnsi="Calibri"/>
                <w:b w:val="0"/>
                <w:i w:val="0"/>
                <w:color w:val="333333"/>
                <w:sz w:val="17"/>
              </w:rPr>
              <w:t>API style</w:t>
            </w:r>
          </w:p>
        </w:tc>
        <w:tc>
          <w:tcPr>
            <w:tcW w:type="dxa" w:w="3249"/>
          </w:tcPr>
          <w:p>
            <w:pPr>
              <w:spacing w:before="40" w:after="40"/>
            </w:pPr>
            <w:r>
              <w:rPr>
                <w:rFonts w:ascii="Calibri" w:hAnsi="Calibri"/>
                <w:b w:val="0"/>
                <w:i w:val="0"/>
                <w:color w:val="333333"/>
                <w:sz w:val="17"/>
              </w:rPr>
              <w:t>REST / JSON over HTTPS</w:t>
            </w:r>
          </w:p>
        </w:tc>
        <w:tc>
          <w:tcPr>
            <w:tcW w:type="dxa" w:w="3249"/>
          </w:tcPr>
          <w:p>
            <w:pPr>
              <w:spacing w:before="40" w:after="40"/>
            </w:pPr>
            <w:r>
              <w:rPr>
                <w:rFonts w:ascii="Calibri" w:hAnsi="Calibri"/>
                <w:b w:val="0"/>
                <w:i w:val="0"/>
                <w:color w:val="333333"/>
                <w:sz w:val="17"/>
              </w:rPr>
              <w:t>Simplicity, debuggability, POS friendliness</w:t>
            </w:r>
          </w:p>
        </w:tc>
      </w:tr>
      <w:tr>
        <w:tc>
          <w:tcPr>
            <w:tcW w:type="dxa" w:w="3249"/>
            <w:shd w:val="clear" w:fill="F2F6FA"/>
          </w:tcPr>
          <w:p>
            <w:pPr>
              <w:spacing w:before="40" w:after="40"/>
            </w:pPr>
            <w:r>
              <w:rPr>
                <w:rFonts w:ascii="Calibri" w:hAnsi="Calibri"/>
                <w:b w:val="0"/>
                <w:i w:val="0"/>
                <w:color w:val="333333"/>
                <w:sz w:val="17"/>
              </w:rPr>
              <w:t>Async processing</w:t>
            </w:r>
          </w:p>
        </w:tc>
        <w:tc>
          <w:tcPr>
            <w:tcW w:type="dxa" w:w="3249"/>
            <w:shd w:val="clear" w:fill="F2F6FA"/>
          </w:tcPr>
          <w:p>
            <w:pPr>
              <w:spacing w:before="40" w:after="40"/>
            </w:pPr>
            <w:r>
              <w:rPr>
                <w:rFonts w:ascii="Calibri" w:hAnsi="Calibri"/>
                <w:b w:val="0"/>
                <w:i w:val="0"/>
                <w:color w:val="333333"/>
                <w:sz w:val="17"/>
              </w:rPr>
              <w:t>Laravel queues (database driver, Redis optional)</w:t>
            </w:r>
          </w:p>
        </w:tc>
        <w:tc>
          <w:tcPr>
            <w:tcW w:type="dxa" w:w="3249"/>
            <w:shd w:val="clear" w:fill="F2F6FA"/>
          </w:tcPr>
          <w:p>
            <w:pPr>
              <w:spacing w:before="40" w:after="40"/>
            </w:pPr>
            <w:r>
              <w:rPr>
                <w:rFonts w:ascii="Calibri" w:hAnsi="Calibri"/>
                <w:b w:val="0"/>
                <w:i w:val="0"/>
                <w:color w:val="333333"/>
                <w:sz w:val="17"/>
              </w:rPr>
              <w:t>SUNULIFE sync, SMS, exports, image processing off the request path</w:t>
            </w:r>
          </w:p>
        </w:tc>
      </w:tr>
      <w:tr>
        <w:tc>
          <w:tcPr>
            <w:tcW w:type="dxa" w:w="3249"/>
          </w:tcPr>
          <w:p>
            <w:pPr>
              <w:spacing w:before="40" w:after="40"/>
            </w:pPr>
            <w:r>
              <w:rPr>
                <w:rFonts w:ascii="Calibri" w:hAnsi="Calibri"/>
                <w:b w:val="0"/>
                <w:i w:val="0"/>
                <w:color w:val="333333"/>
                <w:sz w:val="17"/>
              </w:rPr>
              <w:t>Reporting/export</w:t>
            </w:r>
          </w:p>
        </w:tc>
        <w:tc>
          <w:tcPr>
            <w:tcW w:type="dxa" w:w="3249"/>
          </w:tcPr>
          <w:p>
            <w:pPr>
              <w:spacing w:before="40" w:after="40"/>
            </w:pPr>
            <w:r>
              <w:rPr>
                <w:rFonts w:ascii="Calibri" w:hAnsi="Calibri"/>
                <w:b w:val="0"/>
                <w:i w:val="0"/>
                <w:color w:val="333333"/>
                <w:sz w:val="17"/>
              </w:rPr>
              <w:t>Server-side generation to XLSX/CSV</w:t>
            </w:r>
          </w:p>
        </w:tc>
        <w:tc>
          <w:tcPr>
            <w:tcW w:type="dxa" w:w="3249"/>
          </w:tcPr>
          <w:p>
            <w:pPr>
              <w:spacing w:before="40" w:after="40"/>
            </w:pPr>
            <w:r>
              <w:rPr>
                <w:rFonts w:ascii="Calibri" w:hAnsi="Calibri"/>
                <w:b w:val="0"/>
                <w:i w:val="0"/>
                <w:color w:val="333333"/>
                <w:sz w:val="17"/>
              </w:rPr>
              <w:t>TdR Need 2 explicitly requires Excel</w:t>
            </w:r>
          </w:p>
        </w:tc>
      </w:tr>
      <w:tr>
        <w:tc>
          <w:tcPr>
            <w:tcW w:type="dxa" w:w="3249"/>
            <w:shd w:val="clear" w:fill="F2F6FA"/>
          </w:tcPr>
          <w:p>
            <w:pPr>
              <w:spacing w:before="40" w:after="40"/>
            </w:pPr>
            <w:r>
              <w:rPr>
                <w:rFonts w:ascii="Calibri" w:hAnsi="Calibri"/>
                <w:b w:val="0"/>
                <w:i w:val="0"/>
                <w:color w:val="333333"/>
                <w:sz w:val="17"/>
              </w:rPr>
              <w:t>Card</w:t>
            </w:r>
          </w:p>
        </w:tc>
        <w:tc>
          <w:tcPr>
            <w:tcW w:type="dxa" w:w="3249"/>
            <w:shd w:val="clear" w:fill="F2F6FA"/>
          </w:tcPr>
          <w:p>
            <w:pPr>
              <w:spacing w:before="40" w:after="40"/>
            </w:pPr>
            <w:r>
              <w:rPr>
                <w:rFonts w:ascii="Calibri" w:hAnsi="Calibri"/>
                <w:b w:val="0"/>
                <w:i w:val="0"/>
                <w:color w:val="333333"/>
                <w:sz w:val="17"/>
              </w:rPr>
              <w:t>Contactless/NFC card, and magnetic-stripe personalisation as specified by the TdR</w:t>
            </w:r>
          </w:p>
        </w:tc>
        <w:tc>
          <w:tcPr>
            <w:tcW w:type="dxa" w:w="3249"/>
            <w:shd w:val="clear" w:fill="F2F6FA"/>
          </w:tcPr>
          <w:p>
            <w:pPr>
              <w:spacing w:before="40" w:after="40"/>
            </w:pPr>
            <w:r>
              <w:rPr>
                <w:rFonts w:ascii="Calibri" w:hAnsi="Calibri"/>
                <w:b w:val="0"/>
                <w:i w:val="0"/>
                <w:color w:val="333333"/>
                <w:sz w:val="17"/>
              </w:rPr>
              <w:t>Section 7</w:t>
            </w:r>
          </w:p>
        </w:tc>
      </w:tr>
      <w:tr>
        <w:tc>
          <w:tcPr>
            <w:tcW w:type="dxa" w:w="3249"/>
          </w:tcPr>
          <w:p>
            <w:pPr>
              <w:spacing w:before="40" w:after="40"/>
            </w:pPr>
            <w:r>
              <w:rPr>
                <w:rFonts w:ascii="Calibri" w:hAnsi="Calibri"/>
                <w:b w:val="0"/>
                <w:i w:val="0"/>
                <w:color w:val="333333"/>
                <w:sz w:val="17"/>
              </w:rPr>
              <w:t>Virtual card</w:t>
            </w:r>
          </w:p>
        </w:tc>
        <w:tc>
          <w:tcPr>
            <w:tcW w:type="dxa" w:w="3249"/>
          </w:tcPr>
          <w:p>
            <w:pPr>
              <w:spacing w:before="40" w:after="40"/>
            </w:pPr>
            <w:r>
              <w:rPr>
                <w:rFonts w:ascii="Calibri" w:hAnsi="Calibri"/>
                <w:b w:val="0"/>
                <w:i w:val="0"/>
                <w:color w:val="333333"/>
                <w:sz w:val="17"/>
              </w:rPr>
              <w:t>Signed QR credential (JWS/HMAC)</w:t>
            </w:r>
          </w:p>
        </w:tc>
        <w:tc>
          <w:tcPr>
            <w:tcW w:type="dxa" w:w="3249"/>
          </w:tcPr>
          <w:p>
            <w:pPr>
              <w:spacing w:before="40" w:after="40"/>
            </w:pPr>
            <w:r>
              <w:rPr>
                <w:rFonts w:ascii="Calibri" w:hAnsi="Calibri"/>
                <w:b w:val="0"/>
                <w:i w:val="0"/>
                <w:color w:val="333333"/>
                <w:sz w:val="17"/>
              </w:rPr>
              <w:t>Section 7.3</w:t>
            </w:r>
          </w:p>
        </w:tc>
      </w:tr>
      <w:tr>
        <w:tc>
          <w:tcPr>
            <w:tcW w:type="dxa" w:w="3249"/>
            <w:shd w:val="clear" w:fill="F2F6FA"/>
          </w:tcPr>
          <w:p>
            <w:pPr>
              <w:spacing w:before="40" w:after="40"/>
            </w:pPr>
            <w:r>
              <w:rPr>
                <w:rFonts w:ascii="Calibri" w:hAnsi="Calibri"/>
                <w:b w:val="0"/>
                <w:i w:val="0"/>
                <w:color w:val="333333"/>
                <w:sz w:val="17"/>
              </w:rPr>
              <w:t>Hosting</w:t>
            </w:r>
          </w:p>
        </w:tc>
        <w:tc>
          <w:tcPr>
            <w:tcW w:type="dxa" w:w="3249"/>
            <w:shd w:val="clear" w:fill="F2F6FA"/>
          </w:tcPr>
          <w:p>
            <w:pPr>
              <w:spacing w:before="40" w:after="40"/>
            </w:pPr>
            <w:r>
              <w:rPr>
                <w:rFonts w:ascii="Calibri" w:hAnsi="Calibri"/>
                <w:b w:val="0"/>
                <w:i w:val="0"/>
                <w:color w:val="333333"/>
                <w:sz w:val="17"/>
              </w:rPr>
              <w:t>Linux VPS/VM. Pilot: Apache HTTP Server + PHP. Production target: Nginx + PHP-FPM behind TLS</w:t>
            </w:r>
          </w:p>
        </w:tc>
        <w:tc>
          <w:tcPr>
            <w:tcW w:type="dxa" w:w="3249"/>
            <w:shd w:val="clear" w:fill="F2F6FA"/>
          </w:tcPr>
          <w:p>
            <w:pPr>
              <w:spacing w:before="40" w:after="40"/>
            </w:pPr>
            <w:r>
              <w:rPr>
                <w:rFonts w:ascii="Calibri" w:hAnsi="Calibri"/>
                <w:b w:val="0"/>
                <w:i w:val="0"/>
                <w:color w:val="333333"/>
                <w:sz w:val="17"/>
              </w:rPr>
              <w:t>Sections 10 and 14</w:t>
            </w:r>
          </w:p>
        </w:tc>
      </w:tr>
    </w:tbl>
    <w:p>
      <w:pPr>
        <w:spacing w:after="40"/>
      </w:pPr>
    </w:p>
    <w:p>
      <w:pPr>
        <w:pStyle w:val="Heading1"/>
        <w:pageBreakBefore/>
        <w:spacing w:before="360" w:after="80"/>
        <w:keepNext/>
        <w:pBdr>
          <w:bottom w:val="single" w:sz="8" w:space="6" w:color="1B3A5C"/>
        </w:pBdr>
      </w:pPr>
      <w:bookmarkStart w:id="111" w:name="_Toc_s010"/>
      <w:r>
        <w:rPr>
          <w:rFonts w:ascii="Calibri" w:hAnsi="Calibri"/>
          <w:b/>
          <w:color w:val="1B3A5C"/>
          <w:sz w:val="30"/>
        </w:rPr>
        <w:t>4. Component Architecture (Level 2) — Reuse, Extend, Build</w:t>
      </w:r>
      <w:bookmarkEnd w:id="111"/>
    </w:p>
    <w:p>
      <w:r>
        <w:rPr>
          <w:rFonts w:ascii="Calibri" w:hAnsi="Calibri"/>
          <w:b w:val="0"/>
          <w:i w:val="0"/>
          <w:color w:val="333333"/>
          <w:sz w:val="20"/>
        </w:rPr>
        <w:t>This is the heart of the delivery plan: it states honestly, per component, what already exists.</w:t>
      </w:r>
    </w:p>
    <w:p>
      <w:pPr>
        <w:spacing w:before="200" w:after="80"/>
        <w:jc w:val="center"/>
      </w:pPr>
      <w:r>
        <w:drawing>
          <wp:inline xmlns:a="http://schemas.openxmlformats.org/drawingml/2006/main" xmlns:pic="http://schemas.openxmlformats.org/drawingml/2006/picture">
            <wp:extent cx="5903999" cy="4708799"/>
            <wp:docPr id="3" name="Picture 3"/>
            <wp:cNvGraphicFramePr>
              <a:graphicFrameLocks noChangeAspect="1"/>
            </wp:cNvGraphicFramePr>
            <a:graphic>
              <a:graphicData uri="http://schemas.openxmlformats.org/drawingml/2006/picture">
                <pic:pic>
                  <pic:nvPicPr>
                    <pic:cNvPr id="0" name="02-component-map.png"/>
                    <pic:cNvPicPr/>
                  </pic:nvPicPr>
                  <pic:blipFill>
                    <a:blip r:embed="rId13"/>
                    <a:stretch>
                      <a:fillRect/>
                    </a:stretch>
                  </pic:blipFill>
                  <pic:spPr>
                    <a:xfrm>
                      <a:off x="0" y="0"/>
                      <a:ext cx="5903999" cy="47087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2 — Component map. Teal is reused unchanged, amber is extended, rust is new build. New build is 9 of 33 components.</w:t>
      </w:r>
    </w:p>
    <w:p>
      <w:r>
        <w:rPr>
          <w:rFonts w:ascii="Calibri" w:hAnsi="Calibri"/>
          <w:b w:val="0"/>
          <w:i w:val="0"/>
          <w:color w:val="333333"/>
          <w:sz w:val="20"/>
        </w:rPr>
        <w:t xml:space="preserve">Legend: </w:t>
      </w:r>
      <w:r>
        <w:rPr>
          <w:rFonts w:ascii="Calibri" w:hAnsi="Calibri"/>
          <w:b/>
          <w:i w:val="0"/>
          <w:color w:val="333333"/>
          <w:sz w:val="20"/>
        </w:rPr>
        <w:t>[R]</w:t>
      </w:r>
      <w:r>
        <w:rPr>
          <w:rFonts w:ascii="Calibri" w:hAnsi="Calibri"/>
          <w:b w:val="0"/>
          <w:i w:val="0"/>
          <w:color w:val="333333"/>
          <w:sz w:val="20"/>
        </w:rPr>
        <w:t xml:space="preserve"> reused as-is · </w:t>
      </w:r>
      <w:r>
        <w:rPr>
          <w:rFonts w:ascii="Calibri" w:hAnsi="Calibri"/>
          <w:b/>
          <w:i w:val="0"/>
          <w:color w:val="333333"/>
          <w:sz w:val="20"/>
        </w:rPr>
        <w:t>[E]</w:t>
      </w:r>
      <w:r>
        <w:rPr>
          <w:rFonts w:ascii="Calibri" w:hAnsi="Calibri"/>
          <w:b w:val="0"/>
          <w:i w:val="0"/>
          <w:color w:val="333333"/>
          <w:sz w:val="20"/>
        </w:rPr>
        <w:t xml:space="preserve"> existing component extended · </w:t>
      </w:r>
      <w:r>
        <w:rPr>
          <w:rFonts w:ascii="Calibri" w:hAnsi="Calibri"/>
          <w:b/>
          <w:i w:val="0"/>
          <w:color w:val="333333"/>
          <w:sz w:val="20"/>
        </w:rPr>
        <w:t>[N]</w:t>
      </w:r>
      <w:r>
        <w:rPr>
          <w:rFonts w:ascii="Calibri" w:hAnsi="Calibri"/>
          <w:b w:val="0"/>
          <w:i w:val="0"/>
          <w:color w:val="333333"/>
          <w:sz w:val="20"/>
        </w:rPr>
        <w:t xml:space="preserve"> new build</w:t>
      </w:r>
    </w:p>
    <w:p>
      <w:pPr>
        <w:pStyle w:val="Heading2"/>
        <w:spacing w:before="280" w:after="80"/>
        <w:keepNext/>
      </w:pPr>
      <w:bookmarkStart w:id="112" w:name="_Toc_s011"/>
      <w:r>
        <w:rPr>
          <w:rFonts w:ascii="Calibri" w:hAnsi="Calibri"/>
          <w:b/>
          <w:color w:val="1B3A5C"/>
          <w:sz w:val="24"/>
        </w:rPr>
        <w:t>4.1 Back-office platform</w:t>
      </w:r>
      <w:bookmarkEnd w:id="11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Component</w:t>
            </w:r>
          </w:p>
        </w:tc>
        <w:tc>
          <w:tcPr>
            <w:tcW w:type="dxa" w:w="2835"/>
            <w:shd w:val="clear" w:fill="1B3A5C"/>
          </w:tcPr>
          <w:p>
            <w:pPr>
              <w:spacing w:before="60" w:after="60"/>
            </w:pPr>
            <w:r>
              <w:rPr>
                <w:rFonts w:ascii="Calibri" w:hAnsi="Calibri"/>
                <w:b/>
                <w:color w:val="FFFFFF"/>
                <w:sz w:val="17"/>
              </w:rPr>
              <w:t>Status</w:t>
            </w:r>
          </w:p>
        </w:tc>
        <w:tc>
          <w:tcPr>
            <w:tcW w:type="dxa" w:w="2835"/>
            <w:shd w:val="clear" w:fill="1B3A5C"/>
          </w:tcPr>
          <w:p>
            <w:pPr>
              <w:spacing w:before="60" w:after="60"/>
            </w:pPr>
            <w:r>
              <w:rPr>
                <w:rFonts w:ascii="Calibri" w:hAnsi="Calibri"/>
                <w:b/>
                <w:color w:val="FFFFFF"/>
                <w:sz w:val="17"/>
              </w:rPr>
              <w:t>Detail</w:t>
            </w:r>
          </w:p>
        </w:tc>
      </w:tr>
      <w:tr>
        <w:tc>
          <w:tcPr>
            <w:tcW w:type="dxa" w:w="907"/>
          </w:tcPr>
          <w:p>
            <w:pPr>
              <w:spacing w:before="40" w:after="40"/>
            </w:pPr>
            <w:r>
              <w:rPr>
                <w:rFonts w:ascii="Calibri" w:hAnsi="Calibri"/>
                <w:b w:val="0"/>
                <w:i w:val="0"/>
                <w:color w:val="333333"/>
                <w:sz w:val="17"/>
              </w:rPr>
              <w:t>B1</w:t>
            </w:r>
          </w:p>
        </w:tc>
        <w:tc>
          <w:tcPr>
            <w:tcW w:type="dxa" w:w="2835"/>
          </w:tcPr>
          <w:p>
            <w:pPr>
              <w:spacing w:before="40" w:after="40"/>
            </w:pPr>
            <w:r>
              <w:rPr>
                <w:rFonts w:ascii="Calibri" w:hAnsi="Calibri"/>
                <w:b w:val="0"/>
                <w:i w:val="0"/>
                <w:color w:val="333333"/>
                <w:sz w:val="17"/>
              </w:rPr>
              <w:t>Authentication &amp; session management</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Web login, session lifetime, password hashing</w:t>
            </w:r>
          </w:p>
        </w:tc>
      </w:tr>
      <w:tr>
        <w:tc>
          <w:tcPr>
            <w:tcW w:type="dxa" w:w="907"/>
            <w:shd w:val="clear" w:fill="F2F6FA"/>
          </w:tcPr>
          <w:p>
            <w:pPr>
              <w:spacing w:before="40" w:after="40"/>
            </w:pPr>
            <w:r>
              <w:rPr>
                <w:rFonts w:ascii="Calibri" w:hAnsi="Calibri"/>
                <w:b w:val="0"/>
                <w:i w:val="0"/>
                <w:color w:val="333333"/>
                <w:sz w:val="17"/>
              </w:rPr>
              <w:t>B2</w:t>
            </w:r>
          </w:p>
        </w:tc>
        <w:tc>
          <w:tcPr>
            <w:tcW w:type="dxa" w:w="2835"/>
            <w:shd w:val="clear" w:fill="F2F6FA"/>
          </w:tcPr>
          <w:p>
            <w:pPr>
              <w:spacing w:before="40" w:after="40"/>
            </w:pPr>
            <w:r>
              <w:rPr>
                <w:rFonts w:ascii="Calibri" w:hAnsi="Calibri"/>
                <w:b w:val="0"/>
                <w:i w:val="0"/>
                <w:color w:val="333333"/>
                <w:sz w:val="17"/>
              </w:rPr>
              <w:t>Organisation &amp; business units</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Multi-entity model; SUNU Vie Burkina Faso is a business unit; branches modelled as units</w:t>
            </w:r>
          </w:p>
        </w:tc>
      </w:tr>
      <w:tr>
        <w:tc>
          <w:tcPr>
            <w:tcW w:type="dxa" w:w="907"/>
          </w:tcPr>
          <w:p>
            <w:pPr>
              <w:spacing w:before="40" w:after="40"/>
            </w:pPr>
            <w:r>
              <w:rPr>
                <w:rFonts w:ascii="Calibri" w:hAnsi="Calibri"/>
                <w:b w:val="0"/>
                <w:i w:val="0"/>
                <w:color w:val="333333"/>
                <w:sz w:val="17"/>
              </w:rPr>
              <w:t>B3</w:t>
            </w:r>
          </w:p>
        </w:tc>
        <w:tc>
          <w:tcPr>
            <w:tcW w:type="dxa" w:w="2835"/>
          </w:tcPr>
          <w:p>
            <w:pPr>
              <w:spacing w:before="40" w:after="40"/>
            </w:pPr>
            <w:r>
              <w:rPr>
                <w:rFonts w:ascii="Calibri" w:hAnsi="Calibri"/>
                <w:b w:val="0"/>
                <w:i w:val="0"/>
                <w:color w:val="333333"/>
                <w:sz w:val="17"/>
              </w:rPr>
              <w:t>Users, roles, permissions</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Granular permission model with global and per-unit roles. Satisfies TdR Need 3 "create profiles for collectors and other users, as well as manage permissions"</w:t>
            </w:r>
          </w:p>
        </w:tc>
      </w:tr>
      <w:tr>
        <w:tc>
          <w:tcPr>
            <w:tcW w:type="dxa" w:w="907"/>
            <w:shd w:val="clear" w:fill="F2F6FA"/>
          </w:tcPr>
          <w:p>
            <w:pPr>
              <w:spacing w:before="40" w:after="40"/>
            </w:pPr>
            <w:r>
              <w:rPr>
                <w:rFonts w:ascii="Calibri" w:hAnsi="Calibri"/>
                <w:b w:val="0"/>
                <w:i w:val="0"/>
                <w:color w:val="333333"/>
                <w:sz w:val="17"/>
              </w:rPr>
              <w:t>B4</w:t>
            </w:r>
          </w:p>
        </w:tc>
        <w:tc>
          <w:tcPr>
            <w:tcW w:type="dxa" w:w="2835"/>
            <w:shd w:val="clear" w:fill="F2F6FA"/>
          </w:tcPr>
          <w:p>
            <w:pPr>
              <w:spacing w:before="40" w:after="40"/>
            </w:pPr>
            <w:r>
              <w:rPr>
                <w:rFonts w:ascii="Calibri" w:hAnsi="Calibri"/>
                <w:b w:val="0"/>
                <w:i w:val="0"/>
                <w:color w:val="333333"/>
                <w:sz w:val="17"/>
              </w:rPr>
              <w:t>Collection agents (collectors)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Agent registry with identity, photo, username, credentials, per-unit scoping. Extended with collector cap parameters (R5)</w:t>
            </w:r>
          </w:p>
        </w:tc>
      </w:tr>
      <w:tr>
        <w:tc>
          <w:tcPr>
            <w:tcW w:type="dxa" w:w="907"/>
          </w:tcPr>
          <w:p>
            <w:pPr>
              <w:spacing w:before="40" w:after="40"/>
            </w:pPr>
            <w:r>
              <w:rPr>
                <w:rFonts w:ascii="Calibri" w:hAnsi="Calibri"/>
                <w:b w:val="0"/>
                <w:i w:val="0"/>
                <w:color w:val="333333"/>
                <w:sz w:val="17"/>
              </w:rPr>
              <w:t>B5</w:t>
            </w:r>
          </w:p>
        </w:tc>
        <w:tc>
          <w:tcPr>
            <w:tcW w:type="dxa" w:w="2835"/>
          </w:tcPr>
          <w:p>
            <w:pPr>
              <w:spacing w:before="40" w:after="40"/>
            </w:pPr>
            <w:r>
              <w:rPr>
                <w:rFonts w:ascii="Calibri" w:hAnsi="Calibri"/>
                <w:b w:val="0"/>
                <w:i w:val="0"/>
                <w:color w:val="333333"/>
                <w:sz w:val="17"/>
              </w:rPr>
              <w:t>Terminal registry &amp; agent–terminal assignment</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Serial number, SIM, alias, model, assignment history. Satisfies the 15-terminal fleet management need</w:t>
            </w:r>
          </w:p>
        </w:tc>
      </w:tr>
      <w:tr>
        <w:tc>
          <w:tcPr>
            <w:tcW w:type="dxa" w:w="907"/>
            <w:shd w:val="clear" w:fill="F2F6FA"/>
          </w:tcPr>
          <w:p>
            <w:pPr>
              <w:spacing w:before="40" w:after="40"/>
            </w:pPr>
            <w:r>
              <w:rPr>
                <w:rFonts w:ascii="Calibri" w:hAnsi="Calibri"/>
                <w:b w:val="0"/>
                <w:i w:val="0"/>
                <w:color w:val="333333"/>
                <w:sz w:val="17"/>
              </w:rPr>
              <w:t>B6</w:t>
            </w:r>
          </w:p>
        </w:tc>
        <w:tc>
          <w:tcPr>
            <w:tcW w:type="dxa" w:w="2835"/>
            <w:shd w:val="clear" w:fill="F2F6FA"/>
          </w:tcPr>
          <w:p>
            <w:pPr>
              <w:spacing w:before="40" w:after="40"/>
            </w:pPr>
            <w:r>
              <w:rPr>
                <w:rFonts w:ascii="Calibri" w:hAnsi="Calibri"/>
                <w:b w:val="0"/>
                <w:i w:val="0"/>
                <w:color w:val="333333"/>
                <w:sz w:val="17"/>
              </w:rPr>
              <w:t>Insured (client) repository</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Existing client entity with identity, documents, groups. Extended with SUNULIFE identifiers and insurance-specific attributes</w:t>
            </w:r>
          </w:p>
        </w:tc>
      </w:tr>
      <w:tr>
        <w:tc>
          <w:tcPr>
            <w:tcW w:type="dxa" w:w="907"/>
          </w:tcPr>
          <w:p>
            <w:pPr>
              <w:spacing w:before="40" w:after="40"/>
            </w:pPr>
            <w:r>
              <w:rPr>
                <w:rFonts w:ascii="Calibri" w:hAnsi="Calibri"/>
                <w:b w:val="0"/>
                <w:i w:val="0"/>
                <w:color w:val="333333"/>
                <w:sz w:val="17"/>
              </w:rPr>
              <w:t>B7</w:t>
            </w:r>
          </w:p>
        </w:tc>
        <w:tc>
          <w:tcPr>
            <w:tcW w:type="dxa" w:w="2835"/>
          </w:tcPr>
          <w:p>
            <w:pPr>
              <w:spacing w:before="40" w:after="40"/>
            </w:pPr>
            <w:r>
              <w:rPr>
                <w:rFonts w:ascii="Calibri" w:hAnsi="Calibri"/>
                <w:b w:val="0"/>
                <w:i w:val="0"/>
                <w:color w:val="333333"/>
                <w:sz w:val="17"/>
              </w:rPr>
              <w:t>Product catalogue (insurance products)</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Micro-Quiétude, Micro Épargne Retraite and future products: code, label, premium periodicity, policy-cost rules, receipt template</w:t>
            </w:r>
          </w:p>
        </w:tc>
      </w:tr>
      <w:tr>
        <w:tc>
          <w:tcPr>
            <w:tcW w:type="dxa" w:w="907"/>
            <w:shd w:val="clear" w:fill="F2F6FA"/>
          </w:tcPr>
          <w:p>
            <w:pPr>
              <w:spacing w:before="40" w:after="40"/>
            </w:pPr>
            <w:r>
              <w:rPr>
                <w:rFonts w:ascii="Calibri" w:hAnsi="Calibri"/>
                <w:b w:val="0"/>
                <w:i w:val="0"/>
                <w:color w:val="333333"/>
                <w:sz w:val="17"/>
              </w:rPr>
              <w:t>B8</w:t>
            </w:r>
          </w:p>
        </w:tc>
        <w:tc>
          <w:tcPr>
            <w:tcW w:type="dxa" w:w="2835"/>
            <w:shd w:val="clear" w:fill="F2F6FA"/>
          </w:tcPr>
          <w:p>
            <w:pPr>
              <w:spacing w:before="40" w:after="40"/>
            </w:pPr>
            <w:r>
              <w:rPr>
                <w:rFonts w:ascii="Calibri" w:hAnsi="Calibri"/>
                <w:b w:val="0"/>
                <w:i w:val="0"/>
                <w:color w:val="333333"/>
                <w:sz w:val="17"/>
              </w:rPr>
              <w:t>Insurance proposal (subscription)</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Adapted from the existing voluntary-enrolment module: proposal number, product, agent, terminal, GPS, status workflow, attached photographs of the proposal and CNIB, flexible JSON form payload</w:t>
            </w:r>
          </w:p>
        </w:tc>
      </w:tr>
      <w:tr>
        <w:tc>
          <w:tcPr>
            <w:tcW w:type="dxa" w:w="907"/>
          </w:tcPr>
          <w:p>
            <w:pPr>
              <w:spacing w:before="40" w:after="40"/>
            </w:pPr>
            <w:r>
              <w:rPr>
                <w:rFonts w:ascii="Calibri" w:hAnsi="Calibri"/>
                <w:b w:val="0"/>
                <w:i w:val="0"/>
                <w:color w:val="333333"/>
                <w:sz w:val="17"/>
              </w:rPr>
              <w:t>B9</w:t>
            </w:r>
          </w:p>
        </w:tc>
        <w:tc>
          <w:tcPr>
            <w:tcW w:type="dxa" w:w="2835"/>
          </w:tcPr>
          <w:p>
            <w:pPr>
              <w:spacing w:before="40" w:after="40"/>
            </w:pPr>
            <w:r>
              <w:rPr>
                <w:rFonts w:ascii="Calibri" w:hAnsi="Calibri"/>
                <w:b w:val="0"/>
                <w:i w:val="0"/>
                <w:color w:val="333333"/>
                <w:sz w:val="17"/>
              </w:rPr>
              <w:t>Policy (contract) repository</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Policy number, product, insured, status, effective date, premium amount and frequency, SUNULIFE reference. Populated from SUNULIFE (R9) or on confirmation of a proposal</w:t>
            </w:r>
          </w:p>
        </w:tc>
      </w:tr>
      <w:tr>
        <w:tc>
          <w:tcPr>
            <w:tcW w:type="dxa" w:w="907"/>
            <w:shd w:val="clear" w:fill="F2F6FA"/>
          </w:tcPr>
          <w:p>
            <w:pPr>
              <w:spacing w:before="40" w:after="40"/>
            </w:pPr>
            <w:r>
              <w:rPr>
                <w:rFonts w:ascii="Calibri" w:hAnsi="Calibri"/>
                <w:b w:val="0"/>
                <w:i w:val="0"/>
                <w:color w:val="333333"/>
                <w:sz w:val="17"/>
              </w:rPr>
              <w:t>B10</w:t>
            </w:r>
          </w:p>
        </w:tc>
        <w:tc>
          <w:tcPr>
            <w:tcW w:type="dxa" w:w="2835"/>
            <w:shd w:val="clear" w:fill="F2F6FA"/>
          </w:tcPr>
          <w:p>
            <w:pPr>
              <w:spacing w:before="40" w:after="40"/>
            </w:pPr>
            <w:r>
              <w:rPr>
                <w:rFonts w:ascii="Calibri" w:hAnsi="Calibri"/>
                <w:b w:val="0"/>
                <w:i w:val="0"/>
                <w:color w:val="333333"/>
                <w:sz w:val="17"/>
              </w:rPr>
              <w:t>Premium collection engine</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Adapted from the existing periodic-contribution module: amount, reference period, frequency, unique reference, link to policy, agent, terminal and financial transaction</w:t>
            </w:r>
          </w:p>
        </w:tc>
      </w:tr>
      <w:tr>
        <w:tc>
          <w:tcPr>
            <w:tcW w:type="dxa" w:w="907"/>
          </w:tcPr>
          <w:p>
            <w:pPr>
              <w:spacing w:before="40" w:after="40"/>
            </w:pPr>
            <w:r>
              <w:rPr>
                <w:rFonts w:ascii="Calibri" w:hAnsi="Calibri"/>
                <w:b w:val="0"/>
                <w:i w:val="0"/>
                <w:color w:val="333333"/>
                <w:sz w:val="17"/>
              </w:rPr>
              <w:t>B11</w:t>
            </w:r>
          </w:p>
        </w:tc>
        <w:tc>
          <w:tcPr>
            <w:tcW w:type="dxa" w:w="2835"/>
          </w:tcPr>
          <w:p>
            <w:pPr>
              <w:spacing w:before="40" w:after="40"/>
            </w:pPr>
            <w:r>
              <w:rPr>
                <w:rFonts w:ascii="Calibri" w:hAnsi="Calibri"/>
                <w:b w:val="0"/>
                <w:i w:val="0"/>
                <w:color w:val="333333"/>
                <w:sz w:val="17"/>
              </w:rPr>
              <w:t>Financial transaction spine</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Amount, cost, commission, business share, date, status, unique reference, JSON metadata, full attribution. Already carries per-transaction cost and commission configuration with flat/percentage/tiered rules</w:t>
            </w:r>
          </w:p>
        </w:tc>
      </w:tr>
      <w:tr>
        <w:tc>
          <w:tcPr>
            <w:tcW w:type="dxa" w:w="907"/>
            <w:shd w:val="clear" w:fill="F2F6FA"/>
          </w:tcPr>
          <w:p>
            <w:pPr>
              <w:spacing w:before="40" w:after="40"/>
            </w:pPr>
            <w:r>
              <w:rPr>
                <w:rFonts w:ascii="Calibri" w:hAnsi="Calibri"/>
                <w:b w:val="0"/>
                <w:i w:val="0"/>
                <w:color w:val="333333"/>
                <w:sz w:val="17"/>
              </w:rPr>
              <w:t>B12</w:t>
            </w:r>
          </w:p>
        </w:tc>
        <w:tc>
          <w:tcPr>
            <w:tcW w:type="dxa" w:w="2835"/>
            <w:shd w:val="clear" w:fill="F2F6FA"/>
          </w:tcPr>
          <w:p>
            <w:pPr>
              <w:spacing w:before="40" w:after="40"/>
            </w:pPr>
            <w:r>
              <w:rPr>
                <w:rFonts w:ascii="Calibri" w:hAnsi="Calibri"/>
                <w:b w:val="0"/>
                <w:i w:val="0"/>
                <w:color w:val="333333"/>
                <w:sz w:val="17"/>
              </w:rPr>
              <w:t>Collector cap &amp; pay-in reconciliation</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Cap per collector; running uncollected balance; pay-in declaration (bank deposit or cash office); back-office confirmation; terminal release</w:t>
            </w:r>
          </w:p>
        </w:tc>
      </w:tr>
      <w:tr>
        <w:tc>
          <w:tcPr>
            <w:tcW w:type="dxa" w:w="907"/>
          </w:tcPr>
          <w:p>
            <w:pPr>
              <w:spacing w:before="40" w:after="40"/>
            </w:pPr>
            <w:r>
              <w:rPr>
                <w:rFonts w:ascii="Calibri" w:hAnsi="Calibri"/>
                <w:b w:val="0"/>
                <w:i w:val="0"/>
                <w:color w:val="333333"/>
                <w:sz w:val="17"/>
              </w:rPr>
              <w:t>B13</w:t>
            </w:r>
          </w:p>
        </w:tc>
        <w:tc>
          <w:tcPr>
            <w:tcW w:type="dxa" w:w="2835"/>
          </w:tcPr>
          <w:p>
            <w:pPr>
              <w:spacing w:before="40" w:after="40"/>
            </w:pPr>
            <w:r>
              <w:rPr>
                <w:rFonts w:ascii="Calibri" w:hAnsi="Calibri"/>
                <w:b w:val="0"/>
                <w:i w:val="0"/>
                <w:color w:val="333333"/>
                <w:sz w:val="17"/>
              </w:rPr>
              <w:t>Card management &amp; issuance</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Card entity with number, prefix, status lifecycle (active/inactive/blocked/expired/replaced/unassigned), expiry, limits, issuance and activation timestamps, block reason and replacement chain; per-unit card settings (prefix, sequence length, default validity). Extended for multi-policy content and personalisation export</w:t>
            </w:r>
          </w:p>
        </w:tc>
      </w:tr>
      <w:tr>
        <w:tc>
          <w:tcPr>
            <w:tcW w:type="dxa" w:w="907"/>
            <w:shd w:val="clear" w:fill="F2F6FA"/>
          </w:tcPr>
          <w:p>
            <w:pPr>
              <w:spacing w:before="40" w:after="40"/>
            </w:pPr>
            <w:r>
              <w:rPr>
                <w:rFonts w:ascii="Calibri" w:hAnsi="Calibri"/>
                <w:b w:val="0"/>
                <w:i w:val="0"/>
                <w:color w:val="333333"/>
                <w:sz w:val="17"/>
              </w:rPr>
              <w:t>B14</w:t>
            </w:r>
          </w:p>
        </w:tc>
        <w:tc>
          <w:tcPr>
            <w:tcW w:type="dxa" w:w="2835"/>
            <w:shd w:val="clear" w:fill="F2F6FA"/>
          </w:tcPr>
          <w:p>
            <w:pPr>
              <w:spacing w:before="40" w:after="40"/>
            </w:pPr>
            <w:r>
              <w:rPr>
                <w:rFonts w:ascii="Calibri" w:hAnsi="Calibri"/>
                <w:b w:val="0"/>
                <w:i w:val="0"/>
                <w:color w:val="333333"/>
                <w:sz w:val="17"/>
              </w:rPr>
              <w:t>Virtual card (QR) issuance</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Section 7.3</w:t>
            </w:r>
          </w:p>
        </w:tc>
      </w:tr>
      <w:tr>
        <w:tc>
          <w:tcPr>
            <w:tcW w:type="dxa" w:w="907"/>
          </w:tcPr>
          <w:p>
            <w:pPr>
              <w:spacing w:before="40" w:after="40"/>
            </w:pPr>
            <w:r>
              <w:rPr>
                <w:rFonts w:ascii="Calibri" w:hAnsi="Calibri"/>
                <w:b w:val="0"/>
                <w:i w:val="0"/>
                <w:color w:val="333333"/>
                <w:sz w:val="17"/>
              </w:rPr>
              <w:t>B15</w:t>
            </w:r>
          </w:p>
        </w:tc>
        <w:tc>
          <w:tcPr>
            <w:tcW w:type="dxa" w:w="2835"/>
          </w:tcPr>
          <w:p>
            <w:pPr>
              <w:spacing w:before="40" w:after="40"/>
            </w:pPr>
            <w:r>
              <w:rPr>
                <w:rFonts w:ascii="Calibri" w:hAnsi="Calibri"/>
                <w:b w:val="0"/>
                <w:i w:val="0"/>
                <w:color w:val="333333"/>
                <w:sz w:val="17"/>
              </w:rPr>
              <w:t>Mobile Money gateway adapter</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Section 9</w:t>
            </w:r>
          </w:p>
        </w:tc>
      </w:tr>
      <w:tr>
        <w:tc>
          <w:tcPr>
            <w:tcW w:type="dxa" w:w="907"/>
            <w:shd w:val="clear" w:fill="F2F6FA"/>
          </w:tcPr>
          <w:p>
            <w:pPr>
              <w:spacing w:before="40" w:after="40"/>
            </w:pPr>
            <w:r>
              <w:rPr>
                <w:rFonts w:ascii="Calibri" w:hAnsi="Calibri"/>
                <w:b w:val="0"/>
                <w:i w:val="0"/>
                <w:color w:val="333333"/>
                <w:sz w:val="17"/>
              </w:rPr>
              <w:t>B16</w:t>
            </w:r>
          </w:p>
        </w:tc>
        <w:tc>
          <w:tcPr>
            <w:tcW w:type="dxa" w:w="2835"/>
            <w:shd w:val="clear" w:fill="F2F6FA"/>
          </w:tcPr>
          <w:p>
            <w:pPr>
              <w:spacing w:before="40" w:after="40"/>
            </w:pPr>
            <w:r>
              <w:rPr>
                <w:rFonts w:ascii="Calibri" w:hAnsi="Calibri"/>
                <w:b w:val="0"/>
                <w:i w:val="0"/>
                <w:color w:val="333333"/>
                <w:sz w:val="17"/>
              </w:rPr>
              <w:t>SUNULIFE integration hub</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Section 8. Built on the existing configurable external-system driver pattern (driver definition + per-unit credentials + request/response field mapping + auth strategies including JWT bearer, basic and OAuth password)</w:t>
            </w:r>
          </w:p>
        </w:tc>
      </w:tr>
      <w:tr>
        <w:tc>
          <w:tcPr>
            <w:tcW w:type="dxa" w:w="907"/>
          </w:tcPr>
          <w:p>
            <w:pPr>
              <w:spacing w:before="40" w:after="40"/>
            </w:pPr>
            <w:r>
              <w:rPr>
                <w:rFonts w:ascii="Calibri" w:hAnsi="Calibri"/>
                <w:b w:val="0"/>
                <w:i w:val="0"/>
                <w:color w:val="333333"/>
                <w:sz w:val="17"/>
              </w:rPr>
              <w:t>B17</w:t>
            </w:r>
          </w:p>
        </w:tc>
        <w:tc>
          <w:tcPr>
            <w:tcW w:type="dxa" w:w="2835"/>
          </w:tcPr>
          <w:p>
            <w:pPr>
              <w:spacing w:before="40" w:after="40"/>
            </w:pPr>
            <w:r>
              <w:rPr>
                <w:rFonts w:ascii="Calibri" w:hAnsi="Calibri"/>
                <w:b w:val="0"/>
                <w:i w:val="0"/>
                <w:color w:val="333333"/>
                <w:sz w:val="17"/>
              </w:rPr>
              <w:t>Collections reporting &amp; Excel export</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Existing asynchronous report generation with status tracking, download and retry. Extended with the insurance-specific collections report required by TdR Need 2</w:t>
            </w:r>
          </w:p>
        </w:tc>
      </w:tr>
      <w:tr>
        <w:tc>
          <w:tcPr>
            <w:tcW w:type="dxa" w:w="907"/>
            <w:shd w:val="clear" w:fill="F2F6FA"/>
          </w:tcPr>
          <w:p>
            <w:pPr>
              <w:spacing w:before="40" w:after="40"/>
            </w:pPr>
            <w:r>
              <w:rPr>
                <w:rFonts w:ascii="Calibri" w:hAnsi="Calibri"/>
                <w:b w:val="0"/>
                <w:i w:val="0"/>
                <w:color w:val="333333"/>
                <w:sz w:val="17"/>
              </w:rPr>
              <w:t>B18</w:t>
            </w:r>
          </w:p>
        </w:tc>
        <w:tc>
          <w:tcPr>
            <w:tcW w:type="dxa" w:w="2835"/>
            <w:shd w:val="clear" w:fill="F2F6FA"/>
          </w:tcPr>
          <w:p>
            <w:pPr>
              <w:spacing w:before="40" w:after="40"/>
            </w:pPr>
            <w:r>
              <w:rPr>
                <w:rFonts w:ascii="Calibri" w:hAnsi="Calibri"/>
                <w:b w:val="0"/>
                <w:i w:val="0"/>
                <w:color w:val="333333"/>
                <w:sz w:val="17"/>
              </w:rPr>
              <w:t>Dashboards</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Existing per-unit dashboards extended with collection KPIs, cap utilisation and field activity map</w:t>
            </w:r>
          </w:p>
        </w:tc>
      </w:tr>
      <w:tr>
        <w:tc>
          <w:tcPr>
            <w:tcW w:type="dxa" w:w="907"/>
          </w:tcPr>
          <w:p>
            <w:pPr>
              <w:spacing w:before="40" w:after="40"/>
            </w:pPr>
            <w:r>
              <w:rPr>
                <w:rFonts w:ascii="Calibri" w:hAnsi="Calibri"/>
                <w:b w:val="0"/>
                <w:i w:val="0"/>
                <w:color w:val="333333"/>
                <w:sz w:val="17"/>
              </w:rPr>
              <w:t>B19</w:t>
            </w:r>
          </w:p>
        </w:tc>
        <w:tc>
          <w:tcPr>
            <w:tcW w:type="dxa" w:w="2835"/>
          </w:tcPr>
          <w:p>
            <w:pPr>
              <w:spacing w:before="40" w:after="40"/>
            </w:pPr>
            <w:r>
              <w:rPr>
                <w:rFonts w:ascii="Calibri" w:hAnsi="Calibri"/>
                <w:b w:val="0"/>
                <w:i w:val="0"/>
                <w:color w:val="333333"/>
                <w:sz w:val="17"/>
              </w:rPr>
              <w:t>Audit trail / activity log</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Records actor, event, subject, before/after values, batch grouping</w:t>
            </w:r>
          </w:p>
        </w:tc>
      </w:tr>
      <w:tr>
        <w:tc>
          <w:tcPr>
            <w:tcW w:type="dxa" w:w="907"/>
            <w:shd w:val="clear" w:fill="F2F6FA"/>
          </w:tcPr>
          <w:p>
            <w:pPr>
              <w:spacing w:before="40" w:after="40"/>
            </w:pPr>
            <w:r>
              <w:rPr>
                <w:rFonts w:ascii="Calibri" w:hAnsi="Calibri"/>
                <w:b w:val="0"/>
                <w:i w:val="0"/>
                <w:color w:val="333333"/>
                <w:sz w:val="17"/>
              </w:rPr>
              <w:t>B20</w:t>
            </w:r>
          </w:p>
        </w:tc>
        <w:tc>
          <w:tcPr>
            <w:tcW w:type="dxa" w:w="2835"/>
            <w:shd w:val="clear" w:fill="F2F6FA"/>
          </w:tcPr>
          <w:p>
            <w:pPr>
              <w:spacing w:before="40" w:after="40"/>
            </w:pPr>
            <w:r>
              <w:rPr>
                <w:rFonts w:ascii="Calibri" w:hAnsi="Calibri"/>
                <w:b w:val="0"/>
                <w:i w:val="0"/>
                <w:color w:val="333333"/>
                <w:sz w:val="17"/>
              </w:rPr>
              <w:t>API request logging</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Dedicated logging middleware already exists for transaction, card and OTP API traffic</w:t>
            </w:r>
          </w:p>
        </w:tc>
      </w:tr>
      <w:tr>
        <w:tc>
          <w:tcPr>
            <w:tcW w:type="dxa" w:w="907"/>
          </w:tcPr>
          <w:p>
            <w:pPr>
              <w:spacing w:before="40" w:after="40"/>
            </w:pPr>
            <w:r>
              <w:rPr>
                <w:rFonts w:ascii="Calibri" w:hAnsi="Calibri"/>
                <w:b w:val="0"/>
                <w:i w:val="0"/>
                <w:color w:val="333333"/>
                <w:sz w:val="17"/>
              </w:rPr>
              <w:t>B21</w:t>
            </w:r>
          </w:p>
        </w:tc>
        <w:tc>
          <w:tcPr>
            <w:tcW w:type="dxa" w:w="2835"/>
          </w:tcPr>
          <w:p>
            <w:pPr>
              <w:spacing w:before="40" w:after="40"/>
            </w:pPr>
            <w:r>
              <w:rPr>
                <w:rFonts w:ascii="Calibri" w:hAnsi="Calibri"/>
                <w:b w:val="0"/>
                <w:i w:val="0"/>
                <w:color w:val="333333"/>
                <w:sz w:val="17"/>
              </w:rPr>
              <w:t>SMS notifications</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Configurable provider, per-unit sender, credit management, message log</w:t>
            </w:r>
          </w:p>
        </w:tc>
      </w:tr>
      <w:tr>
        <w:tc>
          <w:tcPr>
            <w:tcW w:type="dxa" w:w="907"/>
            <w:shd w:val="clear" w:fill="F2F6FA"/>
          </w:tcPr>
          <w:p>
            <w:pPr>
              <w:spacing w:before="40" w:after="40"/>
            </w:pPr>
            <w:r>
              <w:rPr>
                <w:rFonts w:ascii="Calibri" w:hAnsi="Calibri"/>
                <w:b w:val="0"/>
                <w:i w:val="0"/>
                <w:color w:val="333333"/>
                <w:sz w:val="17"/>
              </w:rPr>
              <w:t>B22</w:t>
            </w:r>
          </w:p>
        </w:tc>
        <w:tc>
          <w:tcPr>
            <w:tcW w:type="dxa" w:w="2835"/>
            <w:shd w:val="clear" w:fill="F2F6FA"/>
          </w:tcPr>
          <w:p>
            <w:pPr>
              <w:spacing w:before="40" w:after="40"/>
            </w:pPr>
            <w:r>
              <w:rPr>
                <w:rFonts w:ascii="Calibri" w:hAnsi="Calibri"/>
                <w:b w:val="0"/>
                <w:i w:val="0"/>
                <w:color w:val="333333"/>
                <w:sz w:val="17"/>
              </w:rPr>
              <w:t>Bilingual interface (FR/EN)</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Runtime locale switching with French translations already in place — mandatory for Burkina Faso</w:t>
            </w:r>
          </w:p>
        </w:tc>
      </w:tr>
    </w:tbl>
    <w:p>
      <w:pPr>
        <w:spacing w:after="40"/>
      </w:pPr>
    </w:p>
    <w:p>
      <w:pPr>
        <w:pStyle w:val="Heading2"/>
        <w:spacing w:before="280" w:after="80"/>
        <w:keepNext/>
      </w:pPr>
      <w:bookmarkStart w:id="113" w:name="_Toc_s012"/>
      <w:r>
        <w:rPr>
          <w:rFonts w:ascii="Calibri" w:hAnsi="Calibri"/>
          <w:b/>
          <w:color w:val="1B3A5C"/>
          <w:sz w:val="24"/>
        </w:rPr>
        <w:t>4.2 POS application</w:t>
      </w:r>
      <w:bookmarkEnd w:id="11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Component</w:t>
            </w:r>
          </w:p>
        </w:tc>
        <w:tc>
          <w:tcPr>
            <w:tcW w:type="dxa" w:w="2835"/>
            <w:shd w:val="clear" w:fill="1B3A5C"/>
          </w:tcPr>
          <w:p>
            <w:pPr>
              <w:spacing w:before="60" w:after="60"/>
            </w:pPr>
            <w:r>
              <w:rPr>
                <w:rFonts w:ascii="Calibri" w:hAnsi="Calibri"/>
                <w:b/>
                <w:color w:val="FFFFFF"/>
                <w:sz w:val="17"/>
              </w:rPr>
              <w:t>Status</w:t>
            </w:r>
          </w:p>
        </w:tc>
        <w:tc>
          <w:tcPr>
            <w:tcW w:type="dxa" w:w="2835"/>
            <w:shd w:val="clear" w:fill="1B3A5C"/>
          </w:tcPr>
          <w:p>
            <w:pPr>
              <w:spacing w:before="60" w:after="60"/>
            </w:pPr>
            <w:r>
              <w:rPr>
                <w:rFonts w:ascii="Calibri" w:hAnsi="Calibri"/>
                <w:b/>
                <w:color w:val="FFFFFF"/>
                <w:sz w:val="17"/>
              </w:rPr>
              <w:t>Detail</w:t>
            </w:r>
          </w:p>
        </w:tc>
      </w:tr>
      <w:tr>
        <w:tc>
          <w:tcPr>
            <w:tcW w:type="dxa" w:w="907"/>
          </w:tcPr>
          <w:p>
            <w:pPr>
              <w:spacing w:before="40" w:after="40"/>
            </w:pPr>
            <w:r>
              <w:rPr>
                <w:rFonts w:ascii="Calibri" w:hAnsi="Calibri"/>
                <w:b w:val="0"/>
                <w:i w:val="0"/>
                <w:color w:val="333333"/>
                <w:sz w:val="17"/>
              </w:rPr>
              <w:t>P1</w:t>
            </w:r>
          </w:p>
        </w:tc>
        <w:tc>
          <w:tcPr>
            <w:tcW w:type="dxa" w:w="2835"/>
          </w:tcPr>
          <w:p>
            <w:pPr>
              <w:spacing w:before="40" w:after="40"/>
            </w:pPr>
            <w:r>
              <w:rPr>
                <w:rFonts w:ascii="Calibri" w:hAnsi="Calibri"/>
                <w:b w:val="0"/>
                <w:i w:val="0"/>
                <w:color w:val="333333"/>
                <w:sz w:val="17"/>
              </w:rPr>
              <w:t>Splash, login, session</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Agent authentication against the back office; inactivity timeout</w:t>
            </w:r>
          </w:p>
        </w:tc>
      </w:tr>
      <w:tr>
        <w:tc>
          <w:tcPr>
            <w:tcW w:type="dxa" w:w="907"/>
            <w:shd w:val="clear" w:fill="F2F6FA"/>
          </w:tcPr>
          <w:p>
            <w:pPr>
              <w:spacing w:before="40" w:after="40"/>
            </w:pPr>
            <w:r>
              <w:rPr>
                <w:rFonts w:ascii="Calibri" w:hAnsi="Calibri"/>
                <w:b w:val="0"/>
                <w:i w:val="0"/>
                <w:color w:val="333333"/>
                <w:sz w:val="17"/>
              </w:rPr>
              <w:t>P2</w:t>
            </w:r>
          </w:p>
        </w:tc>
        <w:tc>
          <w:tcPr>
            <w:tcW w:type="dxa" w:w="2835"/>
            <w:shd w:val="clear" w:fill="F2F6FA"/>
          </w:tcPr>
          <w:p>
            <w:pPr>
              <w:spacing w:before="40" w:after="40"/>
            </w:pPr>
            <w:r>
              <w:rPr>
                <w:rFonts w:ascii="Calibri" w:hAnsi="Calibri"/>
                <w:b w:val="0"/>
                <w:i w:val="0"/>
                <w:color w:val="333333"/>
                <w:sz w:val="17"/>
              </w:rPr>
              <w:t>Home dashboard &amp; navigation</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Rebuilt around the insurance menu: Subscribe, Collect Premium, Pay-In, Reports, Settings</w:t>
            </w:r>
          </w:p>
        </w:tc>
      </w:tr>
      <w:tr>
        <w:tc>
          <w:tcPr>
            <w:tcW w:type="dxa" w:w="907"/>
          </w:tcPr>
          <w:p>
            <w:pPr>
              <w:spacing w:before="40" w:after="40"/>
            </w:pPr>
            <w:r>
              <w:rPr>
                <w:rFonts w:ascii="Calibri" w:hAnsi="Calibri"/>
                <w:b w:val="0"/>
                <w:i w:val="0"/>
                <w:color w:val="333333"/>
                <w:sz w:val="17"/>
              </w:rPr>
              <w:t>P3</w:t>
            </w:r>
          </w:p>
        </w:tc>
        <w:tc>
          <w:tcPr>
            <w:tcW w:type="dxa" w:w="2835"/>
          </w:tcPr>
          <w:p>
            <w:pPr>
              <w:spacing w:before="40" w:after="40"/>
            </w:pPr>
            <w:r>
              <w:rPr>
                <w:rFonts w:ascii="Calibri" w:hAnsi="Calibri"/>
                <w:b w:val="0"/>
                <w:i w:val="0"/>
                <w:color w:val="333333"/>
                <w:sz w:val="17"/>
              </w:rPr>
              <w:t>Document &amp; ID capture</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Camera capture of the signed proposal and the CNIB (front/back), compression, local queue, upload with metadata</w:t>
            </w:r>
          </w:p>
        </w:tc>
      </w:tr>
      <w:tr>
        <w:tc>
          <w:tcPr>
            <w:tcW w:type="dxa" w:w="907"/>
            <w:shd w:val="clear" w:fill="F2F6FA"/>
          </w:tcPr>
          <w:p>
            <w:pPr>
              <w:spacing w:before="40" w:after="40"/>
            </w:pPr>
            <w:r>
              <w:rPr>
                <w:rFonts w:ascii="Calibri" w:hAnsi="Calibri"/>
                <w:b w:val="0"/>
                <w:i w:val="0"/>
                <w:color w:val="333333"/>
                <w:sz w:val="17"/>
              </w:rPr>
              <w:t>P4</w:t>
            </w:r>
          </w:p>
        </w:tc>
        <w:tc>
          <w:tcPr>
            <w:tcW w:type="dxa" w:w="2835"/>
            <w:shd w:val="clear" w:fill="F2F6FA"/>
          </w:tcPr>
          <w:p>
            <w:pPr>
              <w:spacing w:before="40" w:after="40"/>
            </w:pPr>
            <w:r>
              <w:rPr>
                <w:rFonts w:ascii="Calibri" w:hAnsi="Calibri"/>
                <w:b w:val="0"/>
                <w:i w:val="0"/>
                <w:color w:val="333333"/>
                <w:sz w:val="17"/>
              </w:rPr>
              <w:t>Geolocation capture</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GPS coordinates attached to subscription and collection</w:t>
            </w:r>
          </w:p>
        </w:tc>
      </w:tr>
      <w:tr>
        <w:tc>
          <w:tcPr>
            <w:tcW w:type="dxa" w:w="907"/>
          </w:tcPr>
          <w:p>
            <w:pPr>
              <w:spacing w:before="40" w:after="40"/>
            </w:pPr>
            <w:r>
              <w:rPr>
                <w:rFonts w:ascii="Calibri" w:hAnsi="Calibri"/>
                <w:b w:val="0"/>
                <w:i w:val="0"/>
                <w:color w:val="333333"/>
                <w:sz w:val="17"/>
              </w:rPr>
              <w:t>P5</w:t>
            </w:r>
          </w:p>
        </w:tc>
        <w:tc>
          <w:tcPr>
            <w:tcW w:type="dxa" w:w="2835"/>
          </w:tcPr>
          <w:p>
            <w:pPr>
              <w:spacing w:before="40" w:after="40"/>
            </w:pPr>
            <w:r>
              <w:rPr>
                <w:rFonts w:ascii="Calibri" w:hAnsi="Calibri"/>
                <w:b w:val="0"/>
                <w:i w:val="0"/>
                <w:color w:val="333333"/>
                <w:sz w:val="17"/>
              </w:rPr>
              <w:t>Subscription workflow (stepper)</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Adapted from the existing multi-step enrolment stepper</w:t>
            </w:r>
          </w:p>
        </w:tc>
      </w:tr>
      <w:tr>
        <w:tc>
          <w:tcPr>
            <w:tcW w:type="dxa" w:w="907"/>
            <w:shd w:val="clear" w:fill="F2F6FA"/>
          </w:tcPr>
          <w:p>
            <w:pPr>
              <w:spacing w:before="40" w:after="40"/>
            </w:pPr>
            <w:r>
              <w:rPr>
                <w:rFonts w:ascii="Calibri" w:hAnsi="Calibri"/>
                <w:b w:val="0"/>
                <w:i w:val="0"/>
                <w:color w:val="333333"/>
                <w:sz w:val="17"/>
              </w:rPr>
              <w:t>P6</w:t>
            </w:r>
          </w:p>
        </w:tc>
        <w:tc>
          <w:tcPr>
            <w:tcW w:type="dxa" w:w="2835"/>
            <w:shd w:val="clear" w:fill="F2F6FA"/>
          </w:tcPr>
          <w:p>
            <w:pPr>
              <w:spacing w:before="40" w:after="40"/>
            </w:pPr>
            <w:r>
              <w:rPr>
                <w:rFonts w:ascii="Calibri" w:hAnsi="Calibri"/>
                <w:b w:val="0"/>
                <w:i w:val="0"/>
                <w:color w:val="333333"/>
                <w:sz w:val="17"/>
              </w:rPr>
              <w:t>Card read (NFC)</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Existing card-read activity; extended to return the insured's list of active policies</w:t>
            </w:r>
          </w:p>
        </w:tc>
      </w:tr>
      <w:tr>
        <w:tc>
          <w:tcPr>
            <w:tcW w:type="dxa" w:w="907"/>
          </w:tcPr>
          <w:p>
            <w:pPr>
              <w:spacing w:before="40" w:after="40"/>
            </w:pPr>
            <w:r>
              <w:rPr>
                <w:rFonts w:ascii="Calibri" w:hAnsi="Calibri"/>
                <w:b w:val="0"/>
                <w:i w:val="0"/>
                <w:color w:val="333333"/>
                <w:sz w:val="17"/>
              </w:rPr>
              <w:t>P7</w:t>
            </w:r>
          </w:p>
        </w:tc>
        <w:tc>
          <w:tcPr>
            <w:tcW w:type="dxa" w:w="2835"/>
          </w:tcPr>
          <w:p>
            <w:pPr>
              <w:spacing w:before="40" w:after="40"/>
            </w:pPr>
            <w:r>
              <w:rPr>
                <w:rFonts w:ascii="Calibri" w:hAnsi="Calibri"/>
                <w:b w:val="0"/>
                <w:i w:val="0"/>
                <w:color w:val="333333"/>
                <w:sz w:val="17"/>
              </w:rPr>
              <w:t>Card write / personalisation</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Existing card-write activity; extended for multi-policy payload</w:t>
            </w:r>
          </w:p>
        </w:tc>
      </w:tr>
      <w:tr>
        <w:tc>
          <w:tcPr>
            <w:tcW w:type="dxa" w:w="907"/>
            <w:shd w:val="clear" w:fill="F2F6FA"/>
          </w:tcPr>
          <w:p>
            <w:pPr>
              <w:spacing w:before="40" w:after="40"/>
            </w:pPr>
            <w:r>
              <w:rPr>
                <w:rFonts w:ascii="Calibri" w:hAnsi="Calibri"/>
                <w:b w:val="0"/>
                <w:i w:val="0"/>
                <w:color w:val="333333"/>
                <w:sz w:val="17"/>
              </w:rPr>
              <w:t>P8</w:t>
            </w:r>
          </w:p>
        </w:tc>
        <w:tc>
          <w:tcPr>
            <w:tcW w:type="dxa" w:w="2835"/>
            <w:shd w:val="clear" w:fill="F2F6FA"/>
          </w:tcPr>
          <w:p>
            <w:pPr>
              <w:spacing w:before="40" w:after="40"/>
            </w:pPr>
            <w:r>
              <w:rPr>
                <w:rFonts w:ascii="Calibri" w:hAnsi="Calibri"/>
                <w:b w:val="0"/>
                <w:i w:val="0"/>
                <w:color w:val="333333"/>
                <w:sz w:val="17"/>
              </w:rPr>
              <w:t>QR virtual card scan</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Camera-based scan and offline signature verification</w:t>
            </w:r>
          </w:p>
        </w:tc>
      </w:tr>
      <w:tr>
        <w:tc>
          <w:tcPr>
            <w:tcW w:type="dxa" w:w="907"/>
          </w:tcPr>
          <w:p>
            <w:pPr>
              <w:spacing w:before="40" w:after="40"/>
            </w:pPr>
            <w:r>
              <w:rPr>
                <w:rFonts w:ascii="Calibri" w:hAnsi="Calibri"/>
                <w:b w:val="0"/>
                <w:i w:val="0"/>
                <w:color w:val="333333"/>
                <w:sz w:val="17"/>
              </w:rPr>
              <w:t>P9</w:t>
            </w:r>
          </w:p>
        </w:tc>
        <w:tc>
          <w:tcPr>
            <w:tcW w:type="dxa" w:w="2835"/>
          </w:tcPr>
          <w:p>
            <w:pPr>
              <w:spacing w:before="40" w:after="40"/>
            </w:pPr>
            <w:r>
              <w:rPr>
                <w:rFonts w:ascii="Calibri" w:hAnsi="Calibri"/>
                <w:b w:val="0"/>
                <w:i w:val="0"/>
                <w:color w:val="333333"/>
                <w:sz w:val="17"/>
              </w:rPr>
              <w:t>Policy selection &amp; premium entry</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Screen listing active contracts for the identified insured</w:t>
            </w:r>
          </w:p>
        </w:tc>
      </w:tr>
      <w:tr>
        <w:tc>
          <w:tcPr>
            <w:tcW w:type="dxa" w:w="907"/>
            <w:shd w:val="clear" w:fill="F2F6FA"/>
          </w:tcPr>
          <w:p>
            <w:pPr>
              <w:spacing w:before="40" w:after="40"/>
            </w:pPr>
            <w:r>
              <w:rPr>
                <w:rFonts w:ascii="Calibri" w:hAnsi="Calibri"/>
                <w:b w:val="0"/>
                <w:i w:val="0"/>
                <w:color w:val="333333"/>
                <w:sz w:val="17"/>
              </w:rPr>
              <w:t>P10</w:t>
            </w:r>
          </w:p>
        </w:tc>
        <w:tc>
          <w:tcPr>
            <w:tcW w:type="dxa" w:w="2835"/>
            <w:shd w:val="clear" w:fill="F2F6FA"/>
          </w:tcPr>
          <w:p>
            <w:pPr>
              <w:spacing w:before="40" w:after="40"/>
            </w:pPr>
            <w:r>
              <w:rPr>
                <w:rFonts w:ascii="Calibri" w:hAnsi="Calibri"/>
                <w:b w:val="0"/>
                <w:i w:val="0"/>
                <w:color w:val="333333"/>
                <w:sz w:val="17"/>
              </w:rPr>
              <w:t>Payment instrument selection</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Cash / Mobile Money</w:t>
            </w:r>
          </w:p>
        </w:tc>
      </w:tr>
      <w:tr>
        <w:tc>
          <w:tcPr>
            <w:tcW w:type="dxa" w:w="907"/>
          </w:tcPr>
          <w:p>
            <w:pPr>
              <w:spacing w:before="40" w:after="40"/>
            </w:pPr>
            <w:r>
              <w:rPr>
                <w:rFonts w:ascii="Calibri" w:hAnsi="Calibri"/>
                <w:b w:val="0"/>
                <w:i w:val="0"/>
                <w:color w:val="333333"/>
                <w:sz w:val="17"/>
              </w:rPr>
              <w:t>P11</w:t>
            </w:r>
          </w:p>
        </w:tc>
        <w:tc>
          <w:tcPr>
            <w:tcW w:type="dxa" w:w="2835"/>
          </w:tcPr>
          <w:p>
            <w:pPr>
              <w:spacing w:before="40" w:after="40"/>
            </w:pPr>
            <w:r>
              <w:rPr>
                <w:rFonts w:ascii="Calibri" w:hAnsi="Calibri"/>
                <w:b w:val="0"/>
                <w:i w:val="0"/>
                <w:color w:val="333333"/>
                <w:sz w:val="17"/>
              </w:rPr>
              <w:t>Mobile Money collection</w:t>
            </w:r>
          </w:p>
        </w:tc>
        <w:tc>
          <w:tcPr>
            <w:tcW w:type="dxa" w:w="2835"/>
          </w:tcPr>
          <w:p>
            <w:pPr>
              <w:spacing w:before="40" w:after="40"/>
            </w:pPr>
            <w:r>
              <w:rPr>
                <w:rFonts w:ascii="Calibri" w:hAnsi="Calibri"/>
                <w:b w:val="0"/>
                <w:i w:val="0"/>
                <w:color w:val="333333"/>
                <w:sz w:val="17"/>
              </w:rPr>
              <w:t>[N]</w:t>
            </w:r>
          </w:p>
        </w:tc>
        <w:tc>
          <w:tcPr>
            <w:tcW w:type="dxa" w:w="2835"/>
          </w:tcPr>
          <w:p>
            <w:pPr>
              <w:spacing w:before="40" w:after="40"/>
            </w:pPr>
            <w:r>
              <w:rPr>
                <w:rFonts w:ascii="Calibri" w:hAnsi="Calibri"/>
                <w:b w:val="0"/>
                <w:i w:val="0"/>
                <w:color w:val="333333"/>
                <w:sz w:val="17"/>
              </w:rPr>
              <w:t>Initiation, status polling, timeout and reversal handling</w:t>
            </w:r>
          </w:p>
        </w:tc>
      </w:tr>
      <w:tr>
        <w:tc>
          <w:tcPr>
            <w:tcW w:type="dxa" w:w="907"/>
            <w:shd w:val="clear" w:fill="F2F6FA"/>
          </w:tcPr>
          <w:p>
            <w:pPr>
              <w:spacing w:before="40" w:after="40"/>
            </w:pPr>
            <w:r>
              <w:rPr>
                <w:rFonts w:ascii="Calibri" w:hAnsi="Calibri"/>
                <w:b w:val="0"/>
                <w:i w:val="0"/>
                <w:color w:val="333333"/>
                <w:sz w:val="17"/>
              </w:rPr>
              <w:t>P12</w:t>
            </w:r>
          </w:p>
        </w:tc>
        <w:tc>
          <w:tcPr>
            <w:tcW w:type="dxa" w:w="2835"/>
            <w:shd w:val="clear" w:fill="F2F6FA"/>
          </w:tcPr>
          <w:p>
            <w:pPr>
              <w:spacing w:before="40" w:after="40"/>
            </w:pPr>
            <w:r>
              <w:rPr>
                <w:rFonts w:ascii="Calibri" w:hAnsi="Calibri"/>
                <w:b w:val="0"/>
                <w:i w:val="0"/>
                <w:color w:val="333333"/>
                <w:sz w:val="17"/>
              </w:rPr>
              <w:t>Receipt printing</w:t>
            </w:r>
          </w:p>
        </w:tc>
        <w:tc>
          <w:tcPr>
            <w:tcW w:type="dxa" w:w="2835"/>
            <w:shd w:val="clear" w:fill="F2F6FA"/>
          </w:tcPr>
          <w:p>
            <w:pPr>
              <w:spacing w:before="40" w:after="40"/>
            </w:pPr>
            <w:r>
              <w:rPr>
                <w:rFonts w:ascii="Calibri" w:hAnsi="Calibri"/>
                <w:b w:val="0"/>
                <w:i w:val="0"/>
                <w:color w:val="333333"/>
                <w:sz w:val="17"/>
              </w:rPr>
              <w:t>[E]</w:t>
            </w:r>
          </w:p>
        </w:tc>
        <w:tc>
          <w:tcPr>
            <w:tcW w:type="dxa" w:w="2835"/>
            <w:shd w:val="clear" w:fill="F2F6FA"/>
          </w:tcPr>
          <w:p>
            <w:pPr>
              <w:spacing w:before="40" w:after="40"/>
            </w:pPr>
            <w:r>
              <w:rPr>
                <w:rFonts w:ascii="Calibri" w:hAnsi="Calibri"/>
                <w:b w:val="0"/>
                <w:i w:val="0"/>
                <w:color w:val="333333"/>
                <w:sz w:val="17"/>
              </w:rPr>
              <w:t>Existing thermal printer integration; new templates for policy costs, first premium and recurring premium</w:t>
            </w:r>
          </w:p>
        </w:tc>
      </w:tr>
      <w:tr>
        <w:tc>
          <w:tcPr>
            <w:tcW w:type="dxa" w:w="907"/>
          </w:tcPr>
          <w:p>
            <w:pPr>
              <w:spacing w:before="40" w:after="40"/>
            </w:pPr>
            <w:r>
              <w:rPr>
                <w:rFonts w:ascii="Calibri" w:hAnsi="Calibri"/>
                <w:b w:val="0"/>
                <w:i w:val="0"/>
                <w:color w:val="333333"/>
                <w:sz w:val="17"/>
              </w:rPr>
              <w:t>P13</w:t>
            </w:r>
          </w:p>
        </w:tc>
        <w:tc>
          <w:tcPr>
            <w:tcW w:type="dxa" w:w="2835"/>
          </w:tcPr>
          <w:p>
            <w:pPr>
              <w:spacing w:before="40" w:after="40"/>
            </w:pPr>
            <w:r>
              <w:rPr>
                <w:rFonts w:ascii="Calibri" w:hAnsi="Calibri"/>
                <w:b w:val="0"/>
                <w:i w:val="0"/>
                <w:color w:val="333333"/>
                <w:sz w:val="17"/>
              </w:rPr>
              <w:t>Offline queue &amp; synchronisation</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Local SQLite store; retry with backoff; conflict-free unique references</w:t>
            </w:r>
          </w:p>
        </w:tc>
      </w:tr>
      <w:tr>
        <w:tc>
          <w:tcPr>
            <w:tcW w:type="dxa" w:w="907"/>
            <w:shd w:val="clear" w:fill="F2F6FA"/>
          </w:tcPr>
          <w:p>
            <w:pPr>
              <w:spacing w:before="40" w:after="40"/>
            </w:pPr>
            <w:r>
              <w:rPr>
                <w:rFonts w:ascii="Calibri" w:hAnsi="Calibri"/>
                <w:b w:val="0"/>
                <w:i w:val="0"/>
                <w:color w:val="333333"/>
                <w:sz w:val="17"/>
              </w:rPr>
              <w:t>P14</w:t>
            </w:r>
          </w:p>
        </w:tc>
        <w:tc>
          <w:tcPr>
            <w:tcW w:type="dxa" w:w="2835"/>
            <w:shd w:val="clear" w:fill="F2F6FA"/>
          </w:tcPr>
          <w:p>
            <w:pPr>
              <w:spacing w:before="40" w:after="40"/>
            </w:pPr>
            <w:r>
              <w:rPr>
                <w:rFonts w:ascii="Calibri" w:hAnsi="Calibri"/>
                <w:b w:val="0"/>
                <w:i w:val="0"/>
                <w:color w:val="333333"/>
                <w:sz w:val="17"/>
              </w:rPr>
              <w:t>Collector cap indicator &amp; pay-in declaration</w:t>
            </w:r>
          </w:p>
        </w:tc>
        <w:tc>
          <w:tcPr>
            <w:tcW w:type="dxa" w:w="2835"/>
            <w:shd w:val="clear" w:fill="F2F6FA"/>
          </w:tcPr>
          <w:p>
            <w:pPr>
              <w:spacing w:before="40" w:after="40"/>
            </w:pPr>
            <w:r>
              <w:rPr>
                <w:rFonts w:ascii="Calibri" w:hAnsi="Calibri"/>
                <w:b w:val="0"/>
                <w:i w:val="0"/>
                <w:color w:val="333333"/>
                <w:sz w:val="17"/>
              </w:rPr>
              <w:t>[N]</w:t>
            </w:r>
          </w:p>
        </w:tc>
        <w:tc>
          <w:tcPr>
            <w:tcW w:type="dxa" w:w="2835"/>
            <w:shd w:val="clear" w:fill="F2F6FA"/>
          </w:tcPr>
          <w:p>
            <w:pPr>
              <w:spacing w:before="40" w:after="40"/>
            </w:pPr>
            <w:r>
              <w:rPr>
                <w:rFonts w:ascii="Calibri" w:hAnsi="Calibri"/>
                <w:b w:val="0"/>
                <w:i w:val="0"/>
                <w:color w:val="333333"/>
                <w:sz w:val="17"/>
              </w:rPr>
              <w:t>Live uncollected balance, warning threshold, blocked state, pay-in submission</w:t>
            </w:r>
          </w:p>
        </w:tc>
      </w:tr>
      <w:tr>
        <w:tc>
          <w:tcPr>
            <w:tcW w:type="dxa" w:w="907"/>
          </w:tcPr>
          <w:p>
            <w:pPr>
              <w:spacing w:before="40" w:after="40"/>
            </w:pPr>
            <w:r>
              <w:rPr>
                <w:rFonts w:ascii="Calibri" w:hAnsi="Calibri"/>
                <w:b w:val="0"/>
                <w:i w:val="0"/>
                <w:color w:val="333333"/>
                <w:sz w:val="17"/>
              </w:rPr>
              <w:t>P15</w:t>
            </w:r>
          </w:p>
        </w:tc>
        <w:tc>
          <w:tcPr>
            <w:tcW w:type="dxa" w:w="2835"/>
          </w:tcPr>
          <w:p>
            <w:pPr>
              <w:spacing w:before="40" w:after="40"/>
            </w:pPr>
            <w:r>
              <w:rPr>
                <w:rFonts w:ascii="Calibri" w:hAnsi="Calibri"/>
                <w:b w:val="0"/>
                <w:i w:val="0"/>
                <w:color w:val="333333"/>
                <w:sz w:val="17"/>
              </w:rPr>
              <w:t>Agent reports on device</w:t>
            </w:r>
          </w:p>
        </w:tc>
        <w:tc>
          <w:tcPr>
            <w:tcW w:type="dxa" w:w="2835"/>
          </w:tcPr>
          <w:p>
            <w:pPr>
              <w:spacing w:before="40" w:after="40"/>
            </w:pPr>
            <w:r>
              <w:rPr>
                <w:rFonts w:ascii="Calibri" w:hAnsi="Calibri"/>
                <w:b w:val="0"/>
                <w:i w:val="0"/>
                <w:color w:val="333333"/>
                <w:sz w:val="17"/>
              </w:rPr>
              <w:t>[E]</w:t>
            </w:r>
          </w:p>
        </w:tc>
        <w:tc>
          <w:tcPr>
            <w:tcW w:type="dxa" w:w="2835"/>
          </w:tcPr>
          <w:p>
            <w:pPr>
              <w:spacing w:before="40" w:after="40"/>
            </w:pPr>
            <w:r>
              <w:rPr>
                <w:rFonts w:ascii="Calibri" w:hAnsi="Calibri"/>
                <w:b w:val="0"/>
                <w:i w:val="0"/>
                <w:color w:val="333333"/>
                <w:sz w:val="17"/>
              </w:rPr>
              <w:t>Day's collections, totals, re-print of a receipt</w:t>
            </w:r>
          </w:p>
        </w:tc>
      </w:tr>
      <w:tr>
        <w:tc>
          <w:tcPr>
            <w:tcW w:type="dxa" w:w="907"/>
            <w:shd w:val="clear" w:fill="F2F6FA"/>
          </w:tcPr>
          <w:p>
            <w:pPr>
              <w:spacing w:before="40" w:after="40"/>
            </w:pPr>
            <w:r>
              <w:rPr>
                <w:rFonts w:ascii="Calibri" w:hAnsi="Calibri"/>
                <w:b w:val="0"/>
                <w:i w:val="0"/>
                <w:color w:val="333333"/>
                <w:sz w:val="17"/>
              </w:rPr>
              <w:t>P16</w:t>
            </w:r>
          </w:p>
        </w:tc>
        <w:tc>
          <w:tcPr>
            <w:tcW w:type="dxa" w:w="2835"/>
            <w:shd w:val="clear" w:fill="F2F6FA"/>
          </w:tcPr>
          <w:p>
            <w:pPr>
              <w:spacing w:before="40" w:after="40"/>
            </w:pPr>
            <w:r>
              <w:rPr>
                <w:rFonts w:ascii="Calibri" w:hAnsi="Calibri"/>
                <w:b w:val="0"/>
                <w:i w:val="0"/>
                <w:color w:val="333333"/>
                <w:sz w:val="17"/>
              </w:rPr>
              <w:t>Bilingual FR/EN</w:t>
            </w:r>
          </w:p>
        </w:tc>
        <w:tc>
          <w:tcPr>
            <w:tcW w:type="dxa" w:w="2835"/>
            <w:shd w:val="clear" w:fill="F2F6FA"/>
          </w:tcPr>
          <w:p>
            <w:pPr>
              <w:spacing w:before="40" w:after="40"/>
            </w:pPr>
            <w:r>
              <w:rPr>
                <w:rFonts w:ascii="Calibri" w:hAnsi="Calibri"/>
                <w:b w:val="0"/>
                <w:i w:val="0"/>
                <w:color w:val="333333"/>
                <w:sz w:val="17"/>
              </w:rPr>
              <w:t>[R]</w:t>
            </w:r>
          </w:p>
        </w:tc>
        <w:tc>
          <w:tcPr>
            <w:tcW w:type="dxa" w:w="2835"/>
            <w:shd w:val="clear" w:fill="F2F6FA"/>
          </w:tcPr>
          <w:p>
            <w:pPr>
              <w:spacing w:before="40" w:after="40"/>
            </w:pPr>
            <w:r>
              <w:rPr>
                <w:rFonts w:ascii="Calibri" w:hAnsi="Calibri"/>
                <w:b w:val="0"/>
                <w:i w:val="0"/>
                <w:color w:val="333333"/>
                <w:sz w:val="17"/>
              </w:rPr>
              <w:t>Already implemented</w:t>
            </w:r>
          </w:p>
        </w:tc>
      </w:tr>
      <w:tr>
        <w:tc>
          <w:tcPr>
            <w:tcW w:type="dxa" w:w="907"/>
          </w:tcPr>
          <w:p>
            <w:pPr>
              <w:spacing w:before="40" w:after="40"/>
            </w:pPr>
            <w:r>
              <w:rPr>
                <w:rFonts w:ascii="Calibri" w:hAnsi="Calibri"/>
                <w:b w:val="0"/>
                <w:i w:val="0"/>
                <w:color w:val="333333"/>
                <w:sz w:val="17"/>
              </w:rPr>
              <w:t>P17</w:t>
            </w:r>
          </w:p>
        </w:tc>
        <w:tc>
          <w:tcPr>
            <w:tcW w:type="dxa" w:w="2835"/>
          </w:tcPr>
          <w:p>
            <w:pPr>
              <w:spacing w:before="40" w:after="40"/>
            </w:pPr>
            <w:r>
              <w:rPr>
                <w:rFonts w:ascii="Calibri" w:hAnsi="Calibri"/>
                <w:b w:val="0"/>
                <w:i w:val="0"/>
                <w:color w:val="333333"/>
                <w:sz w:val="17"/>
              </w:rPr>
              <w:t>Biometric capture (fingerprint)</w:t>
            </w:r>
          </w:p>
        </w:tc>
        <w:tc>
          <w:tcPr>
            <w:tcW w:type="dxa" w:w="2835"/>
          </w:tcPr>
          <w:p>
            <w:pPr>
              <w:spacing w:before="40" w:after="40"/>
            </w:pPr>
            <w:r>
              <w:rPr>
                <w:rFonts w:ascii="Calibri" w:hAnsi="Calibri"/>
                <w:b w:val="0"/>
                <w:i w:val="0"/>
                <w:color w:val="333333"/>
                <w:sz w:val="17"/>
              </w:rPr>
              <w:t>[R]</w:t>
            </w:r>
          </w:p>
        </w:tc>
        <w:tc>
          <w:tcPr>
            <w:tcW w:type="dxa" w:w="2835"/>
          </w:tcPr>
          <w:p>
            <w:pPr>
              <w:spacing w:before="40" w:after="40"/>
            </w:pPr>
            <w:r>
              <w:rPr>
                <w:rFonts w:ascii="Calibri" w:hAnsi="Calibri"/>
                <w:b w:val="0"/>
                <w:i w:val="0"/>
                <w:color w:val="333333"/>
                <w:sz w:val="17"/>
              </w:rPr>
              <w:t xml:space="preserve">Present in the platform; </w:t>
            </w:r>
            <w:r>
              <w:rPr>
                <w:rFonts w:ascii="Calibri" w:hAnsi="Calibri"/>
                <w:b/>
                <w:i w:val="0"/>
                <w:color w:val="333333"/>
                <w:sz w:val="17"/>
              </w:rPr>
              <w:t>optional</w:t>
            </w:r>
            <w:r>
              <w:rPr>
                <w:rFonts w:ascii="Calibri" w:hAnsi="Calibri"/>
                <w:b w:val="0"/>
                <w:i w:val="0"/>
                <w:color w:val="333333"/>
                <w:sz w:val="17"/>
              </w:rPr>
              <w:t xml:space="preserve"> for SUNU, available if SUNU wishes to authenticate the insured biometrically instead of, or in addition to, the card</w:t>
            </w:r>
          </w:p>
        </w:tc>
      </w:tr>
    </w:tbl>
    <w:p>
      <w:pPr>
        <w:spacing w:after="40"/>
      </w:pPr>
    </w:p>
    <w:p>
      <w:pPr>
        <w:pStyle w:val="Heading2"/>
        <w:spacing w:before="280" w:after="80"/>
        <w:keepNext/>
      </w:pPr>
      <w:bookmarkStart w:id="114" w:name="_Toc_s013"/>
      <w:r>
        <w:rPr>
          <w:rFonts w:ascii="Calibri" w:hAnsi="Calibri"/>
          <w:b/>
          <w:color w:val="1B3A5C"/>
          <w:sz w:val="24"/>
        </w:rPr>
        <w:t>4.3 Effort concentration</w:t>
      </w:r>
      <w:bookmarkEnd w:id="114"/>
    </w:p>
    <w:p>
      <w:r>
        <w:rPr>
          <w:rFonts w:ascii="Calibri" w:hAnsi="Calibri"/>
          <w:b w:val="0"/>
          <w:i w:val="0"/>
          <w:color w:val="333333"/>
          <w:sz w:val="20"/>
        </w:rPr>
        <w:t>New build is concentrated in five places: the insurance product/policy model (B7, B9), collector caps and pay-ins (B12, P14), the QR virtual card (B14, P8), Mobile Money (B15, P10–P11), and the SUNULIFE hub (B16). Everything else is adaptation of running code. Document 4 sequences these.</w:t>
      </w:r>
    </w:p>
    <w:p>
      <w:pPr>
        <w:pStyle w:val="Heading1"/>
        <w:pageBreakBefore/>
        <w:spacing w:before="360" w:after="80"/>
        <w:keepNext/>
        <w:pBdr>
          <w:bottom w:val="single" w:sz="8" w:space="6" w:color="1B3A5C"/>
        </w:pBdr>
      </w:pPr>
      <w:bookmarkStart w:id="115" w:name="_Toc_s014"/>
      <w:r>
        <w:rPr>
          <w:rFonts w:ascii="Calibri" w:hAnsi="Calibri"/>
          <w:b/>
          <w:color w:val="1B3A5C"/>
          <w:sz w:val="30"/>
        </w:rPr>
        <w:t>5. Data Architecture</w:t>
      </w:r>
      <w:bookmarkEnd w:id="115"/>
    </w:p>
    <w:p>
      <w:pPr>
        <w:pStyle w:val="Heading2"/>
        <w:spacing w:before="280" w:after="80"/>
        <w:keepNext/>
      </w:pPr>
      <w:bookmarkStart w:id="116" w:name="_Toc_s015"/>
      <w:r>
        <w:rPr>
          <w:rFonts w:ascii="Calibri" w:hAnsi="Calibri"/>
          <w:b/>
          <w:color w:val="1B3A5C"/>
          <w:sz w:val="24"/>
        </w:rPr>
        <w:t>5.1 Core entities</w:t>
      </w:r>
      <w:bookmarkEnd w:id="116"/>
    </w:p>
    <w:p>
      <w:pPr>
        <w:spacing w:before="120" w:after="160" w:line="240" w:lineRule="auto"/>
        <w:ind w:left="113"/>
        <w:shd w:val="clear" w:fill="F4F5F2"/>
        <w:pBdr>
          <w:left w:val="single" w:sz="12" w:space="6" w:color="1B3A5C"/>
        </w:pBdr>
      </w:pPr>
      <w:r>
        <w:rPr>
          <w:rFonts w:ascii="Consolas" w:hAnsi="Consolas" w:cs="Consolas"/>
          <w:color w:val="333333"/>
          <w:sz w:val="15"/>
        </w:rPr>
        <w:t>business_unit</w:t>
        <w:br/>
      </w:r>
      <w:r>
        <w:rPr>
          <w:rFonts w:ascii="Consolas" w:hAnsi="Consolas" w:cs="Consolas"/>
          <w:color w:val="333333"/>
          <w:sz w:val="15"/>
        </w:rPr>
        <w:t xml:space="preserve">   │</w:t>
        <w:br/>
      </w:r>
      <w:r>
        <w:rPr>
          <w:rFonts w:ascii="Consolas" w:hAnsi="Consolas" w:cs="Consolas"/>
          <w:color w:val="333333"/>
          <w:sz w:val="15"/>
        </w:rPr>
        <w:t xml:space="preserve">   ├── user ──── role ──── permission</w:t>
        <w:br/>
      </w:r>
      <w:r>
        <w:rPr>
          <w:rFonts w:ascii="Consolas" w:hAnsi="Consolas" w:cs="Consolas"/>
          <w:color w:val="333333"/>
          <w:sz w:val="15"/>
        </w:rPr>
        <w:t xml:space="preserve">   │</w:t>
        <w:br/>
      </w:r>
      <w:r>
        <w:rPr>
          <w:rFonts w:ascii="Consolas" w:hAnsi="Consolas" w:cs="Consolas"/>
          <w:color w:val="333333"/>
          <w:sz w:val="15"/>
        </w:rPr>
        <w:t xml:space="preserve">   ├── agent (collector) ──┬── agent_terminal ──── terminal</w:t>
        <w:br/>
      </w:r>
      <w:r>
        <w:rPr>
          <w:rFonts w:ascii="Consolas" w:hAnsi="Consolas" w:cs="Consolas"/>
          <w:color w:val="333333"/>
          <w:sz w:val="15"/>
        </w:rPr>
        <w:t xml:space="preserve">   │                       └── collector_cap / collector_balance      [new]</w:t>
        <w:br/>
      </w:r>
      <w:r>
        <w:rPr>
          <w:rFonts w:ascii="Consolas" w:hAnsi="Consolas" w:cs="Consolas"/>
          <w:color w:val="333333"/>
          <w:sz w:val="15"/>
        </w:rPr>
        <w:t xml:space="preserve">   │</w:t>
        <w:br/>
      </w:r>
      <w:r>
        <w:rPr>
          <w:rFonts w:ascii="Consolas" w:hAnsi="Consolas" w:cs="Consolas"/>
          <w:color w:val="333333"/>
          <w:sz w:val="15"/>
        </w:rPr>
        <w:t xml:space="preserve">   ├── client (insured) ───┬── client_document (proposal photo, CNIB)</w:t>
        <w:br/>
      </w:r>
      <w:r>
        <w:rPr>
          <w:rFonts w:ascii="Consolas" w:hAnsi="Consolas" w:cs="Consolas"/>
          <w:color w:val="333333"/>
          <w:sz w:val="15"/>
        </w:rPr>
        <w:t xml:space="preserve">   │                       ├── proposal              [adapted]</w:t>
        <w:br/>
      </w:r>
      <w:r>
        <w:rPr>
          <w:rFonts w:ascii="Consolas" w:hAnsi="Consolas" w:cs="Consolas"/>
          <w:color w:val="333333"/>
          <w:sz w:val="15"/>
        </w:rPr>
        <w:t xml:space="preserve">   │                       ├── policy                [new]</w:t>
        <w:br/>
      </w:r>
      <w:r>
        <w:rPr>
          <w:rFonts w:ascii="Consolas" w:hAnsi="Consolas" w:cs="Consolas"/>
          <w:color w:val="333333"/>
          <w:sz w:val="15"/>
        </w:rPr>
        <w:t xml:space="preserve">   │                       └── card ────── card_policy_link           [new]</w:t>
        <w:br/>
      </w:r>
      <w:r>
        <w:rPr>
          <w:rFonts w:ascii="Consolas" w:hAnsi="Consolas" w:cs="Consolas"/>
          <w:color w:val="333333"/>
          <w:sz w:val="15"/>
        </w:rPr>
        <w:t xml:space="preserve">   │                                └── virtual_card_credential       [new]</w:t>
        <w:br/>
      </w:r>
      <w:r>
        <w:rPr>
          <w:rFonts w:ascii="Consolas" w:hAnsi="Consolas" w:cs="Consolas"/>
          <w:color w:val="333333"/>
          <w:sz w:val="15"/>
        </w:rPr>
        <w:t xml:space="preserve">   │</w:t>
        <w:br/>
      </w:r>
      <w:r>
        <w:rPr>
          <w:rFonts w:ascii="Consolas" w:hAnsi="Consolas" w:cs="Consolas"/>
          <w:color w:val="333333"/>
          <w:sz w:val="15"/>
        </w:rPr>
        <w:t xml:space="preserve">   ├── insurance_product        [new]</w:t>
        <w:br/>
      </w:r>
      <w:r>
        <w:rPr>
          <w:rFonts w:ascii="Consolas" w:hAnsi="Consolas" w:cs="Consolas"/>
          <w:color w:val="333333"/>
          <w:sz w:val="15"/>
        </w:rPr>
        <w:t xml:space="preserve">   │</w:t>
        <w:br/>
      </w:r>
      <w:r>
        <w:rPr>
          <w:rFonts w:ascii="Consolas" w:hAnsi="Consolas" w:cs="Consolas"/>
          <w:color w:val="333333"/>
          <w:sz w:val="15"/>
        </w:rPr>
        <w:t xml:space="preserve">   ├── premium_collection ─── transaction ─── transaction_type</w:t>
        <w:br/>
      </w:r>
      <w:r>
        <w:rPr>
          <w:rFonts w:ascii="Consolas" w:hAnsi="Consolas" w:cs="Consolas"/>
          <w:color w:val="333333"/>
          <w:sz w:val="15"/>
        </w:rPr>
        <w:t xml:space="preserve">   │        [adapted]              [reused]</w:t>
        <w:br/>
      </w:r>
      <w:r>
        <w:rPr>
          <w:rFonts w:ascii="Consolas" w:hAnsi="Consolas" w:cs="Consolas"/>
          <w:color w:val="333333"/>
          <w:sz w:val="15"/>
        </w:rPr>
        <w:t xml:space="preserve">   │</w:t>
        <w:br/>
      </w:r>
      <w:r>
        <w:rPr>
          <w:rFonts w:ascii="Consolas" w:hAnsi="Consolas" w:cs="Consolas"/>
          <w:color w:val="333333"/>
          <w:sz w:val="15"/>
        </w:rPr>
        <w:t xml:space="preserve">   ├── pay_in ──── pay_in_lines  [new]</w:t>
        <w:br/>
      </w:r>
      <w:r>
        <w:rPr>
          <w:rFonts w:ascii="Consolas" w:hAnsi="Consolas" w:cs="Consolas"/>
          <w:color w:val="333333"/>
          <w:sz w:val="15"/>
        </w:rPr>
        <w:t xml:space="preserve">   │</w:t>
        <w:br/>
      </w:r>
      <w:r>
        <w:rPr>
          <w:rFonts w:ascii="Consolas" w:hAnsi="Consolas" w:cs="Consolas"/>
          <w:color w:val="333333"/>
          <w:sz w:val="15"/>
        </w:rPr>
        <w:t xml:space="preserve">   ├── momo_payment              [new]</w:t>
        <w:br/>
      </w:r>
      <w:r>
        <w:rPr>
          <w:rFonts w:ascii="Consolas" w:hAnsi="Consolas" w:cs="Consolas"/>
          <w:color w:val="333333"/>
          <w:sz w:val="15"/>
        </w:rPr>
        <w:t xml:space="preserve">   │</w:t>
        <w:br/>
      </w:r>
      <w:r>
        <w:rPr>
          <w:rFonts w:ascii="Consolas" w:hAnsi="Consolas" w:cs="Consolas"/>
          <w:color w:val="333333"/>
          <w:sz w:val="15"/>
        </w:rPr>
        <w:t xml:space="preserve">   ├── sunulife_sync_log         [new]</w:t>
        <w:br/>
      </w:r>
      <w:r>
        <w:rPr>
          <w:rFonts w:ascii="Consolas" w:hAnsi="Consolas" w:cs="Consolas"/>
          <w:color w:val="333333"/>
          <w:sz w:val="15"/>
        </w:rPr>
        <w:t xml:space="preserve">   │</w:t>
        <w:br/>
      </w:r>
      <w:r>
        <w:rPr>
          <w:rFonts w:ascii="Consolas" w:hAnsi="Consolas" w:cs="Consolas"/>
          <w:color w:val="333333"/>
          <w:sz w:val="15"/>
        </w:rPr>
        <w:t xml:space="preserve">   ├── report (async export)     [reused]</w:t>
        <w:br/>
      </w:r>
      <w:r>
        <w:rPr>
          <w:rFonts w:ascii="Consolas" w:hAnsi="Consolas" w:cs="Consolas"/>
          <w:color w:val="333333"/>
          <w:sz w:val="15"/>
        </w:rPr>
        <w:t xml:space="preserve">   └── activity_log (audit)      [reused]</w:t>
      </w:r>
    </w:p>
    <w:p>
      <w:pPr>
        <w:pStyle w:val="Heading2"/>
        <w:spacing w:before="280" w:after="80"/>
        <w:keepNext/>
      </w:pPr>
      <w:bookmarkStart w:id="117" w:name="_Toc_s016"/>
      <w:r>
        <w:rPr>
          <w:rFonts w:ascii="Calibri" w:hAnsi="Calibri"/>
          <w:b/>
          <w:color w:val="1B3A5C"/>
          <w:sz w:val="24"/>
        </w:rPr>
        <w:t>5.2 Key new/adapted tables</w:t>
      </w:r>
      <w:bookmarkEnd w:id="117"/>
    </w:p>
    <w:p>
      <w:r>
        <w:rPr>
          <w:rFonts w:ascii="Consolas" w:hAnsi="Consolas"/>
          <w:b/>
          <w:i w:val="0"/>
          <w:color w:val="1B3A5C"/>
          <w:sz w:val="19"/>
        </w:rPr>
        <w:t>insurance_product</w:t>
      </w:r>
      <w:r>
        <w:rPr>
          <w:rFonts w:ascii="Calibri" w:hAnsi="Calibri"/>
          <w:b w:val="0"/>
          <w:i w:val="0"/>
          <w:color w:val="333333"/>
          <w:sz w:val="20"/>
        </w:rPr>
        <w:t xml:space="preserve"> — </w:t>
      </w:r>
      <w:r>
        <w:rPr>
          <w:rFonts w:ascii="Consolas" w:hAnsi="Consolas"/>
          <w:b w:val="0"/>
          <w:i w:val="0"/>
          <w:color w:val="1B3A5C"/>
          <w:sz w:val="19"/>
        </w:rPr>
        <w:t>code</w:t>
      </w:r>
      <w:r>
        <w:rPr>
          <w:rFonts w:ascii="Calibri" w:hAnsi="Calibri"/>
          <w:b w:val="0"/>
          <w:i w:val="0"/>
          <w:color w:val="333333"/>
          <w:sz w:val="20"/>
        </w:rPr>
        <w:t xml:space="preserve">, </w:t>
      </w:r>
      <w:r>
        <w:rPr>
          <w:rFonts w:ascii="Consolas" w:hAnsi="Consolas"/>
          <w:b w:val="0"/>
          <w:i w:val="0"/>
          <w:color w:val="1B3A5C"/>
          <w:sz w:val="19"/>
        </w:rPr>
        <w:t>name_fr</w:t>
      </w:r>
      <w:r>
        <w:rPr>
          <w:rFonts w:ascii="Calibri" w:hAnsi="Calibri"/>
          <w:b w:val="0"/>
          <w:i w:val="0"/>
          <w:color w:val="333333"/>
          <w:sz w:val="20"/>
        </w:rPr>
        <w:t xml:space="preserve">, </w:t>
      </w:r>
      <w:r>
        <w:rPr>
          <w:rFonts w:ascii="Consolas" w:hAnsi="Consolas"/>
          <w:b w:val="0"/>
          <w:i w:val="0"/>
          <w:color w:val="1B3A5C"/>
          <w:sz w:val="19"/>
        </w:rPr>
        <w:t>name_en</w:t>
      </w:r>
      <w:r>
        <w:rPr>
          <w:rFonts w:ascii="Calibri" w:hAnsi="Calibri"/>
          <w:b w:val="0"/>
          <w:i w:val="0"/>
          <w:color w:val="333333"/>
          <w:sz w:val="20"/>
        </w:rPr>
        <w:t xml:space="preserve">, </w:t>
      </w:r>
      <w:r>
        <w:rPr>
          <w:rFonts w:ascii="Consolas" w:hAnsi="Consolas"/>
          <w:b w:val="0"/>
          <w:i w:val="0"/>
          <w:color w:val="1B3A5C"/>
          <w:sz w:val="19"/>
        </w:rPr>
        <w:t>family</w:t>
      </w:r>
      <w:r>
        <w:rPr>
          <w:rFonts w:ascii="Calibri" w:hAnsi="Calibri"/>
          <w:b w:val="0"/>
          <w:i w:val="0"/>
          <w:color w:val="333333"/>
          <w:sz w:val="20"/>
        </w:rPr>
        <w:t xml:space="preserve"> (micro-insurance / standard), </w:t>
      </w:r>
      <w:r>
        <w:rPr>
          <w:rFonts w:ascii="Consolas" w:hAnsi="Consolas"/>
          <w:b w:val="0"/>
          <w:i w:val="0"/>
          <w:color w:val="1B3A5C"/>
          <w:sz w:val="19"/>
        </w:rPr>
        <w:t>default_premium_frequency</w:t>
      </w:r>
      <w:r>
        <w:rPr>
          <w:rFonts w:ascii="Calibri" w:hAnsi="Calibri"/>
          <w:b w:val="0"/>
          <w:i w:val="0"/>
          <w:color w:val="333333"/>
          <w:sz w:val="20"/>
        </w:rPr>
        <w:t xml:space="preserve">, </w:t>
      </w:r>
      <w:r>
        <w:rPr>
          <w:rFonts w:ascii="Consolas" w:hAnsi="Consolas"/>
          <w:b w:val="0"/>
          <w:i w:val="0"/>
          <w:color w:val="1B3A5C"/>
          <w:sz w:val="19"/>
        </w:rPr>
        <w:t>policy_cost_rule</w:t>
      </w:r>
      <w:r>
        <w:rPr>
          <w:rFonts w:ascii="Calibri" w:hAnsi="Calibri"/>
          <w:b w:val="0"/>
          <w:i w:val="0"/>
          <w:color w:val="333333"/>
          <w:sz w:val="20"/>
        </w:rPr>
        <w:t xml:space="preserve">, </w:t>
      </w:r>
      <w:r>
        <w:rPr>
          <w:rFonts w:ascii="Consolas" w:hAnsi="Consolas"/>
          <w:b w:val="0"/>
          <w:i w:val="0"/>
          <w:color w:val="1B3A5C"/>
          <w:sz w:val="19"/>
        </w:rPr>
        <w:t>receipt_template</w:t>
      </w:r>
      <w:r>
        <w:rPr>
          <w:rFonts w:ascii="Calibri" w:hAnsi="Calibri"/>
          <w:b w:val="0"/>
          <w:i w:val="0"/>
          <w:color w:val="333333"/>
          <w:sz w:val="20"/>
        </w:rPr>
        <w:t xml:space="preserve">, </w:t>
      </w:r>
      <w:r>
        <w:rPr>
          <w:rFonts w:ascii="Consolas" w:hAnsi="Consolas"/>
          <w:b w:val="0"/>
          <w:i w:val="0"/>
          <w:color w:val="1B3A5C"/>
          <w:sz w:val="19"/>
        </w:rPr>
        <w:t>sunulife_product_code</w:t>
      </w:r>
      <w:r>
        <w:rPr>
          <w:rFonts w:ascii="Calibri" w:hAnsi="Calibri"/>
          <w:b w:val="0"/>
          <w:i w:val="0"/>
          <w:color w:val="333333"/>
          <w:sz w:val="20"/>
        </w:rPr>
        <w:t xml:space="preserve">, </w:t>
      </w:r>
      <w:r>
        <w:rPr>
          <w:rFonts w:ascii="Consolas" w:hAnsi="Consolas"/>
          <w:b w:val="0"/>
          <w:i w:val="0"/>
          <w:color w:val="1B3A5C"/>
          <w:sz w:val="19"/>
        </w:rPr>
        <w:t>is_active</w:t>
      </w:r>
      <w:r>
        <w:rPr>
          <w:rFonts w:ascii="Calibri" w:hAnsi="Calibri"/>
          <w:b w:val="0"/>
          <w:i w:val="0"/>
          <w:color w:val="333333"/>
          <w:sz w:val="20"/>
        </w:rPr>
        <w:t>.</w:t>
      </w:r>
    </w:p>
    <w:p>
      <w:r>
        <w:rPr>
          <w:rFonts w:ascii="Consolas" w:hAnsi="Consolas"/>
          <w:b/>
          <w:i w:val="0"/>
          <w:color w:val="1B3A5C"/>
          <w:sz w:val="19"/>
        </w:rPr>
        <w:t>proposal</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terminal_id</w:t>
      </w:r>
      <w:r>
        <w:rPr>
          <w:rFonts w:ascii="Calibri" w:hAnsi="Calibri"/>
          <w:b w:val="0"/>
          <w:i w:val="0"/>
          <w:color w:val="333333"/>
          <w:sz w:val="20"/>
        </w:rPr>
        <w:t xml:space="preserve">,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insurance_product_id</w:t>
      </w:r>
      <w:r>
        <w:rPr>
          <w:rFonts w:ascii="Calibri" w:hAnsi="Calibri"/>
          <w:b w:val="0"/>
          <w:i w:val="0"/>
          <w:color w:val="333333"/>
          <w:sz w:val="20"/>
        </w:rPr>
        <w:t xml:space="preserve">, </w:t>
      </w:r>
      <w:r>
        <w:rPr>
          <w:rFonts w:ascii="Consolas" w:hAnsi="Consolas"/>
          <w:b w:val="0"/>
          <w:i w:val="0"/>
          <w:color w:val="1B3A5C"/>
          <w:sz w:val="19"/>
        </w:rPr>
        <w:t>proposal_number</w:t>
      </w:r>
      <w:r>
        <w:rPr>
          <w:rFonts w:ascii="Calibri" w:hAnsi="Calibri"/>
          <w:b w:val="0"/>
          <w:i w:val="0"/>
          <w:color w:val="333333"/>
          <w:sz w:val="20"/>
        </w:rPr>
        <w:t xml:space="preserve"> (from the physical form, unique per unit), </w:t>
      </w:r>
      <w:r>
        <w:rPr>
          <w:rFonts w:ascii="Consolas" w:hAnsi="Consolas"/>
          <w:b w:val="0"/>
          <w:i w:val="0"/>
          <w:color w:val="1B3A5C"/>
          <w:sz w:val="19"/>
        </w:rPr>
        <w:t>status</w:t>
      </w:r>
      <w:r>
        <w:rPr>
          <w:rFonts w:ascii="Calibri" w:hAnsi="Calibri"/>
          <w:b w:val="0"/>
          <w:i w:val="0"/>
          <w:color w:val="333333"/>
          <w:sz w:val="20"/>
        </w:rPr>
        <w:t xml:space="preserve"> (captured → transmitted → under review → accepted → rejected), </w:t>
      </w:r>
      <w:r>
        <w:rPr>
          <w:rFonts w:ascii="Consolas" w:hAnsi="Consolas"/>
          <w:b w:val="0"/>
          <w:i w:val="0"/>
          <w:color w:val="1B3A5C"/>
          <w:sz w:val="19"/>
        </w:rPr>
        <w:t>subscribed_at</w:t>
      </w:r>
      <w:r>
        <w:rPr>
          <w:rFonts w:ascii="Calibri" w:hAnsi="Calibri"/>
          <w:b w:val="0"/>
          <w:i w:val="0"/>
          <w:color w:val="333333"/>
          <w:sz w:val="20"/>
        </w:rPr>
        <w:t xml:space="preserve">, </w:t>
      </w:r>
      <w:r>
        <w:rPr>
          <w:rFonts w:ascii="Consolas" w:hAnsi="Consolas"/>
          <w:b w:val="0"/>
          <w:i w:val="0"/>
          <w:color w:val="1B3A5C"/>
          <w:sz w:val="19"/>
        </w:rPr>
        <w:t>latitude</w:t>
      </w:r>
      <w:r>
        <w:rPr>
          <w:rFonts w:ascii="Calibri" w:hAnsi="Calibri"/>
          <w:b w:val="0"/>
          <w:i w:val="0"/>
          <w:color w:val="333333"/>
          <w:sz w:val="20"/>
        </w:rPr>
        <w:t xml:space="preserve">, </w:t>
      </w:r>
      <w:r>
        <w:rPr>
          <w:rFonts w:ascii="Consolas" w:hAnsi="Consolas"/>
          <w:b w:val="0"/>
          <w:i w:val="0"/>
          <w:color w:val="1B3A5C"/>
          <w:sz w:val="19"/>
        </w:rPr>
        <w:t>longitude</w:t>
      </w:r>
      <w:r>
        <w:rPr>
          <w:rFonts w:ascii="Calibri" w:hAnsi="Calibri"/>
          <w:b w:val="0"/>
          <w:i w:val="0"/>
          <w:color w:val="333333"/>
          <w:sz w:val="20"/>
        </w:rPr>
        <w:t xml:space="preserve">, </w:t>
      </w:r>
      <w:r>
        <w:rPr>
          <w:rFonts w:ascii="Consolas" w:hAnsi="Consolas"/>
          <w:b w:val="0"/>
          <w:i w:val="0"/>
          <w:color w:val="1B3A5C"/>
          <w:sz w:val="19"/>
        </w:rPr>
        <w:t>form_data</w:t>
      </w:r>
      <w:r>
        <w:rPr>
          <w:rFonts w:ascii="Calibri" w:hAnsi="Calibri"/>
          <w:b w:val="0"/>
          <w:i w:val="0"/>
          <w:color w:val="333333"/>
          <w:sz w:val="20"/>
        </w:rPr>
        <w:t xml:space="preserve"> (JSON), </w:t>
      </w:r>
      <w:r>
        <w:rPr>
          <w:rFonts w:ascii="Consolas" w:hAnsi="Consolas"/>
          <w:b w:val="0"/>
          <w:i w:val="0"/>
          <w:color w:val="1B3A5C"/>
          <w:sz w:val="19"/>
        </w:rPr>
        <w:t>proposal_image_path</w:t>
      </w:r>
      <w:r>
        <w:rPr>
          <w:rFonts w:ascii="Calibri" w:hAnsi="Calibri"/>
          <w:b w:val="0"/>
          <w:i w:val="0"/>
          <w:color w:val="333333"/>
          <w:sz w:val="20"/>
        </w:rPr>
        <w:t xml:space="preserve">, </w:t>
      </w:r>
      <w:r>
        <w:rPr>
          <w:rFonts w:ascii="Consolas" w:hAnsi="Consolas"/>
          <w:b w:val="0"/>
          <w:i w:val="0"/>
          <w:color w:val="1B3A5C"/>
          <w:sz w:val="19"/>
        </w:rPr>
        <w:t>id_document_front_path</w:t>
      </w:r>
      <w:r>
        <w:rPr>
          <w:rFonts w:ascii="Calibri" w:hAnsi="Calibri"/>
          <w:b w:val="0"/>
          <w:i w:val="0"/>
          <w:color w:val="333333"/>
          <w:sz w:val="20"/>
        </w:rPr>
        <w:t xml:space="preserve">, </w:t>
      </w:r>
      <w:r>
        <w:rPr>
          <w:rFonts w:ascii="Consolas" w:hAnsi="Consolas"/>
          <w:b w:val="0"/>
          <w:i w:val="0"/>
          <w:color w:val="1B3A5C"/>
          <w:sz w:val="19"/>
        </w:rPr>
        <w:t>id_document_back_path</w:t>
      </w:r>
      <w:r>
        <w:rPr>
          <w:rFonts w:ascii="Calibri" w:hAnsi="Calibri"/>
          <w:b w:val="0"/>
          <w:i w:val="0"/>
          <w:color w:val="333333"/>
          <w:sz w:val="20"/>
        </w:rPr>
        <w:t xml:space="preserve">, </w:t>
      </w:r>
      <w:r>
        <w:rPr>
          <w:rFonts w:ascii="Consolas" w:hAnsi="Consolas"/>
          <w:b w:val="0"/>
          <w:i w:val="0"/>
          <w:color w:val="1B3A5C"/>
          <w:sz w:val="19"/>
        </w:rPr>
        <w:t>sunulife_policy_number</w:t>
      </w:r>
      <w:r>
        <w:rPr>
          <w:rFonts w:ascii="Calibri" w:hAnsi="Calibri"/>
          <w:b w:val="0"/>
          <w:i w:val="0"/>
          <w:color w:val="333333"/>
          <w:sz w:val="20"/>
        </w:rPr>
        <w:t xml:space="preserve"> (filled on acceptance), timestamps. </w:t>
      </w:r>
      <w:r>
        <w:rPr>
          <w:rFonts w:ascii="Calibri" w:hAnsi="Calibri"/>
          <w:b w:val="0"/>
          <w:i/>
          <w:color w:val="333333"/>
          <w:sz w:val="20"/>
        </w:rPr>
        <w:t xml:space="preserve">Directly mirrors the existing enrolment table, which already carries agent, terminal, status, identity fields, </w:t>
      </w:r>
      <w:r>
        <w:rPr>
          <w:rFonts w:ascii="Consolas" w:hAnsi="Consolas"/>
          <w:b w:val="0"/>
          <w:i/>
          <w:color w:val="1B3A5C"/>
          <w:sz w:val="19"/>
        </w:rPr>
        <w:t>form_data</w:t>
      </w:r>
      <w:r>
        <w:rPr>
          <w:rFonts w:ascii="Calibri" w:hAnsi="Calibri"/>
          <w:b w:val="0"/>
          <w:i/>
          <w:color w:val="333333"/>
          <w:sz w:val="20"/>
        </w:rPr>
        <w:t xml:space="preserve"> JSON and document paths.</w:t>
      </w:r>
    </w:p>
    <w:p>
      <w:r>
        <w:rPr>
          <w:rFonts w:ascii="Consolas" w:hAnsi="Consolas"/>
          <w:b/>
          <w:i w:val="0"/>
          <w:color w:val="1B3A5C"/>
          <w:sz w:val="19"/>
        </w:rPr>
        <w:t>policy</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insurance_product_id</w:t>
      </w:r>
      <w:r>
        <w:rPr>
          <w:rFonts w:ascii="Calibri" w:hAnsi="Calibri"/>
          <w:b w:val="0"/>
          <w:i w:val="0"/>
          <w:color w:val="333333"/>
          <w:sz w:val="20"/>
        </w:rPr>
        <w:t xml:space="preserve">, </w:t>
      </w:r>
      <w:r>
        <w:rPr>
          <w:rFonts w:ascii="Consolas" w:hAnsi="Consolas"/>
          <w:b w:val="0"/>
          <w:i w:val="0"/>
          <w:color w:val="1B3A5C"/>
          <w:sz w:val="19"/>
        </w:rPr>
        <w:t>policy_number</w:t>
      </w:r>
      <w:r>
        <w:rPr>
          <w:rFonts w:ascii="Calibri" w:hAnsi="Calibri"/>
          <w:b w:val="0"/>
          <w:i w:val="0"/>
          <w:color w:val="333333"/>
          <w:sz w:val="20"/>
        </w:rPr>
        <w:t xml:space="preserve">, </w:t>
      </w:r>
      <w:r>
        <w:rPr>
          <w:rFonts w:ascii="Consolas" w:hAnsi="Consolas"/>
          <w:b w:val="0"/>
          <w:i w:val="0"/>
          <w:color w:val="1B3A5C"/>
          <w:sz w:val="19"/>
        </w:rPr>
        <w:t>sunulife_policy_id</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(active / suspended / lapsed / terminated), </w:t>
      </w:r>
      <w:r>
        <w:rPr>
          <w:rFonts w:ascii="Consolas" w:hAnsi="Consolas"/>
          <w:b w:val="0"/>
          <w:i w:val="0"/>
          <w:color w:val="1B3A5C"/>
          <w:sz w:val="19"/>
        </w:rPr>
        <w:t>effective_date</w:t>
      </w:r>
      <w:r>
        <w:rPr>
          <w:rFonts w:ascii="Calibri" w:hAnsi="Calibri"/>
          <w:b w:val="0"/>
          <w:i w:val="0"/>
          <w:color w:val="333333"/>
          <w:sz w:val="20"/>
        </w:rPr>
        <w:t xml:space="preserve">, </w:t>
      </w:r>
      <w:r>
        <w:rPr>
          <w:rFonts w:ascii="Consolas" w:hAnsi="Consolas"/>
          <w:b w:val="0"/>
          <w:i w:val="0"/>
          <w:color w:val="1B3A5C"/>
          <w:sz w:val="19"/>
        </w:rPr>
        <w:t>premium_amount</w:t>
      </w:r>
      <w:r>
        <w:rPr>
          <w:rFonts w:ascii="Calibri" w:hAnsi="Calibri"/>
          <w:b w:val="0"/>
          <w:i w:val="0"/>
          <w:color w:val="333333"/>
          <w:sz w:val="20"/>
        </w:rPr>
        <w:t xml:space="preserve">, </w:t>
      </w:r>
      <w:r>
        <w:rPr>
          <w:rFonts w:ascii="Consolas" w:hAnsi="Consolas"/>
          <w:b w:val="0"/>
          <w:i w:val="0"/>
          <w:color w:val="1B3A5C"/>
          <w:sz w:val="19"/>
        </w:rPr>
        <w:t>premium_frequency</w:t>
      </w:r>
      <w:r>
        <w:rPr>
          <w:rFonts w:ascii="Calibri" w:hAnsi="Calibri"/>
          <w:b w:val="0"/>
          <w:i w:val="0"/>
          <w:color w:val="333333"/>
          <w:sz w:val="20"/>
        </w:rPr>
        <w:t xml:space="preserve">, </w:t>
      </w:r>
      <w:r>
        <w:rPr>
          <w:rFonts w:ascii="Consolas" w:hAnsi="Consolas"/>
          <w:b w:val="0"/>
          <w:i w:val="0"/>
          <w:color w:val="1B3A5C"/>
          <w:sz w:val="19"/>
        </w:rPr>
        <w:t>next_due_date</w:t>
      </w:r>
      <w:r>
        <w:rPr>
          <w:rFonts w:ascii="Calibri" w:hAnsi="Calibri"/>
          <w:b w:val="0"/>
          <w:i w:val="0"/>
          <w:color w:val="333333"/>
          <w:sz w:val="20"/>
        </w:rPr>
        <w:t xml:space="preserve">, </w:t>
      </w:r>
      <w:r>
        <w:rPr>
          <w:rFonts w:ascii="Consolas" w:hAnsi="Consolas"/>
          <w:b w:val="0"/>
          <w:i w:val="0"/>
          <w:color w:val="1B3A5C"/>
          <w:sz w:val="19"/>
        </w:rPr>
        <w:t>outstanding_balance</w:t>
      </w:r>
      <w:r>
        <w:rPr>
          <w:rFonts w:ascii="Calibri" w:hAnsi="Calibri"/>
          <w:b w:val="0"/>
          <w:i w:val="0"/>
          <w:color w:val="333333"/>
          <w:sz w:val="20"/>
        </w:rPr>
        <w:t xml:space="preserve">, </w:t>
      </w:r>
      <w:r>
        <w:rPr>
          <w:rFonts w:ascii="Consolas" w:hAnsi="Consolas"/>
          <w:b w:val="0"/>
          <w:i w:val="0"/>
          <w:color w:val="1B3A5C"/>
          <w:sz w:val="19"/>
        </w:rPr>
        <w:t>source</w:t>
      </w:r>
      <w:r>
        <w:rPr>
          <w:rFonts w:ascii="Calibri" w:hAnsi="Calibri"/>
          <w:b w:val="0"/>
          <w:i w:val="0"/>
          <w:color w:val="333333"/>
          <w:sz w:val="20"/>
        </w:rPr>
        <w:t xml:space="preserve"> (</w:t>
      </w:r>
      <w:r>
        <w:rPr>
          <w:rFonts w:ascii="Consolas" w:hAnsi="Consolas"/>
          <w:b w:val="0"/>
          <w:i w:val="0"/>
          <w:color w:val="1B3A5C"/>
          <w:sz w:val="19"/>
        </w:rPr>
        <w:t>sunulife</w:t>
      </w:r>
      <w:r>
        <w:rPr>
          <w:rFonts w:ascii="Calibri" w:hAnsi="Calibri"/>
          <w:b w:val="0"/>
          <w:i w:val="0"/>
          <w:color w:val="333333"/>
          <w:sz w:val="20"/>
        </w:rPr>
        <w:t xml:space="preserve"> | </w:t>
      </w:r>
      <w:r>
        <w:rPr>
          <w:rFonts w:ascii="Consolas" w:hAnsi="Consolas"/>
          <w:b w:val="0"/>
          <w:i w:val="0"/>
          <w:color w:val="1B3A5C"/>
          <w:sz w:val="19"/>
        </w:rPr>
        <w:t>local_proposal</w:t>
      </w:r>
      <w:r>
        <w:rPr>
          <w:rFonts w:ascii="Calibri" w:hAnsi="Calibri"/>
          <w:b w:val="0"/>
          <w:i w:val="0"/>
          <w:color w:val="333333"/>
          <w:sz w:val="20"/>
        </w:rPr>
        <w:t xml:space="preserve">), </w:t>
      </w:r>
      <w:r>
        <w:rPr>
          <w:rFonts w:ascii="Consolas" w:hAnsi="Consolas"/>
          <w:b w:val="0"/>
          <w:i w:val="0"/>
          <w:color w:val="1B3A5C"/>
          <w:sz w:val="19"/>
        </w:rPr>
        <w:t>synced_at</w:t>
      </w:r>
      <w:r>
        <w:rPr>
          <w:rFonts w:ascii="Calibri" w:hAnsi="Calibri"/>
          <w:b w:val="0"/>
          <w:i w:val="0"/>
          <w:color w:val="333333"/>
          <w:sz w:val="20"/>
        </w:rPr>
        <w:t>. Unique on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policy_number</w:t>
      </w:r>
      <w:r>
        <w:rPr>
          <w:rFonts w:ascii="Calibri" w:hAnsi="Calibri"/>
          <w:b w:val="0"/>
          <w:i w:val="0"/>
          <w:color w:val="333333"/>
          <w:sz w:val="20"/>
        </w:rPr>
        <w:t>).</w:t>
      </w:r>
    </w:p>
    <w:p>
      <w:r>
        <w:rPr>
          <w:rFonts w:ascii="Consolas" w:hAnsi="Consolas"/>
          <w:b/>
          <w:i w:val="0"/>
          <w:color w:val="1B3A5C"/>
          <w:sz w:val="19"/>
        </w:rPr>
        <w:t>premium_collection</w:t>
      </w:r>
      <w:r>
        <w:rPr>
          <w:rFonts w:ascii="Calibri" w:hAnsi="Calibri"/>
          <w:b w:val="0"/>
          <w:i w:val="0"/>
          <w:color w:val="333333"/>
          <w:sz w:val="20"/>
        </w:rPr>
        <w:t xml:space="preserve"> — </w:t>
      </w:r>
      <w:r>
        <w:rPr>
          <w:rFonts w:ascii="Consolas" w:hAnsi="Consolas"/>
          <w:b w:val="0"/>
          <w:i w:val="0"/>
          <w:color w:val="1B3A5C"/>
          <w:sz w:val="19"/>
        </w:rPr>
        <w:t>business_unit_id</w:t>
      </w:r>
      <w:r>
        <w:rPr>
          <w:rFonts w:ascii="Calibri" w:hAnsi="Calibri"/>
          <w:b w:val="0"/>
          <w:i w:val="0"/>
          <w:color w:val="333333"/>
          <w:sz w:val="20"/>
        </w:rPr>
        <w:t xml:space="preserve">, </w:t>
      </w:r>
      <w:r>
        <w:rPr>
          <w:rFonts w:ascii="Consolas" w:hAnsi="Consolas"/>
          <w:b w:val="0"/>
          <w:i w:val="0"/>
          <w:color w:val="1B3A5C"/>
          <w:sz w:val="19"/>
        </w:rPr>
        <w:t>policy_id</w:t>
      </w:r>
      <w:r>
        <w:rPr>
          <w:rFonts w:ascii="Calibri" w:hAnsi="Calibri"/>
          <w:b w:val="0"/>
          <w:i w:val="0"/>
          <w:color w:val="333333"/>
          <w:sz w:val="20"/>
        </w:rPr>
        <w:t xml:space="preserve">, </w:t>
      </w:r>
      <w:r>
        <w:rPr>
          <w:rFonts w:ascii="Consolas" w:hAnsi="Consolas"/>
          <w:b w:val="0"/>
          <w:i w:val="0"/>
          <w:color w:val="1B3A5C"/>
          <w:sz w:val="19"/>
        </w:rPr>
        <w:t>proposal_id</w:t>
      </w:r>
      <w:r>
        <w:rPr>
          <w:rFonts w:ascii="Calibri" w:hAnsi="Calibri"/>
          <w:b w:val="0"/>
          <w:i w:val="0"/>
          <w:color w:val="333333"/>
          <w:sz w:val="20"/>
        </w:rPr>
        <w:t xml:space="preserve"> (for a first premium),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terminal_id</w:t>
      </w:r>
      <w:r>
        <w:rPr>
          <w:rFonts w:ascii="Calibri" w:hAnsi="Calibri"/>
          <w:b w:val="0"/>
          <w:i w:val="0"/>
          <w:color w:val="333333"/>
          <w:sz w:val="20"/>
        </w:rPr>
        <w:t xml:space="preserve">, </w:t>
      </w:r>
      <w:r>
        <w:rPr>
          <w:rFonts w:ascii="Consolas" w:hAnsi="Consolas"/>
          <w:b w:val="0"/>
          <w:i w:val="0"/>
          <w:color w:val="1B3A5C"/>
          <w:sz w:val="19"/>
        </w:rPr>
        <w:t>transaction_id</w:t>
      </w:r>
      <w:r>
        <w:rPr>
          <w:rFonts w:ascii="Calibri" w:hAnsi="Calibri"/>
          <w:b w:val="0"/>
          <w:i w:val="0"/>
          <w:color w:val="333333"/>
          <w:sz w:val="20"/>
        </w:rPr>
        <w:t xml:space="preserve">, </w:t>
      </w:r>
      <w:r>
        <w:rPr>
          <w:rFonts w:ascii="Consolas" w:hAnsi="Consolas"/>
          <w:b w:val="0"/>
          <w:i w:val="0"/>
          <w:color w:val="1B3A5C"/>
          <w:sz w:val="19"/>
        </w:rPr>
        <w:t>amount</w:t>
      </w:r>
      <w:r>
        <w:rPr>
          <w:rFonts w:ascii="Calibri" w:hAnsi="Calibri"/>
          <w:b w:val="0"/>
          <w:i w:val="0"/>
          <w:color w:val="333333"/>
          <w:sz w:val="20"/>
        </w:rPr>
        <w:t xml:space="preserve">, </w:t>
      </w:r>
      <w:r>
        <w:rPr>
          <w:rFonts w:ascii="Consolas" w:hAnsi="Consolas"/>
          <w:b w:val="0"/>
          <w:i w:val="0"/>
          <w:color w:val="1B3A5C"/>
          <w:sz w:val="19"/>
        </w:rPr>
        <w:t>collection_kind</w:t>
      </w:r>
      <w:r>
        <w:rPr>
          <w:rFonts w:ascii="Calibri" w:hAnsi="Calibri"/>
          <w:b w:val="0"/>
          <w:i w:val="0"/>
          <w:color w:val="333333"/>
          <w:sz w:val="20"/>
        </w:rPr>
        <w:t xml:space="preserve"> (</w:t>
      </w:r>
      <w:r>
        <w:rPr>
          <w:rFonts w:ascii="Consolas" w:hAnsi="Consolas"/>
          <w:b w:val="0"/>
          <w:i w:val="0"/>
          <w:color w:val="1B3A5C"/>
          <w:sz w:val="19"/>
        </w:rPr>
        <w:t>policy_cost</w:t>
      </w:r>
      <w:r>
        <w:rPr>
          <w:rFonts w:ascii="Calibri" w:hAnsi="Calibri"/>
          <w:b w:val="0"/>
          <w:i w:val="0"/>
          <w:color w:val="333333"/>
          <w:sz w:val="20"/>
        </w:rPr>
        <w:t xml:space="preserve"> | </w:t>
      </w:r>
      <w:r>
        <w:rPr>
          <w:rFonts w:ascii="Consolas" w:hAnsi="Consolas"/>
          <w:b w:val="0"/>
          <w:i w:val="0"/>
          <w:color w:val="1B3A5C"/>
          <w:sz w:val="19"/>
        </w:rPr>
        <w:t>first_premium</w:t>
      </w:r>
      <w:r>
        <w:rPr>
          <w:rFonts w:ascii="Calibri" w:hAnsi="Calibri"/>
          <w:b w:val="0"/>
          <w:i w:val="0"/>
          <w:color w:val="333333"/>
          <w:sz w:val="20"/>
        </w:rPr>
        <w:t xml:space="preserve"> | </w:t>
      </w:r>
      <w:r>
        <w:rPr>
          <w:rFonts w:ascii="Consolas" w:hAnsi="Consolas"/>
          <w:b w:val="0"/>
          <w:i w:val="0"/>
          <w:color w:val="1B3A5C"/>
          <w:sz w:val="19"/>
        </w:rPr>
        <w:t>recurring_premium</w:t>
      </w:r>
      <w:r>
        <w:rPr>
          <w:rFonts w:ascii="Calibri" w:hAnsi="Calibri"/>
          <w:b w:val="0"/>
          <w:i w:val="0"/>
          <w:color w:val="333333"/>
          <w:sz w:val="20"/>
        </w:rPr>
        <w:t xml:space="preserve">), </w:t>
      </w:r>
      <w:r>
        <w:rPr>
          <w:rFonts w:ascii="Consolas" w:hAnsi="Consolas"/>
          <w:b w:val="0"/>
          <w:i w:val="0"/>
          <w:color w:val="1B3A5C"/>
          <w:sz w:val="19"/>
        </w:rPr>
        <w:t>reference_period</w:t>
      </w:r>
      <w:r>
        <w:rPr>
          <w:rFonts w:ascii="Calibri" w:hAnsi="Calibri"/>
          <w:b w:val="0"/>
          <w:i w:val="0"/>
          <w:color w:val="333333"/>
          <w:sz w:val="20"/>
        </w:rPr>
        <w:t xml:space="preserve">, </w:t>
      </w:r>
      <w:r>
        <w:rPr>
          <w:rFonts w:ascii="Consolas" w:hAnsi="Consolas"/>
          <w:b w:val="0"/>
          <w:i w:val="0"/>
          <w:color w:val="1B3A5C"/>
          <w:sz w:val="19"/>
        </w:rPr>
        <w:t>payment_frequency</w:t>
      </w:r>
      <w:r>
        <w:rPr>
          <w:rFonts w:ascii="Calibri" w:hAnsi="Calibri"/>
          <w:b w:val="0"/>
          <w:i w:val="0"/>
          <w:color w:val="333333"/>
          <w:sz w:val="20"/>
        </w:rPr>
        <w:t xml:space="preserve">, </w:t>
      </w:r>
      <w:r>
        <w:rPr>
          <w:rFonts w:ascii="Consolas" w:hAnsi="Consolas"/>
          <w:b w:val="0"/>
          <w:i w:val="0"/>
          <w:color w:val="1B3A5C"/>
          <w:sz w:val="19"/>
        </w:rPr>
        <w:t>payment_instrument</w:t>
      </w:r>
      <w:r>
        <w:rPr>
          <w:rFonts w:ascii="Calibri" w:hAnsi="Calibri"/>
          <w:b w:val="0"/>
          <w:i w:val="0"/>
          <w:color w:val="333333"/>
          <w:sz w:val="20"/>
        </w:rPr>
        <w:t xml:space="preserve"> (</w:t>
      </w:r>
      <w:r>
        <w:rPr>
          <w:rFonts w:ascii="Consolas" w:hAnsi="Consolas"/>
          <w:b w:val="0"/>
          <w:i w:val="0"/>
          <w:color w:val="1B3A5C"/>
          <w:sz w:val="19"/>
        </w:rPr>
        <w:t>cash</w:t>
      </w:r>
      <w:r>
        <w:rPr>
          <w:rFonts w:ascii="Calibri" w:hAnsi="Calibri"/>
          <w:b w:val="0"/>
          <w:i w:val="0"/>
          <w:color w:val="333333"/>
          <w:sz w:val="20"/>
        </w:rPr>
        <w:t xml:space="preserve"> | </w:t>
      </w:r>
      <w:r>
        <w:rPr>
          <w:rFonts w:ascii="Consolas" w:hAnsi="Consolas"/>
          <w:b w:val="0"/>
          <w:i w:val="0"/>
          <w:color w:val="1B3A5C"/>
          <w:sz w:val="19"/>
        </w:rPr>
        <w:t>momo</w:t>
      </w:r>
      <w:r>
        <w:rPr>
          <w:rFonts w:ascii="Calibri" w:hAnsi="Calibri"/>
          <w:b w:val="0"/>
          <w:i w:val="0"/>
          <w:color w:val="333333"/>
          <w:sz w:val="20"/>
        </w:rPr>
        <w:t xml:space="preserve"> | </w:t>
      </w:r>
      <w:r>
        <w:rPr>
          <w:rFonts w:ascii="Consolas" w:hAnsi="Consolas"/>
          <w:b w:val="0"/>
          <w:i w:val="0"/>
          <w:color w:val="1B3A5C"/>
          <w:sz w:val="19"/>
        </w:rPr>
        <w:t>bank</w:t>
      </w:r>
      <w:r>
        <w:rPr>
          <w:rFonts w:ascii="Calibri" w:hAnsi="Calibri"/>
          <w:b w:val="0"/>
          <w:i w:val="0"/>
          <w:color w:val="333333"/>
          <w:sz w:val="20"/>
        </w:rPr>
        <w:t xml:space="preserve">), </w:t>
      </w:r>
      <w:r>
        <w:rPr>
          <w:rFonts w:ascii="Consolas" w:hAnsi="Consolas"/>
          <w:b w:val="0"/>
          <w:i w:val="0"/>
          <w:color w:val="1B3A5C"/>
          <w:sz w:val="19"/>
        </w:rPr>
        <w:t>reference</w:t>
      </w:r>
      <w:r>
        <w:rPr>
          <w:rFonts w:ascii="Calibri" w:hAnsi="Calibri"/>
          <w:b w:val="0"/>
          <w:i w:val="0"/>
          <w:color w:val="333333"/>
          <w:sz w:val="20"/>
        </w:rPr>
        <w:t xml:space="preserve"> (unique, generated on the device), </w:t>
      </w:r>
      <w:r>
        <w:rPr>
          <w:rFonts w:ascii="Consolas" w:hAnsi="Consolas"/>
          <w:b w:val="0"/>
          <w:i w:val="0"/>
          <w:color w:val="1B3A5C"/>
          <w:sz w:val="19"/>
        </w:rPr>
        <w:t>latitude</w:t>
      </w:r>
      <w:r>
        <w:rPr>
          <w:rFonts w:ascii="Calibri" w:hAnsi="Calibri"/>
          <w:b w:val="0"/>
          <w:i w:val="0"/>
          <w:color w:val="333333"/>
          <w:sz w:val="20"/>
        </w:rPr>
        <w:t xml:space="preserve">, </w:t>
      </w:r>
      <w:r>
        <w:rPr>
          <w:rFonts w:ascii="Consolas" w:hAnsi="Consolas"/>
          <w:b w:val="0"/>
          <w:i w:val="0"/>
          <w:color w:val="1B3A5C"/>
          <w:sz w:val="19"/>
        </w:rPr>
        <w:t>longitude</w:t>
      </w:r>
      <w:r>
        <w:rPr>
          <w:rFonts w:ascii="Calibri" w:hAnsi="Calibri"/>
          <w:b w:val="0"/>
          <w:i w:val="0"/>
          <w:color w:val="333333"/>
          <w:sz w:val="20"/>
        </w:rPr>
        <w:t xml:space="preserve">, </w:t>
      </w:r>
      <w:r>
        <w:rPr>
          <w:rFonts w:ascii="Consolas" w:hAnsi="Consolas"/>
          <w:b w:val="0"/>
          <w:i w:val="0"/>
          <w:color w:val="1B3A5C"/>
          <w:sz w:val="19"/>
        </w:rPr>
        <w:t>collected_at</w:t>
      </w:r>
      <w:r>
        <w:rPr>
          <w:rFonts w:ascii="Calibri" w:hAnsi="Calibri"/>
          <w:b w:val="0"/>
          <w:i w:val="0"/>
          <w:color w:val="333333"/>
          <w:sz w:val="20"/>
        </w:rPr>
        <w:t xml:space="preserve">, </w:t>
      </w:r>
      <w:r>
        <w:rPr>
          <w:rFonts w:ascii="Consolas" w:hAnsi="Consolas"/>
          <w:b w:val="0"/>
          <w:i w:val="0"/>
          <w:color w:val="1B3A5C"/>
          <w:sz w:val="19"/>
        </w:rPr>
        <w:t>receipt_number</w:t>
      </w:r>
      <w:r>
        <w:rPr>
          <w:rFonts w:ascii="Calibri" w:hAnsi="Calibri"/>
          <w:b w:val="0"/>
          <w:i w:val="0"/>
          <w:color w:val="333333"/>
          <w:sz w:val="20"/>
        </w:rPr>
        <w:t xml:space="preserve">, </w:t>
      </w:r>
      <w:r>
        <w:rPr>
          <w:rFonts w:ascii="Consolas" w:hAnsi="Consolas"/>
          <w:b w:val="0"/>
          <w:i w:val="0"/>
          <w:color w:val="1B3A5C"/>
          <w:sz w:val="19"/>
        </w:rPr>
        <w:t>metadata</w:t>
      </w:r>
      <w:r>
        <w:rPr>
          <w:rFonts w:ascii="Calibri" w:hAnsi="Calibri"/>
          <w:b w:val="0"/>
          <w:i w:val="0"/>
          <w:color w:val="333333"/>
          <w:sz w:val="20"/>
        </w:rPr>
        <w:t xml:space="preserve"> (JSON), </w:t>
      </w:r>
      <w:r>
        <w:rPr>
          <w:rFonts w:ascii="Consolas" w:hAnsi="Consolas"/>
          <w:b w:val="0"/>
          <w:i w:val="0"/>
          <w:color w:val="1B3A5C"/>
          <w:sz w:val="19"/>
        </w:rPr>
        <w:t>sunulife_pushed_at</w:t>
      </w:r>
      <w:r>
        <w:rPr>
          <w:rFonts w:ascii="Calibri" w:hAnsi="Calibri"/>
          <w:b w:val="0"/>
          <w:i w:val="0"/>
          <w:color w:val="333333"/>
          <w:sz w:val="20"/>
        </w:rPr>
        <w:t>.</w:t>
      </w:r>
    </w:p>
    <w:p>
      <w:r>
        <w:rPr>
          <w:rFonts w:ascii="Consolas" w:hAnsi="Consolas"/>
          <w:b/>
          <w:i w:val="0"/>
          <w:color w:val="1B3A5C"/>
          <w:sz w:val="19"/>
        </w:rPr>
        <w:t>collector_cap</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cap_amount</w:t>
      </w:r>
      <w:r>
        <w:rPr>
          <w:rFonts w:ascii="Calibri" w:hAnsi="Calibri"/>
          <w:b w:val="0"/>
          <w:i w:val="0"/>
          <w:color w:val="333333"/>
          <w:sz w:val="20"/>
        </w:rPr>
        <w:t xml:space="preserve">, </w:t>
      </w:r>
      <w:r>
        <w:rPr>
          <w:rFonts w:ascii="Consolas" w:hAnsi="Consolas"/>
          <w:b w:val="0"/>
          <w:i w:val="0"/>
          <w:color w:val="1B3A5C"/>
          <w:sz w:val="19"/>
        </w:rPr>
        <w:t>warning_threshold_pct</w:t>
      </w:r>
      <w:r>
        <w:rPr>
          <w:rFonts w:ascii="Calibri" w:hAnsi="Calibri"/>
          <w:b w:val="0"/>
          <w:i w:val="0"/>
          <w:color w:val="333333"/>
          <w:sz w:val="20"/>
        </w:rPr>
        <w:t xml:space="preserve">, </w:t>
      </w:r>
      <w:r>
        <w:rPr>
          <w:rFonts w:ascii="Consolas" w:hAnsi="Consolas"/>
          <w:b w:val="0"/>
          <w:i w:val="0"/>
          <w:color w:val="1B3A5C"/>
          <w:sz w:val="19"/>
        </w:rPr>
        <w:t>currency</w:t>
      </w:r>
      <w:r>
        <w:rPr>
          <w:rFonts w:ascii="Calibri" w:hAnsi="Calibri"/>
          <w:b w:val="0"/>
          <w:i w:val="0"/>
          <w:color w:val="333333"/>
          <w:sz w:val="20"/>
        </w:rPr>
        <w:t xml:space="preserve">, </w:t>
      </w:r>
      <w:r>
        <w:rPr>
          <w:rFonts w:ascii="Consolas" w:hAnsi="Consolas"/>
          <w:b w:val="0"/>
          <w:i w:val="0"/>
          <w:color w:val="1B3A5C"/>
          <w:sz w:val="19"/>
        </w:rPr>
        <w:t>is_active</w:t>
      </w:r>
      <w:r>
        <w:rPr>
          <w:rFonts w:ascii="Calibri" w:hAnsi="Calibri"/>
          <w:b w:val="0"/>
          <w:i w:val="0"/>
          <w:color w:val="333333"/>
          <w:sz w:val="20"/>
        </w:rPr>
        <w:t xml:space="preserve">. </w:t>
      </w:r>
      <w:r>
        <w:rPr>
          <w:rFonts w:ascii="Consolas" w:hAnsi="Consolas"/>
          <w:b/>
          <w:i w:val="0"/>
          <w:color w:val="1B3A5C"/>
          <w:sz w:val="19"/>
        </w:rPr>
        <w:t>collector_balance</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uncollected_amount</w:t>
      </w:r>
      <w:r>
        <w:rPr>
          <w:rFonts w:ascii="Calibri" w:hAnsi="Calibri"/>
          <w:b w:val="0"/>
          <w:i w:val="0"/>
          <w:color w:val="333333"/>
          <w:sz w:val="20"/>
        </w:rPr>
        <w:t xml:space="preserve">, </w:t>
      </w:r>
      <w:r>
        <w:rPr>
          <w:rFonts w:ascii="Consolas" w:hAnsi="Consolas"/>
          <w:b w:val="0"/>
          <w:i w:val="0"/>
          <w:color w:val="1B3A5C"/>
          <w:sz w:val="19"/>
        </w:rPr>
        <w:t>last_pay_in_at</w:t>
      </w:r>
      <w:r>
        <w:rPr>
          <w:rFonts w:ascii="Calibri" w:hAnsi="Calibri"/>
          <w:b w:val="0"/>
          <w:i w:val="0"/>
          <w:color w:val="333333"/>
          <w:sz w:val="20"/>
        </w:rPr>
        <w:t xml:space="preserve">, </w:t>
      </w:r>
      <w:r>
        <w:rPr>
          <w:rFonts w:ascii="Consolas" w:hAnsi="Consolas"/>
          <w:b w:val="0"/>
          <w:i w:val="0"/>
          <w:color w:val="1B3A5C"/>
          <w:sz w:val="19"/>
        </w:rPr>
        <w:t>is_blocked</w:t>
      </w:r>
      <w:r>
        <w:rPr>
          <w:rFonts w:ascii="Calibri" w:hAnsi="Calibri"/>
          <w:b w:val="0"/>
          <w:i w:val="0"/>
          <w:color w:val="333333"/>
          <w:sz w:val="20"/>
        </w:rPr>
        <w:t xml:space="preserve">, </w:t>
      </w:r>
      <w:r>
        <w:rPr>
          <w:rFonts w:ascii="Consolas" w:hAnsi="Consolas"/>
          <w:b w:val="0"/>
          <w:i w:val="0"/>
          <w:color w:val="1B3A5C"/>
          <w:sz w:val="19"/>
        </w:rPr>
        <w:t>blocked_at</w:t>
      </w:r>
      <w:r>
        <w:rPr>
          <w:rFonts w:ascii="Calibri" w:hAnsi="Calibri"/>
          <w:b w:val="0"/>
          <w:i w:val="0"/>
          <w:color w:val="333333"/>
          <w:sz w:val="20"/>
        </w:rPr>
        <w:t>. Maintained transactionally on every collection and every confirmed pay-in.</w:t>
      </w:r>
    </w:p>
    <w:p>
      <w:r>
        <w:rPr>
          <w:rFonts w:ascii="Consolas" w:hAnsi="Consolas"/>
          <w:b/>
          <w:i w:val="0"/>
          <w:color w:val="1B3A5C"/>
          <w:sz w:val="19"/>
        </w:rPr>
        <w:t>pay_in</w:t>
      </w:r>
      <w:r>
        <w:rPr>
          <w:rFonts w:ascii="Calibri" w:hAnsi="Calibri"/>
          <w:b w:val="0"/>
          <w:i w:val="0"/>
          <w:color w:val="333333"/>
          <w:sz w:val="20"/>
        </w:rPr>
        <w:t xml:space="preserve"> — </w:t>
      </w:r>
      <w:r>
        <w:rPr>
          <w:rFonts w:ascii="Consolas" w:hAnsi="Consolas"/>
          <w:b w:val="0"/>
          <w:i w:val="0"/>
          <w:color w:val="1B3A5C"/>
          <w:sz w:val="19"/>
        </w:rPr>
        <w:t>agent_id</w:t>
      </w:r>
      <w:r>
        <w:rPr>
          <w:rFonts w:ascii="Calibri" w:hAnsi="Calibri"/>
          <w:b w:val="0"/>
          <w:i w:val="0"/>
          <w:color w:val="333333"/>
          <w:sz w:val="20"/>
        </w:rPr>
        <w:t xml:space="preserve">, </w:t>
      </w:r>
      <w:r>
        <w:rPr>
          <w:rFonts w:ascii="Consolas" w:hAnsi="Consolas"/>
          <w:b w:val="0"/>
          <w:i w:val="0"/>
          <w:color w:val="1B3A5C"/>
          <w:sz w:val="19"/>
        </w:rPr>
        <w:t>declared_amount</w:t>
      </w:r>
      <w:r>
        <w:rPr>
          <w:rFonts w:ascii="Calibri" w:hAnsi="Calibri"/>
          <w:b w:val="0"/>
          <w:i w:val="0"/>
          <w:color w:val="333333"/>
          <w:sz w:val="20"/>
        </w:rPr>
        <w:t xml:space="preserve">, </w:t>
      </w:r>
      <w:r>
        <w:rPr>
          <w:rFonts w:ascii="Consolas" w:hAnsi="Consolas"/>
          <w:b w:val="0"/>
          <w:i w:val="0"/>
          <w:color w:val="1B3A5C"/>
          <w:sz w:val="19"/>
        </w:rPr>
        <w:t>method</w:t>
      </w:r>
      <w:r>
        <w:rPr>
          <w:rFonts w:ascii="Calibri" w:hAnsi="Calibri"/>
          <w:b w:val="0"/>
          <w:i w:val="0"/>
          <w:color w:val="333333"/>
          <w:sz w:val="20"/>
        </w:rPr>
        <w:t xml:space="preserve"> (</w:t>
      </w:r>
      <w:r>
        <w:rPr>
          <w:rFonts w:ascii="Consolas" w:hAnsi="Consolas"/>
          <w:b w:val="0"/>
          <w:i w:val="0"/>
          <w:color w:val="1B3A5C"/>
          <w:sz w:val="19"/>
        </w:rPr>
        <w:t>bank_deposit</w:t>
      </w:r>
      <w:r>
        <w:rPr>
          <w:rFonts w:ascii="Calibri" w:hAnsi="Calibri"/>
          <w:b w:val="0"/>
          <w:i w:val="0"/>
          <w:color w:val="333333"/>
          <w:sz w:val="20"/>
        </w:rPr>
        <w:t xml:space="preserve"> | </w:t>
      </w:r>
      <w:r>
        <w:rPr>
          <w:rFonts w:ascii="Consolas" w:hAnsi="Consolas"/>
          <w:b w:val="0"/>
          <w:i w:val="0"/>
          <w:color w:val="1B3A5C"/>
          <w:sz w:val="19"/>
        </w:rPr>
        <w:t>cash_office</w:t>
      </w:r>
      <w:r>
        <w:rPr>
          <w:rFonts w:ascii="Calibri" w:hAnsi="Calibri"/>
          <w:b w:val="0"/>
          <w:i w:val="0"/>
          <w:color w:val="333333"/>
          <w:sz w:val="20"/>
        </w:rPr>
        <w:t xml:space="preserve">), </w:t>
      </w:r>
      <w:r>
        <w:rPr>
          <w:rFonts w:ascii="Consolas" w:hAnsi="Consolas"/>
          <w:b w:val="0"/>
          <w:i w:val="0"/>
          <w:color w:val="1B3A5C"/>
          <w:sz w:val="19"/>
        </w:rPr>
        <w:t>bank_reference</w:t>
      </w:r>
      <w:r>
        <w:rPr>
          <w:rFonts w:ascii="Calibri" w:hAnsi="Calibri"/>
          <w:b w:val="0"/>
          <w:i w:val="0"/>
          <w:color w:val="333333"/>
          <w:sz w:val="20"/>
        </w:rPr>
        <w:t xml:space="preserve">, </w:t>
      </w:r>
      <w:r>
        <w:rPr>
          <w:rFonts w:ascii="Consolas" w:hAnsi="Consolas"/>
          <w:b w:val="0"/>
          <w:i w:val="0"/>
          <w:color w:val="1B3A5C"/>
          <w:sz w:val="19"/>
        </w:rPr>
        <w:t>deposit_slip_path</w:t>
      </w:r>
      <w:r>
        <w:rPr>
          <w:rFonts w:ascii="Calibri" w:hAnsi="Calibri"/>
          <w:b w:val="0"/>
          <w:i w:val="0"/>
          <w:color w:val="333333"/>
          <w:sz w:val="20"/>
        </w:rPr>
        <w:t xml:space="preserve">, </w:t>
      </w:r>
      <w:r>
        <w:rPr>
          <w:rFonts w:ascii="Consolas" w:hAnsi="Consolas"/>
          <w:b w:val="0"/>
          <w:i w:val="0"/>
          <w:color w:val="1B3A5C"/>
          <w:sz w:val="19"/>
        </w:rPr>
        <w:t>declared_at</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declared</w:t>
      </w:r>
      <w:r>
        <w:rPr>
          <w:rFonts w:ascii="Calibri" w:hAnsi="Calibri"/>
          <w:b w:val="0"/>
          <w:i w:val="0"/>
          <w:color w:val="333333"/>
          <w:sz w:val="20"/>
        </w:rPr>
        <w:t xml:space="preserve"> | </w:t>
      </w:r>
      <w:r>
        <w:rPr>
          <w:rFonts w:ascii="Consolas" w:hAnsi="Consolas"/>
          <w:b w:val="0"/>
          <w:i w:val="0"/>
          <w:color w:val="1B3A5C"/>
          <w:sz w:val="19"/>
        </w:rPr>
        <w:t>confirmed</w:t>
      </w:r>
      <w:r>
        <w:rPr>
          <w:rFonts w:ascii="Calibri" w:hAnsi="Calibri"/>
          <w:b w:val="0"/>
          <w:i w:val="0"/>
          <w:color w:val="333333"/>
          <w:sz w:val="20"/>
        </w:rPr>
        <w:t xml:space="preserve"> | </w:t>
      </w:r>
      <w:r>
        <w:rPr>
          <w:rFonts w:ascii="Consolas" w:hAnsi="Consolas"/>
          <w:b w:val="0"/>
          <w:i w:val="0"/>
          <w:color w:val="1B3A5C"/>
          <w:sz w:val="19"/>
        </w:rPr>
        <w:t>rejected</w:t>
      </w:r>
      <w:r>
        <w:rPr>
          <w:rFonts w:ascii="Calibri" w:hAnsi="Calibri"/>
          <w:b w:val="0"/>
          <w:i w:val="0"/>
          <w:color w:val="333333"/>
          <w:sz w:val="20"/>
        </w:rPr>
        <w:t xml:space="preserve">), </w:t>
      </w:r>
      <w:r>
        <w:rPr>
          <w:rFonts w:ascii="Consolas" w:hAnsi="Consolas"/>
          <w:b w:val="0"/>
          <w:i w:val="0"/>
          <w:color w:val="1B3A5C"/>
          <w:sz w:val="19"/>
        </w:rPr>
        <w:t>confirmed_by</w:t>
      </w:r>
      <w:r>
        <w:rPr>
          <w:rFonts w:ascii="Calibri" w:hAnsi="Calibri"/>
          <w:b w:val="0"/>
          <w:i w:val="0"/>
          <w:color w:val="333333"/>
          <w:sz w:val="20"/>
        </w:rPr>
        <w:t xml:space="preserve">, </w:t>
      </w:r>
      <w:r>
        <w:rPr>
          <w:rFonts w:ascii="Consolas" w:hAnsi="Consolas"/>
          <w:b w:val="0"/>
          <w:i w:val="0"/>
          <w:color w:val="1B3A5C"/>
          <w:sz w:val="19"/>
        </w:rPr>
        <w:t>confirmed_at</w:t>
      </w:r>
      <w:r>
        <w:rPr>
          <w:rFonts w:ascii="Calibri" w:hAnsi="Calibri"/>
          <w:b w:val="0"/>
          <w:i w:val="0"/>
          <w:color w:val="333333"/>
          <w:sz w:val="20"/>
        </w:rPr>
        <w:t xml:space="preserve">, </w:t>
      </w:r>
      <w:r>
        <w:rPr>
          <w:rFonts w:ascii="Consolas" w:hAnsi="Consolas"/>
          <w:b w:val="0"/>
          <w:i w:val="0"/>
          <w:color w:val="1B3A5C"/>
          <w:sz w:val="19"/>
        </w:rPr>
        <w:t>confirmed_amount</w:t>
      </w:r>
      <w:r>
        <w:rPr>
          <w:rFonts w:ascii="Calibri" w:hAnsi="Calibri"/>
          <w:b w:val="0"/>
          <w:i w:val="0"/>
          <w:color w:val="333333"/>
          <w:sz w:val="20"/>
        </w:rPr>
        <w:t xml:space="preserve">, </w:t>
      </w:r>
      <w:r>
        <w:rPr>
          <w:rFonts w:ascii="Consolas" w:hAnsi="Consolas"/>
          <w:b w:val="0"/>
          <w:i w:val="0"/>
          <w:color w:val="1B3A5C"/>
          <w:sz w:val="19"/>
        </w:rPr>
        <w:t>variance</w:t>
      </w:r>
      <w:r>
        <w:rPr>
          <w:rFonts w:ascii="Calibri" w:hAnsi="Calibri"/>
          <w:b w:val="0"/>
          <w:i w:val="0"/>
          <w:color w:val="333333"/>
          <w:sz w:val="20"/>
        </w:rPr>
        <w:t xml:space="preserve">, </w:t>
      </w:r>
      <w:r>
        <w:rPr>
          <w:rFonts w:ascii="Consolas" w:hAnsi="Consolas"/>
          <w:b w:val="0"/>
          <w:i w:val="0"/>
          <w:color w:val="1B3A5C"/>
          <w:sz w:val="19"/>
        </w:rPr>
        <w:t>notes</w:t>
      </w:r>
      <w:r>
        <w:rPr>
          <w:rFonts w:ascii="Calibri" w:hAnsi="Calibri"/>
          <w:b w:val="0"/>
          <w:i w:val="0"/>
          <w:color w:val="333333"/>
          <w:sz w:val="20"/>
        </w:rPr>
        <w:t>. Confirmation releases the terminal.</w:t>
      </w:r>
    </w:p>
    <w:p>
      <w:r>
        <w:rPr>
          <w:rFonts w:ascii="Consolas" w:hAnsi="Consolas"/>
          <w:b/>
          <w:i w:val="0"/>
          <w:color w:val="1B3A5C"/>
          <w:sz w:val="19"/>
        </w:rPr>
        <w:t>card_policy_link</w:t>
      </w:r>
      <w:r>
        <w:rPr>
          <w:rFonts w:ascii="Calibri" w:hAnsi="Calibri"/>
          <w:b w:val="0"/>
          <w:i w:val="0"/>
          <w:color w:val="333333"/>
          <w:sz w:val="20"/>
        </w:rPr>
        <w:t xml:space="preserve"> — </w:t>
      </w:r>
      <w:r>
        <w:rPr>
          <w:rFonts w:ascii="Consolas" w:hAnsi="Consolas"/>
          <w:b w:val="0"/>
          <w:i w:val="0"/>
          <w:color w:val="1B3A5C"/>
          <w:sz w:val="19"/>
        </w:rPr>
        <w:t>card_id</w:t>
      </w:r>
      <w:r>
        <w:rPr>
          <w:rFonts w:ascii="Calibri" w:hAnsi="Calibri"/>
          <w:b w:val="0"/>
          <w:i w:val="0"/>
          <w:color w:val="333333"/>
          <w:sz w:val="20"/>
        </w:rPr>
        <w:t xml:space="preserve">, </w:t>
      </w:r>
      <w:r>
        <w:rPr>
          <w:rFonts w:ascii="Consolas" w:hAnsi="Consolas"/>
          <w:b w:val="0"/>
          <w:i w:val="0"/>
          <w:color w:val="1B3A5C"/>
          <w:sz w:val="19"/>
        </w:rPr>
        <w:t>policy_id</w:t>
      </w:r>
      <w:r>
        <w:rPr>
          <w:rFonts w:ascii="Calibri" w:hAnsi="Calibri"/>
          <w:b w:val="0"/>
          <w:i w:val="0"/>
          <w:color w:val="333333"/>
          <w:sz w:val="20"/>
        </w:rPr>
        <w:t xml:space="preserve">, </w:t>
      </w:r>
      <w:r>
        <w:rPr>
          <w:rFonts w:ascii="Consolas" w:hAnsi="Consolas"/>
          <w:b w:val="0"/>
          <w:i w:val="0"/>
          <w:color w:val="1B3A5C"/>
          <w:sz w:val="19"/>
        </w:rPr>
        <w:t>slot_index</w:t>
      </w:r>
      <w:r>
        <w:rPr>
          <w:rFonts w:ascii="Calibri" w:hAnsi="Calibri"/>
          <w:b w:val="0"/>
          <w:i w:val="0"/>
          <w:color w:val="333333"/>
          <w:sz w:val="20"/>
        </w:rPr>
        <w:t>. Supports the TdR's explicit requirement that a card retain several policies for one insured.</w:t>
      </w:r>
    </w:p>
    <w:p>
      <w:r>
        <w:rPr>
          <w:rFonts w:ascii="Consolas" w:hAnsi="Consolas"/>
          <w:b/>
          <w:i w:val="0"/>
          <w:color w:val="1B3A5C"/>
          <w:sz w:val="19"/>
        </w:rPr>
        <w:t>virtual_card_credential</w:t>
      </w:r>
      <w:r>
        <w:rPr>
          <w:rFonts w:ascii="Calibri" w:hAnsi="Calibri"/>
          <w:b w:val="0"/>
          <w:i w:val="0"/>
          <w:color w:val="333333"/>
          <w:sz w:val="20"/>
        </w:rPr>
        <w:t xml:space="preserve"> — </w:t>
      </w:r>
      <w:r>
        <w:rPr>
          <w:rFonts w:ascii="Consolas" w:hAnsi="Consolas"/>
          <w:b w:val="0"/>
          <w:i w:val="0"/>
          <w:color w:val="1B3A5C"/>
          <w:sz w:val="19"/>
        </w:rPr>
        <w:t>client_id</w:t>
      </w:r>
      <w:r>
        <w:rPr>
          <w:rFonts w:ascii="Calibri" w:hAnsi="Calibri"/>
          <w:b w:val="0"/>
          <w:i w:val="0"/>
          <w:color w:val="333333"/>
          <w:sz w:val="20"/>
        </w:rPr>
        <w:t xml:space="preserve">, </w:t>
      </w:r>
      <w:r>
        <w:rPr>
          <w:rFonts w:ascii="Consolas" w:hAnsi="Consolas"/>
          <w:b w:val="0"/>
          <w:i w:val="0"/>
          <w:color w:val="1B3A5C"/>
          <w:sz w:val="19"/>
        </w:rPr>
        <w:t>card_id</w:t>
      </w:r>
      <w:r>
        <w:rPr>
          <w:rFonts w:ascii="Calibri" w:hAnsi="Calibri"/>
          <w:b w:val="0"/>
          <w:i w:val="0"/>
          <w:color w:val="333333"/>
          <w:sz w:val="20"/>
        </w:rPr>
        <w:t xml:space="preserve"> (nullable), </w:t>
      </w:r>
      <w:r>
        <w:rPr>
          <w:rFonts w:ascii="Consolas" w:hAnsi="Consolas"/>
          <w:b w:val="0"/>
          <w:i w:val="0"/>
          <w:color w:val="1B3A5C"/>
          <w:sz w:val="19"/>
        </w:rPr>
        <w:t>credential_id</w:t>
      </w:r>
      <w:r>
        <w:rPr>
          <w:rFonts w:ascii="Calibri" w:hAnsi="Calibri"/>
          <w:b w:val="0"/>
          <w:i w:val="0"/>
          <w:color w:val="333333"/>
          <w:sz w:val="20"/>
        </w:rPr>
        <w:t xml:space="preserve">, </w:t>
      </w:r>
      <w:r>
        <w:rPr>
          <w:rFonts w:ascii="Consolas" w:hAnsi="Consolas"/>
          <w:b w:val="0"/>
          <w:i w:val="0"/>
          <w:color w:val="1B3A5C"/>
          <w:sz w:val="19"/>
        </w:rPr>
        <w:t>payload_hash</w:t>
      </w:r>
      <w:r>
        <w:rPr>
          <w:rFonts w:ascii="Calibri" w:hAnsi="Calibri"/>
          <w:b w:val="0"/>
          <w:i w:val="0"/>
          <w:color w:val="333333"/>
          <w:sz w:val="20"/>
        </w:rPr>
        <w:t xml:space="preserve">, </w:t>
      </w:r>
      <w:r>
        <w:rPr>
          <w:rFonts w:ascii="Consolas" w:hAnsi="Consolas"/>
          <w:b w:val="0"/>
          <w:i w:val="0"/>
          <w:color w:val="1B3A5C"/>
          <w:sz w:val="19"/>
        </w:rPr>
        <w:t>signature</w:t>
      </w:r>
      <w:r>
        <w:rPr>
          <w:rFonts w:ascii="Calibri" w:hAnsi="Calibri"/>
          <w:b w:val="0"/>
          <w:i w:val="0"/>
          <w:color w:val="333333"/>
          <w:sz w:val="20"/>
        </w:rPr>
        <w:t xml:space="preserve">, </w:t>
      </w:r>
      <w:r>
        <w:rPr>
          <w:rFonts w:ascii="Consolas" w:hAnsi="Consolas"/>
          <w:b w:val="0"/>
          <w:i w:val="0"/>
          <w:color w:val="1B3A5C"/>
          <w:sz w:val="19"/>
        </w:rPr>
        <w:t>key_version</w:t>
      </w:r>
      <w:r>
        <w:rPr>
          <w:rFonts w:ascii="Calibri" w:hAnsi="Calibri"/>
          <w:b w:val="0"/>
          <w:i w:val="0"/>
          <w:color w:val="333333"/>
          <w:sz w:val="20"/>
        </w:rPr>
        <w:t xml:space="preserve">, </w:t>
      </w:r>
      <w:r>
        <w:rPr>
          <w:rFonts w:ascii="Consolas" w:hAnsi="Consolas"/>
          <w:b w:val="0"/>
          <w:i w:val="0"/>
          <w:color w:val="1B3A5C"/>
          <w:sz w:val="19"/>
        </w:rPr>
        <w:t>issued_at</w:t>
      </w:r>
      <w:r>
        <w:rPr>
          <w:rFonts w:ascii="Calibri" w:hAnsi="Calibri"/>
          <w:b w:val="0"/>
          <w:i w:val="0"/>
          <w:color w:val="333333"/>
          <w:sz w:val="20"/>
        </w:rPr>
        <w:t xml:space="preserve">, </w:t>
      </w:r>
      <w:r>
        <w:rPr>
          <w:rFonts w:ascii="Consolas" w:hAnsi="Consolas"/>
          <w:b w:val="0"/>
          <w:i w:val="0"/>
          <w:color w:val="1B3A5C"/>
          <w:sz w:val="19"/>
        </w:rPr>
        <w:t>expires_at</w:t>
      </w:r>
      <w:r>
        <w:rPr>
          <w:rFonts w:ascii="Calibri" w:hAnsi="Calibri"/>
          <w:b w:val="0"/>
          <w:i w:val="0"/>
          <w:color w:val="333333"/>
          <w:sz w:val="20"/>
        </w:rPr>
        <w:t xml:space="preserve">, </w:t>
      </w:r>
      <w:r>
        <w:rPr>
          <w:rFonts w:ascii="Consolas" w:hAnsi="Consolas"/>
          <w:b w:val="0"/>
          <w:i w:val="0"/>
          <w:color w:val="1B3A5C"/>
          <w:sz w:val="19"/>
        </w:rPr>
        <w:t>revoked_at</w:t>
      </w:r>
      <w:r>
        <w:rPr>
          <w:rFonts w:ascii="Calibri" w:hAnsi="Calibri"/>
          <w:b w:val="0"/>
          <w:i w:val="0"/>
          <w:color w:val="333333"/>
          <w:sz w:val="20"/>
        </w:rPr>
        <w:t>.</w:t>
      </w:r>
    </w:p>
    <w:p>
      <w:r>
        <w:rPr>
          <w:rFonts w:ascii="Consolas" w:hAnsi="Consolas"/>
          <w:b/>
          <w:i w:val="0"/>
          <w:color w:val="1B3A5C"/>
          <w:sz w:val="19"/>
        </w:rPr>
        <w:t>momo_payment</w:t>
      </w:r>
      <w:r>
        <w:rPr>
          <w:rFonts w:ascii="Calibri" w:hAnsi="Calibri"/>
          <w:b w:val="0"/>
          <w:i w:val="0"/>
          <w:color w:val="333333"/>
          <w:sz w:val="20"/>
        </w:rPr>
        <w:t xml:space="preserve"> — </w:t>
      </w:r>
      <w:r>
        <w:rPr>
          <w:rFonts w:ascii="Consolas" w:hAnsi="Consolas"/>
          <w:b w:val="0"/>
          <w:i w:val="0"/>
          <w:color w:val="1B3A5C"/>
          <w:sz w:val="19"/>
        </w:rPr>
        <w:t>premium_collection_id</w:t>
      </w:r>
      <w:r>
        <w:rPr>
          <w:rFonts w:ascii="Calibri" w:hAnsi="Calibri"/>
          <w:b w:val="0"/>
          <w:i w:val="0"/>
          <w:color w:val="333333"/>
          <w:sz w:val="20"/>
        </w:rPr>
        <w:t xml:space="preserve">, </w:t>
      </w:r>
      <w:r>
        <w:rPr>
          <w:rFonts w:ascii="Consolas" w:hAnsi="Consolas"/>
          <w:b w:val="0"/>
          <w:i w:val="0"/>
          <w:color w:val="1B3A5C"/>
          <w:sz w:val="19"/>
        </w:rPr>
        <w:t>provider</w:t>
      </w:r>
      <w:r>
        <w:rPr>
          <w:rFonts w:ascii="Calibri" w:hAnsi="Calibri"/>
          <w:b w:val="0"/>
          <w:i w:val="0"/>
          <w:color w:val="333333"/>
          <w:sz w:val="20"/>
        </w:rPr>
        <w:t xml:space="preserve">, </w:t>
      </w:r>
      <w:r>
        <w:rPr>
          <w:rFonts w:ascii="Consolas" w:hAnsi="Consolas"/>
          <w:b w:val="0"/>
          <w:i w:val="0"/>
          <w:color w:val="1B3A5C"/>
          <w:sz w:val="19"/>
        </w:rPr>
        <w:t>provider_reference</w:t>
      </w:r>
      <w:r>
        <w:rPr>
          <w:rFonts w:ascii="Calibri" w:hAnsi="Calibri"/>
          <w:b w:val="0"/>
          <w:i w:val="0"/>
          <w:color w:val="333333"/>
          <w:sz w:val="20"/>
        </w:rPr>
        <w:t xml:space="preserve">, </w:t>
      </w:r>
      <w:r>
        <w:rPr>
          <w:rFonts w:ascii="Consolas" w:hAnsi="Consolas"/>
          <w:b w:val="0"/>
          <w:i w:val="0"/>
          <w:color w:val="1B3A5C"/>
          <w:sz w:val="19"/>
        </w:rPr>
        <w:t>msisdn</w:t>
      </w:r>
      <w:r>
        <w:rPr>
          <w:rFonts w:ascii="Calibri" w:hAnsi="Calibri"/>
          <w:b w:val="0"/>
          <w:i w:val="0"/>
          <w:color w:val="333333"/>
          <w:sz w:val="20"/>
        </w:rPr>
        <w:t xml:space="preserve">, </w:t>
      </w:r>
      <w:r>
        <w:rPr>
          <w:rFonts w:ascii="Consolas" w:hAnsi="Consolas"/>
          <w:b w:val="0"/>
          <w:i w:val="0"/>
          <w:color w:val="1B3A5C"/>
          <w:sz w:val="19"/>
        </w:rPr>
        <w:t>amount</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initiated_at</w:t>
      </w:r>
      <w:r>
        <w:rPr>
          <w:rFonts w:ascii="Calibri" w:hAnsi="Calibri"/>
          <w:b w:val="0"/>
          <w:i w:val="0"/>
          <w:color w:val="333333"/>
          <w:sz w:val="20"/>
        </w:rPr>
        <w:t xml:space="preserve">, </w:t>
      </w:r>
      <w:r>
        <w:rPr>
          <w:rFonts w:ascii="Consolas" w:hAnsi="Consolas"/>
          <w:b w:val="0"/>
          <w:i w:val="0"/>
          <w:color w:val="1B3A5C"/>
          <w:sz w:val="19"/>
        </w:rPr>
        <w:t>finalised_at</w:t>
      </w:r>
      <w:r>
        <w:rPr>
          <w:rFonts w:ascii="Calibri" w:hAnsi="Calibri"/>
          <w:b w:val="0"/>
          <w:i w:val="0"/>
          <w:color w:val="333333"/>
          <w:sz w:val="20"/>
        </w:rPr>
        <w:t xml:space="preserve">, </w:t>
      </w:r>
      <w:r>
        <w:rPr>
          <w:rFonts w:ascii="Consolas" w:hAnsi="Consolas"/>
          <w:b w:val="0"/>
          <w:i w:val="0"/>
          <w:color w:val="1B3A5C"/>
          <w:sz w:val="19"/>
        </w:rPr>
        <w:t>callback_payload</w:t>
      </w:r>
      <w:r>
        <w:rPr>
          <w:rFonts w:ascii="Calibri" w:hAnsi="Calibri"/>
          <w:b w:val="0"/>
          <w:i w:val="0"/>
          <w:color w:val="333333"/>
          <w:sz w:val="20"/>
        </w:rPr>
        <w:t xml:space="preserve"> (JSON), </w:t>
      </w:r>
      <w:r>
        <w:rPr>
          <w:rFonts w:ascii="Consolas" w:hAnsi="Consolas"/>
          <w:b w:val="0"/>
          <w:i w:val="0"/>
          <w:color w:val="1B3A5C"/>
          <w:sz w:val="19"/>
        </w:rPr>
        <w:t>reconciliation_status</w:t>
      </w:r>
      <w:r>
        <w:rPr>
          <w:rFonts w:ascii="Calibri" w:hAnsi="Calibri"/>
          <w:b w:val="0"/>
          <w:i w:val="0"/>
          <w:color w:val="333333"/>
          <w:sz w:val="20"/>
        </w:rPr>
        <w:t>.</w:t>
      </w:r>
    </w:p>
    <w:p>
      <w:r>
        <w:rPr>
          <w:rFonts w:ascii="Consolas" w:hAnsi="Consolas"/>
          <w:b/>
          <w:i w:val="0"/>
          <w:color w:val="1B3A5C"/>
          <w:sz w:val="19"/>
        </w:rPr>
        <w:t>sunulife_sync_log</w:t>
      </w:r>
      <w:r>
        <w:rPr>
          <w:rFonts w:ascii="Calibri" w:hAnsi="Calibri"/>
          <w:b w:val="0"/>
          <w:i w:val="0"/>
          <w:color w:val="333333"/>
          <w:sz w:val="20"/>
        </w:rPr>
        <w:t xml:space="preserve"> — </w:t>
      </w:r>
      <w:r>
        <w:rPr>
          <w:rFonts w:ascii="Consolas" w:hAnsi="Consolas"/>
          <w:b w:val="0"/>
          <w:i w:val="0"/>
          <w:color w:val="1B3A5C"/>
          <w:sz w:val="19"/>
        </w:rPr>
        <w:t>direction</w:t>
      </w:r>
      <w:r>
        <w:rPr>
          <w:rFonts w:ascii="Calibri" w:hAnsi="Calibri"/>
          <w:b w:val="0"/>
          <w:i w:val="0"/>
          <w:color w:val="333333"/>
          <w:sz w:val="20"/>
        </w:rPr>
        <w:t xml:space="preserve"> (</w:t>
      </w:r>
      <w:r>
        <w:rPr>
          <w:rFonts w:ascii="Consolas" w:hAnsi="Consolas"/>
          <w:b w:val="0"/>
          <w:i w:val="0"/>
          <w:color w:val="1B3A5C"/>
          <w:sz w:val="19"/>
        </w:rPr>
        <w:t>pull</w:t>
      </w:r>
      <w:r>
        <w:rPr>
          <w:rFonts w:ascii="Calibri" w:hAnsi="Calibri"/>
          <w:b w:val="0"/>
          <w:i w:val="0"/>
          <w:color w:val="333333"/>
          <w:sz w:val="20"/>
        </w:rPr>
        <w:t xml:space="preserve"> | </w:t>
      </w:r>
      <w:r>
        <w:rPr>
          <w:rFonts w:ascii="Consolas" w:hAnsi="Consolas"/>
          <w:b w:val="0"/>
          <w:i w:val="0"/>
          <w:color w:val="1B3A5C"/>
          <w:sz w:val="19"/>
        </w:rPr>
        <w:t>push</w:t>
      </w:r>
      <w:r>
        <w:rPr>
          <w:rFonts w:ascii="Calibri" w:hAnsi="Calibri"/>
          <w:b w:val="0"/>
          <w:i w:val="0"/>
          <w:color w:val="333333"/>
          <w:sz w:val="20"/>
        </w:rPr>
        <w:t xml:space="preserve">), </w:t>
      </w:r>
      <w:r>
        <w:rPr>
          <w:rFonts w:ascii="Consolas" w:hAnsi="Consolas"/>
          <w:b w:val="0"/>
          <w:i w:val="0"/>
          <w:color w:val="1B3A5C"/>
          <w:sz w:val="19"/>
        </w:rPr>
        <w:t>entity</w:t>
      </w:r>
      <w:r>
        <w:rPr>
          <w:rFonts w:ascii="Calibri" w:hAnsi="Calibri"/>
          <w:b w:val="0"/>
          <w:i w:val="0"/>
          <w:color w:val="333333"/>
          <w:sz w:val="20"/>
        </w:rPr>
        <w:t xml:space="preserve">, </w:t>
      </w:r>
      <w:r>
        <w:rPr>
          <w:rFonts w:ascii="Consolas" w:hAnsi="Consolas"/>
          <w:b w:val="0"/>
          <w:i w:val="0"/>
          <w:color w:val="1B3A5C"/>
          <w:sz w:val="19"/>
        </w:rPr>
        <w:t>entity_id</w:t>
      </w:r>
      <w:r>
        <w:rPr>
          <w:rFonts w:ascii="Calibri" w:hAnsi="Calibri"/>
          <w:b w:val="0"/>
          <w:i w:val="0"/>
          <w:color w:val="333333"/>
          <w:sz w:val="20"/>
        </w:rPr>
        <w:t xml:space="preserve">, </w:t>
      </w:r>
      <w:r>
        <w:rPr>
          <w:rFonts w:ascii="Consolas" w:hAnsi="Consolas"/>
          <w:b w:val="0"/>
          <w:i w:val="0"/>
          <w:color w:val="1B3A5C"/>
          <w:sz w:val="19"/>
        </w:rPr>
        <w:t>request_payload</w:t>
      </w:r>
      <w:r>
        <w:rPr>
          <w:rFonts w:ascii="Calibri" w:hAnsi="Calibri"/>
          <w:b w:val="0"/>
          <w:i w:val="0"/>
          <w:color w:val="333333"/>
          <w:sz w:val="20"/>
        </w:rPr>
        <w:t xml:space="preserve">, </w:t>
      </w:r>
      <w:r>
        <w:rPr>
          <w:rFonts w:ascii="Consolas" w:hAnsi="Consolas"/>
          <w:b w:val="0"/>
          <w:i w:val="0"/>
          <w:color w:val="1B3A5C"/>
          <w:sz w:val="19"/>
        </w:rPr>
        <w:t>response_payload</w:t>
      </w:r>
      <w:r>
        <w:rPr>
          <w:rFonts w:ascii="Calibri" w:hAnsi="Calibri"/>
          <w:b w:val="0"/>
          <w:i w:val="0"/>
          <w:color w:val="333333"/>
          <w:sz w:val="20"/>
        </w:rPr>
        <w:t xml:space="preserve">, </w:t>
      </w:r>
      <w:r>
        <w:rPr>
          <w:rFonts w:ascii="Consolas" w:hAnsi="Consolas"/>
          <w:b w:val="0"/>
          <w:i w:val="0"/>
          <w:color w:val="1B3A5C"/>
          <w:sz w:val="19"/>
        </w:rPr>
        <w:t>http_status</w:t>
      </w:r>
      <w:r>
        <w:rPr>
          <w:rFonts w:ascii="Calibri" w:hAnsi="Calibri"/>
          <w:b w:val="0"/>
          <w:i w:val="0"/>
          <w:color w:val="333333"/>
          <w:sz w:val="20"/>
        </w:rPr>
        <w:t xml:space="preserve">, </w:t>
      </w:r>
      <w:r>
        <w:rPr>
          <w:rFonts w:ascii="Consolas" w:hAnsi="Consolas"/>
          <w:b w:val="0"/>
          <w:i w:val="0"/>
          <w:color w:val="1B3A5C"/>
          <w:sz w:val="19"/>
        </w:rPr>
        <w:t>status</w:t>
      </w:r>
      <w:r>
        <w:rPr>
          <w:rFonts w:ascii="Calibri" w:hAnsi="Calibri"/>
          <w:b w:val="0"/>
          <w:i w:val="0"/>
          <w:color w:val="333333"/>
          <w:sz w:val="20"/>
        </w:rPr>
        <w:t xml:space="preserve">, </w:t>
      </w:r>
      <w:r>
        <w:rPr>
          <w:rFonts w:ascii="Consolas" w:hAnsi="Consolas"/>
          <w:b w:val="0"/>
          <w:i w:val="0"/>
          <w:color w:val="1B3A5C"/>
          <w:sz w:val="19"/>
        </w:rPr>
        <w:t>attempts</w:t>
      </w:r>
      <w:r>
        <w:rPr>
          <w:rFonts w:ascii="Calibri" w:hAnsi="Calibri"/>
          <w:b w:val="0"/>
          <w:i w:val="0"/>
          <w:color w:val="333333"/>
          <w:sz w:val="20"/>
        </w:rPr>
        <w:t xml:space="preserve">, </w:t>
      </w:r>
      <w:r>
        <w:rPr>
          <w:rFonts w:ascii="Consolas" w:hAnsi="Consolas"/>
          <w:b w:val="0"/>
          <w:i w:val="0"/>
          <w:color w:val="1B3A5C"/>
          <w:sz w:val="19"/>
        </w:rPr>
        <w:t>last_error</w:t>
      </w:r>
      <w:r>
        <w:rPr>
          <w:rFonts w:ascii="Calibri" w:hAnsi="Calibri"/>
          <w:b w:val="0"/>
          <w:i w:val="0"/>
          <w:color w:val="333333"/>
          <w:sz w:val="20"/>
        </w:rPr>
        <w:t xml:space="preserve">, </w:t>
      </w:r>
      <w:r>
        <w:rPr>
          <w:rFonts w:ascii="Consolas" w:hAnsi="Consolas"/>
          <w:b w:val="0"/>
          <w:i w:val="0"/>
          <w:color w:val="1B3A5C"/>
          <w:sz w:val="19"/>
        </w:rPr>
        <w:t>synced_at</w:t>
      </w:r>
      <w:r>
        <w:rPr>
          <w:rFonts w:ascii="Calibri" w:hAnsi="Calibri"/>
          <w:b w:val="0"/>
          <w:i w:val="0"/>
          <w:color w:val="333333"/>
          <w:sz w:val="20"/>
        </w:rPr>
        <w:t>.</w:t>
      </w:r>
    </w:p>
    <w:p>
      <w:pPr>
        <w:pStyle w:val="Heading2"/>
        <w:spacing w:before="280" w:after="80"/>
        <w:keepNext/>
      </w:pPr>
      <w:bookmarkStart w:id="118" w:name="_Toc_s017"/>
      <w:r>
        <w:rPr>
          <w:rFonts w:ascii="Calibri" w:hAnsi="Calibri"/>
          <w:b/>
          <w:color w:val="1B3A5C"/>
          <w:sz w:val="24"/>
        </w:rPr>
        <w:t>5.3 Idempotency and reference generation</w:t>
      </w:r>
      <w:bookmarkEnd w:id="118"/>
    </w:p>
    <w:p>
      <w:r>
        <w:rPr>
          <w:rFonts w:ascii="Calibri" w:hAnsi="Calibri"/>
          <w:b w:val="0"/>
          <w:i w:val="0"/>
          <w:color w:val="333333"/>
          <w:sz w:val="20"/>
        </w:rPr>
        <w:t xml:space="preserve">Every field-originated operation carries a </w:t>
      </w:r>
      <w:r>
        <w:rPr>
          <w:rFonts w:ascii="Calibri" w:hAnsi="Calibri"/>
          <w:b/>
          <w:i w:val="0"/>
          <w:color w:val="333333"/>
          <w:sz w:val="20"/>
        </w:rPr>
        <w:t>client-generated unique reference</w:t>
      </w:r>
      <w:r>
        <w:rPr>
          <w:rFonts w:ascii="Calibri" w:hAnsi="Calibri"/>
          <w:b w:val="0"/>
          <w:i w:val="0"/>
          <w:color w:val="333333"/>
          <w:sz w:val="20"/>
        </w:rPr>
        <w:t xml:space="preserve"> built from terminal serial + agent id + monotonic counter + timestamp. The back office enforces uniqueness on that reference. A retried upload after a network timeout therefore cannot create a double collection. This is the single most important data-integrity control in an offline-tolerant collection system, and it is enforced at the database level, not only in application code.</w:t>
      </w:r>
    </w:p>
    <w:p>
      <w:pPr>
        <w:pStyle w:val="Heading2"/>
        <w:spacing w:before="280" w:after="80"/>
        <w:keepNext/>
      </w:pPr>
      <w:bookmarkStart w:id="119" w:name="_Toc_s018"/>
      <w:r>
        <w:rPr>
          <w:rFonts w:ascii="Calibri" w:hAnsi="Calibri"/>
          <w:b/>
          <w:color w:val="1B3A5C"/>
          <w:sz w:val="24"/>
        </w:rPr>
        <w:t>5.4 Data retention</w:t>
      </w:r>
      <w:bookmarkEnd w:id="11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Data</w:t>
            </w:r>
          </w:p>
        </w:tc>
        <w:tc>
          <w:tcPr>
            <w:tcW w:type="dxa" w:w="3249"/>
            <w:shd w:val="clear" w:fill="1B3A5C"/>
          </w:tcPr>
          <w:p>
            <w:pPr>
              <w:spacing w:before="60" w:after="60"/>
            </w:pPr>
            <w:r>
              <w:rPr>
                <w:rFonts w:ascii="Calibri" w:hAnsi="Calibri"/>
                <w:b/>
                <w:color w:val="FFFFFF"/>
                <w:sz w:val="17"/>
              </w:rPr>
              <w:t>Retention</w:t>
            </w:r>
          </w:p>
        </w:tc>
        <w:tc>
          <w:tcPr>
            <w:tcW w:type="dxa" w:w="3249"/>
            <w:shd w:val="clear" w:fill="1B3A5C"/>
          </w:tcPr>
          <w:p>
            <w:pPr>
              <w:spacing w:before="60" w:after="60"/>
            </w:pPr>
            <w:r>
              <w:rPr>
                <w:rFonts w:ascii="Calibri" w:hAnsi="Calibri"/>
                <w:b/>
                <w:color w:val="FFFFFF"/>
                <w:sz w:val="17"/>
              </w:rPr>
              <w:t>Note</w:t>
            </w:r>
          </w:p>
        </w:tc>
      </w:tr>
      <w:tr>
        <w:tc>
          <w:tcPr>
            <w:tcW w:type="dxa" w:w="3249"/>
          </w:tcPr>
          <w:p>
            <w:pPr>
              <w:spacing w:before="40" w:after="40"/>
            </w:pPr>
            <w:r>
              <w:rPr>
                <w:rFonts w:ascii="Calibri" w:hAnsi="Calibri"/>
                <w:b w:val="0"/>
                <w:i w:val="0"/>
                <w:color w:val="333333"/>
                <w:sz w:val="17"/>
              </w:rPr>
              <w:t>Financial transactions and collections</w:t>
            </w:r>
          </w:p>
        </w:tc>
        <w:tc>
          <w:tcPr>
            <w:tcW w:type="dxa" w:w="3249"/>
          </w:tcPr>
          <w:p>
            <w:pPr>
              <w:spacing w:before="40" w:after="40"/>
            </w:pPr>
            <w:r>
              <w:rPr>
                <w:rFonts w:ascii="Calibri" w:hAnsi="Calibri"/>
                <w:b w:val="0"/>
                <w:i w:val="0"/>
                <w:color w:val="333333"/>
                <w:sz w:val="17"/>
              </w:rPr>
              <w:t>10 years</w:t>
            </w:r>
          </w:p>
        </w:tc>
        <w:tc>
          <w:tcPr>
            <w:tcW w:type="dxa" w:w="3249"/>
          </w:tcPr>
          <w:p>
            <w:pPr>
              <w:spacing w:before="40" w:after="40"/>
            </w:pPr>
            <w:r>
              <w:rPr>
                <w:rFonts w:ascii="Calibri" w:hAnsi="Calibri"/>
                <w:b w:val="0"/>
                <w:i w:val="0"/>
                <w:color w:val="333333"/>
                <w:sz w:val="17"/>
              </w:rPr>
              <w:t>Insurance/accounting retention</w:t>
            </w:r>
          </w:p>
        </w:tc>
      </w:tr>
      <w:tr>
        <w:tc>
          <w:tcPr>
            <w:tcW w:type="dxa" w:w="3249"/>
            <w:shd w:val="clear" w:fill="F2F6FA"/>
          </w:tcPr>
          <w:p>
            <w:pPr>
              <w:spacing w:before="40" w:after="40"/>
            </w:pPr>
            <w:r>
              <w:rPr>
                <w:rFonts w:ascii="Calibri" w:hAnsi="Calibri"/>
                <w:b w:val="0"/>
                <w:i w:val="0"/>
                <w:color w:val="333333"/>
                <w:sz w:val="17"/>
              </w:rPr>
              <w:t>Proposal and identity images</w:t>
            </w:r>
          </w:p>
        </w:tc>
        <w:tc>
          <w:tcPr>
            <w:tcW w:type="dxa" w:w="3249"/>
            <w:shd w:val="clear" w:fill="F2F6FA"/>
          </w:tcPr>
          <w:p>
            <w:pPr>
              <w:spacing w:before="40" w:after="40"/>
            </w:pPr>
            <w:r>
              <w:rPr>
                <w:rFonts w:ascii="Calibri" w:hAnsi="Calibri"/>
                <w:b w:val="0"/>
                <w:i w:val="0"/>
                <w:color w:val="333333"/>
                <w:sz w:val="17"/>
              </w:rPr>
              <w:t>10 years, archived to cold storage after 2 years</w:t>
            </w:r>
          </w:p>
        </w:tc>
        <w:tc>
          <w:tcPr>
            <w:tcW w:type="dxa" w:w="3249"/>
            <w:shd w:val="clear" w:fill="F2F6FA"/>
          </w:tcPr>
          <w:p>
            <w:pPr>
              <w:spacing w:before="40" w:after="40"/>
            </w:pPr>
            <w:r>
              <w:rPr>
                <w:rFonts w:ascii="Calibri" w:hAnsi="Calibri"/>
                <w:b w:val="0"/>
                <w:i w:val="0"/>
                <w:color w:val="333333"/>
                <w:sz w:val="17"/>
              </w:rPr>
              <w:t>Volume control</w:t>
            </w:r>
          </w:p>
        </w:tc>
      </w:tr>
      <w:tr>
        <w:tc>
          <w:tcPr>
            <w:tcW w:type="dxa" w:w="3249"/>
          </w:tcPr>
          <w:p>
            <w:pPr>
              <w:spacing w:before="40" w:after="40"/>
            </w:pPr>
            <w:r>
              <w:rPr>
                <w:rFonts w:ascii="Calibri" w:hAnsi="Calibri"/>
                <w:b w:val="0"/>
                <w:i w:val="0"/>
                <w:color w:val="333333"/>
                <w:sz w:val="17"/>
              </w:rPr>
              <w:t>Audit trail</w:t>
            </w:r>
          </w:p>
        </w:tc>
        <w:tc>
          <w:tcPr>
            <w:tcW w:type="dxa" w:w="3249"/>
          </w:tcPr>
          <w:p>
            <w:pPr>
              <w:spacing w:before="40" w:after="40"/>
            </w:pPr>
            <w:r>
              <w:rPr>
                <w:rFonts w:ascii="Calibri" w:hAnsi="Calibri"/>
                <w:b w:val="0"/>
                <w:i w:val="0"/>
                <w:color w:val="333333"/>
                <w:sz w:val="17"/>
              </w:rPr>
              <w:t>5 years</w:t>
            </w:r>
          </w:p>
        </w:tc>
        <w:tc>
          <w:tcPr>
            <w:tcW w:type="dxa" w:w="3249"/>
          </w:tcPr>
          <w:p>
            <w:pPr>
              <w:spacing w:before="40" w:after="40"/>
            </w:pPr>
          </w:p>
        </w:tc>
      </w:tr>
      <w:tr>
        <w:tc>
          <w:tcPr>
            <w:tcW w:type="dxa" w:w="3249"/>
            <w:shd w:val="clear" w:fill="F2F6FA"/>
          </w:tcPr>
          <w:p>
            <w:pPr>
              <w:spacing w:before="40" w:after="40"/>
            </w:pPr>
            <w:r>
              <w:rPr>
                <w:rFonts w:ascii="Calibri" w:hAnsi="Calibri"/>
                <w:b w:val="0"/>
                <w:i w:val="0"/>
                <w:color w:val="333333"/>
                <w:sz w:val="17"/>
              </w:rPr>
              <w:t>API request logs</w:t>
            </w:r>
          </w:p>
        </w:tc>
        <w:tc>
          <w:tcPr>
            <w:tcW w:type="dxa" w:w="3249"/>
            <w:shd w:val="clear" w:fill="F2F6FA"/>
          </w:tcPr>
          <w:p>
            <w:pPr>
              <w:spacing w:before="40" w:after="40"/>
            </w:pPr>
            <w:r>
              <w:rPr>
                <w:rFonts w:ascii="Calibri" w:hAnsi="Calibri"/>
                <w:b w:val="0"/>
                <w:i w:val="0"/>
                <w:color w:val="333333"/>
                <w:sz w:val="17"/>
              </w:rPr>
              <w:t>12 months</w:t>
            </w:r>
          </w:p>
        </w:tc>
        <w:tc>
          <w:tcPr>
            <w:tcW w:type="dxa" w:w="3249"/>
            <w:shd w:val="clear" w:fill="F2F6FA"/>
          </w:tcPr>
          <w:p>
            <w:pPr>
              <w:spacing w:before="40" w:after="40"/>
            </w:pPr>
          </w:p>
        </w:tc>
      </w:tr>
      <w:tr>
        <w:tc>
          <w:tcPr>
            <w:tcW w:type="dxa" w:w="3249"/>
          </w:tcPr>
          <w:p>
            <w:pPr>
              <w:spacing w:before="40" w:after="40"/>
            </w:pPr>
            <w:r>
              <w:rPr>
                <w:rFonts w:ascii="Calibri" w:hAnsi="Calibri"/>
                <w:b w:val="0"/>
                <w:i w:val="0"/>
                <w:color w:val="333333"/>
                <w:sz w:val="17"/>
              </w:rPr>
              <w:t>Biometric templates (if enabled)</w:t>
            </w:r>
          </w:p>
        </w:tc>
        <w:tc>
          <w:tcPr>
            <w:tcW w:type="dxa" w:w="3249"/>
          </w:tcPr>
          <w:p>
            <w:pPr>
              <w:spacing w:before="40" w:after="40"/>
            </w:pPr>
            <w:r>
              <w:rPr>
                <w:rFonts w:ascii="Calibri" w:hAnsi="Calibri"/>
                <w:b w:val="0"/>
                <w:i w:val="0"/>
                <w:color w:val="333333"/>
                <w:sz w:val="17"/>
              </w:rPr>
              <w:t>Life of the relationship + 1 year</w:t>
            </w:r>
          </w:p>
        </w:tc>
        <w:tc>
          <w:tcPr>
            <w:tcW w:type="dxa" w:w="3249"/>
          </w:tcPr>
          <w:p>
            <w:pPr>
              <w:spacing w:before="40" w:after="40"/>
            </w:pPr>
            <w:r>
              <w:rPr>
                <w:rFonts w:ascii="Calibri" w:hAnsi="Calibri"/>
                <w:b w:val="0"/>
                <w:i w:val="0"/>
                <w:color w:val="333333"/>
                <w:sz w:val="17"/>
              </w:rPr>
              <w:t>See Document 2</w:t>
            </w:r>
          </w:p>
        </w:tc>
      </w:tr>
      <w:tr>
        <w:tc>
          <w:tcPr>
            <w:tcW w:type="dxa" w:w="3249"/>
            <w:shd w:val="clear" w:fill="F2F6FA"/>
          </w:tcPr>
          <w:p>
            <w:pPr>
              <w:spacing w:before="40" w:after="40"/>
            </w:pPr>
            <w:r>
              <w:rPr>
                <w:rFonts w:ascii="Calibri" w:hAnsi="Calibri"/>
                <w:b w:val="0"/>
                <w:i w:val="0"/>
                <w:color w:val="333333"/>
                <w:sz w:val="17"/>
              </w:rPr>
              <w:t>Session and technical logs</w:t>
            </w:r>
          </w:p>
        </w:tc>
        <w:tc>
          <w:tcPr>
            <w:tcW w:type="dxa" w:w="3249"/>
            <w:shd w:val="clear" w:fill="F2F6FA"/>
          </w:tcPr>
          <w:p>
            <w:pPr>
              <w:spacing w:before="40" w:after="40"/>
            </w:pPr>
            <w:r>
              <w:rPr>
                <w:rFonts w:ascii="Calibri" w:hAnsi="Calibri"/>
                <w:b w:val="0"/>
                <w:i w:val="0"/>
                <w:color w:val="333333"/>
                <w:sz w:val="17"/>
              </w:rPr>
              <w:t>90 days</w:t>
            </w:r>
          </w:p>
        </w:tc>
        <w:tc>
          <w:tcPr>
            <w:tcW w:type="dxa" w:w="3249"/>
            <w:shd w:val="clear" w:fill="F2F6FA"/>
          </w:tcPr>
          <w:p>
            <w:pPr>
              <w:spacing w:before="40" w:after="40"/>
            </w:pPr>
          </w:p>
        </w:tc>
      </w:tr>
    </w:tbl>
    <w:p>
      <w:pPr>
        <w:spacing w:after="40"/>
      </w:pPr>
    </w:p>
    <w:p>
      <w:pPr>
        <w:pStyle w:val="Heading1"/>
        <w:pageBreakBefore/>
        <w:spacing w:before="360" w:after="80"/>
        <w:keepNext/>
        <w:pBdr>
          <w:bottom w:val="single" w:sz="8" w:space="6" w:color="1B3A5C"/>
        </w:pBdr>
      </w:pPr>
      <w:bookmarkStart w:id="120" w:name="_Toc_s019"/>
      <w:r>
        <w:rPr>
          <w:rFonts w:ascii="Calibri" w:hAnsi="Calibri"/>
          <w:b/>
          <w:color w:val="1B3A5C"/>
          <w:sz w:val="30"/>
        </w:rPr>
        <w:t>6. Functional Flows (Level 3)</w:t>
      </w:r>
      <w:bookmarkEnd w:id="120"/>
    </w:p>
    <w:p>
      <w:pPr>
        <w:pStyle w:val="Heading2"/>
        <w:spacing w:before="280" w:after="80"/>
        <w:keepNext/>
      </w:pPr>
      <w:bookmarkStart w:id="121" w:name="_Toc_s020"/>
      <w:r>
        <w:rPr>
          <w:rFonts w:ascii="Calibri" w:hAnsi="Calibri"/>
          <w:b/>
          <w:color w:val="1B3A5C"/>
          <w:sz w:val="24"/>
        </w:rPr>
        <w:t>6.1 Flow A — Subscription and first premium (TdR Need 1)</w:t>
      </w:r>
      <w:bookmarkEnd w:id="121"/>
    </w:p>
    <w:p>
      <w:pPr>
        <w:spacing w:before="120" w:after="160" w:line="240" w:lineRule="auto"/>
        <w:ind w:left="113"/>
        <w:shd w:val="clear" w:fill="F4F5F2"/>
        <w:pBdr>
          <w:left w:val="single" w:sz="12" w:space="6" w:color="1B3A5C"/>
        </w:pBdr>
      </w:pPr>
      <w:r>
        <w:rPr>
          <w:rFonts w:ascii="Consolas" w:hAnsi="Consolas" w:cs="Consolas"/>
          <w:color w:val="333333"/>
          <w:sz w:val="15"/>
        </w:rPr>
        <w:t>COLLECTOR                    POS TERMINAL                  BACK OFFICE            SUNULIFE</w:t>
        <w:br/>
      </w:r>
      <w:r>
        <w:rPr>
          <w:rFonts w:ascii="Consolas" w:hAnsi="Consolas" w:cs="Consolas"/>
          <w:color w:val="333333"/>
          <w:sz w:val="15"/>
        </w:rPr>
        <w:t xml:space="preserve">    │                             │                             │                     │</w:t>
        <w:br/>
      </w:r>
      <w:r>
        <w:rPr>
          <w:rFonts w:ascii="Consolas" w:hAnsi="Consolas" w:cs="Consolas"/>
          <w:color w:val="333333"/>
          <w:sz w:val="15"/>
        </w:rPr>
        <w:t xml:space="preserve">    │ fills paper proposal        │                             │                     │</w:t>
        <w:br/>
      </w:r>
      <w:r>
        <w:rPr>
          <w:rFonts w:ascii="Consolas" w:hAnsi="Consolas" w:cs="Consolas"/>
          <w:color w:val="333333"/>
          <w:sz w:val="15"/>
        </w:rPr>
        <w:t xml:space="preserve">    │ client signs                │                             │                     │</w:t>
        <w:br/>
      </w:r>
      <w:r>
        <w:rPr>
          <w:rFonts w:ascii="Consolas" w:hAnsi="Consolas" w:cs="Consolas"/>
          <w:color w:val="333333"/>
          <w:sz w:val="15"/>
        </w:rPr>
        <w:t xml:space="preserve">    │                             │                             │                     │</w:t>
        <w:br/>
      </w:r>
      <w:r>
        <w:rPr>
          <w:rFonts w:ascii="Consolas" w:hAnsi="Consolas" w:cs="Consolas"/>
          <w:color w:val="333333"/>
          <w:sz w:val="15"/>
        </w:rPr>
        <w:t xml:space="preserve">    ├─ opens "New subscription" ─►│                             │                     │</w:t>
        <w:br/>
      </w:r>
      <w:r>
        <w:rPr>
          <w:rFonts w:ascii="Consolas" w:hAnsi="Consolas" w:cs="Consolas"/>
          <w:color w:val="333333"/>
          <w:sz w:val="15"/>
        </w:rPr>
        <w:t xml:space="preserve">    │                             │ selects product             │                     │</w:t>
        <w:br/>
      </w:r>
      <w:r>
        <w:rPr>
          <w:rFonts w:ascii="Consolas" w:hAnsi="Consolas" w:cs="Consolas"/>
          <w:color w:val="333333"/>
          <w:sz w:val="15"/>
        </w:rPr>
        <w:t xml:space="preserve">    │                             │ enters proposal number      │                     │</w:t>
        <w:br/>
      </w:r>
      <w:r>
        <w:rPr>
          <w:rFonts w:ascii="Consolas" w:hAnsi="Consolas" w:cs="Consolas"/>
          <w:color w:val="333333"/>
          <w:sz w:val="15"/>
        </w:rPr>
        <w:t xml:space="preserve">    │                             │ enters insured identity     │                     │</w:t>
        <w:br/>
      </w:r>
      <w:r>
        <w:rPr>
          <w:rFonts w:ascii="Consolas" w:hAnsi="Consolas" w:cs="Consolas"/>
          <w:color w:val="333333"/>
          <w:sz w:val="15"/>
        </w:rPr>
        <w:t xml:space="preserve">    │                             │ photographs proposal        │                     │</w:t>
        <w:br/>
      </w:r>
      <w:r>
        <w:rPr>
          <w:rFonts w:ascii="Consolas" w:hAnsi="Consolas" w:cs="Consolas"/>
          <w:color w:val="333333"/>
          <w:sz w:val="15"/>
        </w:rPr>
        <w:t xml:space="preserve">    │                             │ photographs CNIB (2 sides)  │                     │</w:t>
        <w:br/>
      </w:r>
      <w:r>
        <w:rPr>
          <w:rFonts w:ascii="Consolas" w:hAnsi="Consolas" w:cs="Consolas"/>
          <w:color w:val="333333"/>
          <w:sz w:val="15"/>
        </w:rPr>
        <w:t xml:space="preserve">    │                             │ captures GPS                │                     │</w:t>
        <w:br/>
      </w:r>
      <w:r>
        <w:rPr>
          <w:rFonts w:ascii="Consolas" w:hAnsi="Consolas" w:cs="Consolas"/>
          <w:color w:val="333333"/>
          <w:sz w:val="15"/>
        </w:rPr>
        <w:t xml:space="preserve">    │                             │ ── stores locally ────────► │                     │</w:t>
        <w:br/>
      </w:r>
      <w:r>
        <w:rPr>
          <w:rFonts w:ascii="Consolas" w:hAnsi="Consolas" w:cs="Consolas"/>
          <w:color w:val="333333"/>
          <w:sz w:val="15"/>
        </w:rPr>
        <w:t xml:space="preserve">    │                             │                             │                     │</w:t>
        <w:br/>
      </w:r>
      <w:r>
        <w:rPr>
          <w:rFonts w:ascii="Consolas" w:hAnsi="Consolas" w:cs="Consolas"/>
          <w:color w:val="333333"/>
          <w:sz w:val="15"/>
        </w:rPr>
        <w:t xml:space="preserve">    ├─ collects policy costs ────►│ prints RECEIPT #1 (costs)   │                     │</w:t>
        <w:br/>
      </w:r>
      <w:r>
        <w:rPr>
          <w:rFonts w:ascii="Consolas" w:hAnsi="Consolas" w:cs="Consolas"/>
          <w:color w:val="333333"/>
          <w:sz w:val="15"/>
        </w:rPr>
        <w:t xml:space="preserve">    ├─ collects first premium ───►│ prints RECEIPT #2 (premium) │                     │</w:t>
        <w:br/>
      </w:r>
      <w:r>
        <w:rPr>
          <w:rFonts w:ascii="Consolas" w:hAnsi="Consolas" w:cs="Consolas"/>
          <w:color w:val="333333"/>
          <w:sz w:val="15"/>
        </w:rPr>
        <w:t xml:space="preserve">    │                             │                             │                     │</w:t>
        <w:br/>
      </w:r>
      <w:r>
        <w:rPr>
          <w:rFonts w:ascii="Consolas" w:hAnsi="Consolas" w:cs="Consolas"/>
          <w:color w:val="333333"/>
          <w:sz w:val="15"/>
        </w:rPr>
        <w:t xml:space="preserve">    │                             │ ── uploads when online ───► │ creates proposal    │</w:t>
        <w:br/>
      </w:r>
      <w:r>
        <w:rPr>
          <w:rFonts w:ascii="Consolas" w:hAnsi="Consolas" w:cs="Consolas"/>
          <w:color w:val="333333"/>
          <w:sz w:val="15"/>
        </w:rPr>
        <w:t xml:space="preserve">    │                             │                             │ + 2 collections     │</w:t>
        <w:br/>
      </w:r>
      <w:r>
        <w:rPr>
          <w:rFonts w:ascii="Consolas" w:hAnsi="Consolas" w:cs="Consolas"/>
          <w:color w:val="333333"/>
          <w:sz w:val="15"/>
        </w:rPr>
        <w:t xml:space="preserve">    │                             │                             │ + 2 transactions    │</w:t>
        <w:br/>
      </w:r>
      <w:r>
        <w:rPr>
          <w:rFonts w:ascii="Consolas" w:hAnsi="Consolas" w:cs="Consolas"/>
          <w:color w:val="333333"/>
          <w:sz w:val="15"/>
        </w:rPr>
        <w:t xml:space="preserve">    │                             │                             │                     │</w:t>
        <w:br/>
      </w:r>
      <w:r>
        <w:rPr>
          <w:rFonts w:ascii="Consolas" w:hAnsi="Consolas" w:cs="Consolas"/>
          <w:color w:val="333333"/>
          <w:sz w:val="15"/>
        </w:rPr>
        <w:t xml:space="preserve">    │                             │                             │ back-office review  │</w:t>
        <w:br/>
      </w:r>
      <w:r>
        <w:rPr>
          <w:rFonts w:ascii="Consolas" w:hAnsi="Consolas" w:cs="Consolas"/>
          <w:color w:val="333333"/>
          <w:sz w:val="15"/>
        </w:rPr>
        <w:t xml:space="preserve">    │                             │                             │ ── push proposal ──►│</w:t>
        <w:br/>
      </w:r>
      <w:r>
        <w:rPr>
          <w:rFonts w:ascii="Consolas" w:hAnsi="Consolas" w:cs="Consolas"/>
          <w:color w:val="333333"/>
          <w:sz w:val="15"/>
        </w:rPr>
        <w:t xml:space="preserve">    │                             │                             │ ◄── policy number ──┤</w:t>
        <w:br/>
      </w:r>
      <w:r>
        <w:rPr>
          <w:rFonts w:ascii="Consolas" w:hAnsi="Consolas" w:cs="Consolas"/>
          <w:color w:val="333333"/>
          <w:sz w:val="15"/>
        </w:rPr>
        <w:t xml:space="preserve">    │                             │                             │ creates policy      │</w:t>
        <w:br/>
      </w:r>
      <w:r>
        <w:rPr>
          <w:rFonts w:ascii="Consolas" w:hAnsi="Consolas" w:cs="Consolas"/>
          <w:color w:val="333333"/>
          <w:sz w:val="15"/>
        </w:rPr>
        <w:t xml:space="preserve">    │                             │                             │ queues card issue   │</w:t>
      </w:r>
    </w:p>
    <w:p>
      <w:r>
        <w:rPr>
          <w:rFonts w:ascii="Calibri" w:hAnsi="Calibri"/>
          <w:b/>
          <w:i w:val="0"/>
          <w:color w:val="333333"/>
          <w:sz w:val="20"/>
        </w:rPr>
        <w:t>Data transmitted with the proposal, per the TdR:</w:t>
      </w:r>
      <w:r>
        <w:rPr>
          <w:rFonts w:ascii="Calibri" w:hAnsi="Calibri"/>
          <w:b w:val="0"/>
          <w:i w:val="0"/>
          <w:color w:val="333333"/>
          <w:sz w:val="20"/>
        </w:rPr>
        <w:t xml:space="preserve"> collection agent's references, product subscribed to, proposal number shown on the physical document, insured's last name and first name, GPS coordinates of the subscription location.</w:t>
      </w:r>
    </w:p>
    <w:p>
      <w:r>
        <w:rPr>
          <w:rFonts w:ascii="Calibri" w:hAnsi="Calibri"/>
          <w:b/>
          <w:i w:val="0"/>
          <w:color w:val="333333"/>
          <w:sz w:val="20"/>
        </w:rPr>
        <w:t>Data transmitted with each payment, per the TdR:</w:t>
      </w:r>
      <w:r>
        <w:rPr>
          <w:rFonts w:ascii="Calibri" w:hAnsi="Calibri"/>
          <w:b w:val="0"/>
          <w:i w:val="0"/>
          <w:color w:val="333333"/>
          <w:sz w:val="20"/>
        </w:rPr>
        <w:t xml:space="preserve"> product name, proposal number, collection agent's references, amount collected, date, time, and GPS coordinates where available.</w:t>
      </w:r>
    </w:p>
    <w:p>
      <w:r>
        <w:rPr>
          <w:rFonts w:ascii="Calibri" w:hAnsi="Calibri"/>
          <w:b w:val="0"/>
          <w:i w:val="0"/>
          <w:color w:val="333333"/>
          <w:sz w:val="20"/>
        </w:rPr>
        <w:t>The two receipts are distinct documents with distinct numbers, as the TdR requires a receipt for policy costs and a separate receipt for the first premium.</w:t>
      </w:r>
    </w:p>
    <w:p>
      <w:pPr>
        <w:pStyle w:val="Heading2"/>
        <w:spacing w:before="280" w:after="80"/>
        <w:keepNext/>
      </w:pPr>
      <w:bookmarkStart w:id="122" w:name="_Toc_s021"/>
      <w:r>
        <w:rPr>
          <w:rFonts w:ascii="Calibri" w:hAnsi="Calibri"/>
          <w:b/>
          <w:color w:val="1B3A5C"/>
          <w:sz w:val="24"/>
        </w:rPr>
        <w:t>6.2 Flow B — Recurring premium collection by card (TdR Need 2)</w:t>
      </w:r>
      <w:bookmarkEnd w:id="122"/>
    </w:p>
    <w:p>
      <w:pPr>
        <w:spacing w:before="120" w:after="160" w:line="240" w:lineRule="auto"/>
        <w:ind w:left="113"/>
        <w:shd w:val="clear" w:fill="F4F5F2"/>
        <w:pBdr>
          <w:left w:val="single" w:sz="12" w:space="6" w:color="1B3A5C"/>
        </w:pBdr>
      </w:pPr>
      <w:r>
        <w:rPr>
          <w:rFonts w:ascii="Consolas" w:hAnsi="Consolas" w:cs="Consolas"/>
          <w:color w:val="333333"/>
          <w:sz w:val="15"/>
        </w:rPr>
        <w:t>INSURED         COLLECTOR        POS TERMINAL              BACK OFFICE</w:t>
        <w:br/>
      </w:r>
      <w:r>
        <w:rPr>
          <w:rFonts w:ascii="Consolas" w:hAnsi="Consolas" w:cs="Consolas"/>
          <w:color w:val="333333"/>
          <w:sz w:val="15"/>
        </w:rPr>
        <w:t xml:space="preserve">   │                │                  │                        │</w:t>
        <w:br/>
      </w:r>
      <w:r>
        <w:rPr>
          <w:rFonts w:ascii="Consolas" w:hAnsi="Consolas" w:cs="Consolas"/>
          <w:color w:val="333333"/>
          <w:sz w:val="15"/>
        </w:rPr>
        <w:t xml:space="preserve">   ├─ presents card►│                  │                        │</w:t>
        <w:br/>
      </w:r>
      <w:r>
        <w:rPr>
          <w:rFonts w:ascii="Consolas" w:hAnsi="Consolas" w:cs="Consolas"/>
          <w:color w:val="333333"/>
          <w:sz w:val="15"/>
        </w:rPr>
        <w:t xml:space="preserve">   │                ├─ taps card ─────►│ reads card UID         │</w:t>
        <w:br/>
      </w:r>
      <w:r>
        <w:rPr>
          <w:rFonts w:ascii="Consolas" w:hAnsi="Consolas" w:cs="Consolas"/>
          <w:color w:val="333333"/>
          <w:sz w:val="15"/>
        </w:rPr>
        <w:t xml:space="preserve">   │                │                  ├─ lookup by UID ───────►│</w:t>
        <w:br/>
      </w:r>
      <w:r>
        <w:rPr>
          <w:rFonts w:ascii="Consolas" w:hAnsi="Consolas" w:cs="Consolas"/>
          <w:color w:val="333333"/>
          <w:sz w:val="15"/>
        </w:rPr>
        <w:t xml:space="preserve">   │                │                  │◄── insured + active ───┤</w:t>
        <w:br/>
      </w:r>
      <w:r>
        <w:rPr>
          <w:rFonts w:ascii="Consolas" w:hAnsi="Consolas" w:cs="Consolas"/>
          <w:color w:val="333333"/>
          <w:sz w:val="15"/>
        </w:rPr>
        <w:t xml:space="preserve">   │                │                  │    policies list       │</w:t>
        <w:br/>
      </w:r>
      <w:r>
        <w:rPr>
          <w:rFonts w:ascii="Consolas" w:hAnsi="Consolas" w:cs="Consolas"/>
          <w:color w:val="333333"/>
          <w:sz w:val="15"/>
        </w:rPr>
        <w:t xml:space="preserve">   │                │                  │                        │</w:t>
        <w:br/>
      </w:r>
      <w:r>
        <w:rPr>
          <w:rFonts w:ascii="Consolas" w:hAnsi="Consolas" w:cs="Consolas"/>
          <w:color w:val="333333"/>
          <w:sz w:val="15"/>
        </w:rPr>
        <w:t xml:space="preserve">   │                │◄─ policy list ───┤  (cached locally for   │</w:t>
        <w:br/>
      </w:r>
      <w:r>
        <w:rPr>
          <w:rFonts w:ascii="Consolas" w:hAnsi="Consolas" w:cs="Consolas"/>
          <w:color w:val="333333"/>
          <w:sz w:val="15"/>
        </w:rPr>
        <w:t xml:space="preserve">   │                │                  │   offline operation)   │</w:t>
        <w:br/>
      </w:r>
      <w:r>
        <w:rPr>
          <w:rFonts w:ascii="Consolas" w:hAnsi="Consolas" w:cs="Consolas"/>
          <w:color w:val="333333"/>
          <w:sz w:val="15"/>
        </w:rPr>
        <w:t xml:space="preserve">   │                ├─ selects policy ►│                        │</w:t>
        <w:br/>
      </w:r>
      <w:r>
        <w:rPr>
          <w:rFonts w:ascii="Consolas" w:hAnsi="Consolas" w:cs="Consolas"/>
          <w:color w:val="333333"/>
          <w:sz w:val="15"/>
        </w:rPr>
        <w:t xml:space="preserve">   │                ├─ enters amount ─►│ validates vs premium   │</w:t>
        <w:br/>
      </w:r>
      <w:r>
        <w:rPr>
          <w:rFonts w:ascii="Consolas" w:hAnsi="Consolas" w:cs="Consolas"/>
          <w:color w:val="333333"/>
          <w:sz w:val="15"/>
        </w:rPr>
        <w:t xml:space="preserve">   │                ├─ chooses cash    │                        │</w:t>
        <w:br/>
      </w:r>
      <w:r>
        <w:rPr>
          <w:rFonts w:ascii="Consolas" w:hAnsi="Consolas" w:cs="Consolas"/>
          <w:color w:val="333333"/>
          <w:sz w:val="15"/>
        </w:rPr>
        <w:t xml:space="preserve">   │                │   or Mobile Money│                        │</w:t>
        <w:br/>
      </w:r>
      <w:r>
        <w:rPr>
          <w:rFonts w:ascii="Consolas" w:hAnsi="Consolas" w:cs="Consolas"/>
          <w:color w:val="333333"/>
          <w:sz w:val="15"/>
        </w:rPr>
        <w:t xml:space="preserve">   │                │                  │ [if MoMo → section 9]  │</w:t>
        <w:br/>
      </w:r>
      <w:r>
        <w:rPr>
          <w:rFonts w:ascii="Consolas" w:hAnsi="Consolas" w:cs="Consolas"/>
          <w:color w:val="333333"/>
          <w:sz w:val="15"/>
        </w:rPr>
        <w:t xml:space="preserve">   │                │                  │                        │</w:t>
        <w:br/>
      </w:r>
      <w:r>
        <w:rPr>
          <w:rFonts w:ascii="Consolas" w:hAnsi="Consolas" w:cs="Consolas"/>
          <w:color w:val="333333"/>
          <w:sz w:val="15"/>
        </w:rPr>
        <w:t xml:space="preserve">   │◄── RECEIPT ────┼──────────────────┤ prints receipt         │</w:t>
        <w:br/>
      </w:r>
      <w:r>
        <w:rPr>
          <w:rFonts w:ascii="Consolas" w:hAnsi="Consolas" w:cs="Consolas"/>
          <w:color w:val="333333"/>
          <w:sz w:val="15"/>
        </w:rPr>
        <w:t xml:space="preserve">   │                │                  ├─ posts collection ────►│ collection +</w:t>
        <w:br/>
      </w:r>
      <w:r>
        <w:rPr>
          <w:rFonts w:ascii="Consolas" w:hAnsi="Consolas" w:cs="Consolas"/>
          <w:color w:val="333333"/>
          <w:sz w:val="15"/>
        </w:rPr>
        <w:t xml:space="preserve">   │                │                  │                        │ transaction</w:t>
        <w:br/>
      </w:r>
      <w:r>
        <w:rPr>
          <w:rFonts w:ascii="Consolas" w:hAnsi="Consolas" w:cs="Consolas"/>
          <w:color w:val="333333"/>
          <w:sz w:val="15"/>
        </w:rPr>
        <w:t xml:space="preserve">   │                │                  │                        │ collector balance +</w:t>
        <w:br/>
      </w:r>
      <w:r>
        <w:rPr>
          <w:rFonts w:ascii="Consolas" w:hAnsi="Consolas" w:cs="Consolas"/>
          <w:color w:val="333333"/>
          <w:sz w:val="15"/>
        </w:rPr>
        <w:t xml:space="preserve">   │                │                  │◄─ cap status ──────────┤ cap check</w:t>
      </w:r>
    </w:p>
    <w:p>
      <w:r>
        <w:rPr>
          <w:rFonts w:ascii="Calibri" w:hAnsi="Calibri"/>
          <w:b w:val="0"/>
          <w:i w:val="0"/>
          <w:color w:val="333333"/>
          <w:sz w:val="20"/>
        </w:rPr>
        <w:t>If the terminal is offline, the policy list is served from the local cache (refreshed on each successful sync), the receipt is printed immediately, and the collection is queued. The insured is never turned away because of the network.</w:t>
      </w:r>
    </w:p>
    <w:p>
      <w:pPr>
        <w:pStyle w:val="Heading2"/>
        <w:spacing w:before="280" w:after="80"/>
        <w:keepNext/>
      </w:pPr>
      <w:bookmarkStart w:id="123" w:name="_Toc_s022"/>
      <w:r>
        <w:rPr>
          <w:rFonts w:ascii="Calibri" w:hAnsi="Calibri"/>
          <w:b/>
          <w:color w:val="1B3A5C"/>
          <w:sz w:val="24"/>
        </w:rPr>
        <w:t>6.3 Flow C — Collector cap and pay-in (TdR Need 2)</w:t>
      </w:r>
      <w:bookmarkEnd w:id="123"/>
    </w:p>
    <w:p>
      <w:pPr>
        <w:spacing w:before="120" w:after="160" w:line="240" w:lineRule="auto"/>
        <w:ind w:left="113"/>
        <w:shd w:val="clear" w:fill="F4F5F2"/>
        <w:pBdr>
          <w:left w:val="single" w:sz="12" w:space="6" w:color="1B3A5C"/>
        </w:pBdr>
      </w:pPr>
      <w:r>
        <w:rPr>
          <w:rFonts w:ascii="Consolas" w:hAnsi="Consolas" w:cs="Consolas"/>
          <w:color w:val="333333"/>
          <w:sz w:val="15"/>
        </w:rPr>
        <w:t>Each collection: collector_balance.uncollected_amount += amount</w:t>
        <w:br/>
      </w:r>
      <w:r>
        <w:rPr>
          <w:rFonts w:ascii="Consolas" w:hAnsi="Consolas" w:cs="Consolas"/>
          <w:color w:val="333333"/>
          <w:sz w:val="15"/>
        </w:rPr>
        <w:br/>
      </w:r>
      <w:r>
        <w:rPr>
          <w:rFonts w:ascii="Consolas" w:hAnsi="Consolas" w:cs="Consolas"/>
          <w:color w:val="333333"/>
          <w:sz w:val="15"/>
        </w:rPr>
        <w:t xml:space="preserve">  uncollected &lt; warning threshold      → normal operation</w:t>
        <w:br/>
      </w:r>
      <w:r>
        <w:rPr>
          <w:rFonts w:ascii="Consolas" w:hAnsi="Consolas" w:cs="Consolas"/>
          <w:color w:val="333333"/>
          <w:sz w:val="15"/>
        </w:rPr>
        <w:t xml:space="preserve">  warning ≤ uncollected &lt; cap          → POS shows a warning banner on every screen</w:t>
        <w:br/>
      </w:r>
      <w:r>
        <w:rPr>
          <w:rFonts w:ascii="Consolas" w:hAnsi="Consolas" w:cs="Consolas"/>
          <w:color w:val="333333"/>
          <w:sz w:val="15"/>
        </w:rPr>
        <w:t xml:space="preserve">  uncollected ≥ cap                    → POS blocks NEW COLLECTIONS</w:t>
        <w:br/>
      </w:r>
      <w:r>
        <w:rPr>
          <w:rFonts w:ascii="Consolas" w:hAnsi="Consolas" w:cs="Consolas"/>
          <w:color w:val="333333"/>
          <w:sz w:val="15"/>
        </w:rPr>
        <w:t xml:space="preserve">                                          (subscription capture still allowed)</w:t>
        <w:br/>
      </w:r>
      <w:r>
        <w:rPr>
          <w:rFonts w:ascii="Consolas" w:hAnsi="Consolas" w:cs="Consolas"/>
          <w:color w:val="333333"/>
          <w:sz w:val="15"/>
        </w:rPr>
        <w:br/>
      </w:r>
      <w:r>
        <w:rPr>
          <w:rFonts w:ascii="Consolas" w:hAnsi="Consolas" w:cs="Consolas"/>
          <w:color w:val="333333"/>
          <w:sz w:val="15"/>
        </w:rPr>
        <w:t>COLLECTOR                     POS               BACK OFFICE            SUPERVISOR</w:t>
        <w:br/>
      </w:r>
      <w:r>
        <w:rPr>
          <w:rFonts w:ascii="Consolas" w:hAnsi="Consolas" w:cs="Consolas"/>
          <w:color w:val="333333"/>
          <w:sz w:val="15"/>
        </w:rPr>
        <w:t xml:space="preserve">    │                          │                     │                      │</w:t>
        <w:br/>
      </w:r>
      <w:r>
        <w:rPr>
          <w:rFonts w:ascii="Consolas" w:hAnsi="Consolas" w:cs="Consolas"/>
          <w:color w:val="333333"/>
          <w:sz w:val="15"/>
        </w:rPr>
        <w:t xml:space="preserve">    ├─ deposits at bank OR ────┼─────────────────────┼──────────────────────┤</w:t>
        <w:br/>
      </w:r>
      <w:r>
        <w:rPr>
          <w:rFonts w:ascii="Consolas" w:hAnsi="Consolas" w:cs="Consolas"/>
          <w:color w:val="333333"/>
          <w:sz w:val="15"/>
        </w:rPr>
        <w:t xml:space="preserve">    │  hands cash to cash office                     │                      │</w:t>
        <w:br/>
      </w:r>
      <w:r>
        <w:rPr>
          <w:rFonts w:ascii="Consolas" w:hAnsi="Consolas" w:cs="Consolas"/>
          <w:color w:val="333333"/>
          <w:sz w:val="15"/>
        </w:rPr>
        <w:t xml:space="preserve">    ├─ declares pay-in ───────►│ amount, method,     │                      │</w:t>
        <w:br/>
      </w:r>
      <w:r>
        <w:rPr>
          <w:rFonts w:ascii="Consolas" w:hAnsi="Consolas" w:cs="Consolas"/>
          <w:color w:val="333333"/>
          <w:sz w:val="15"/>
        </w:rPr>
        <w:t xml:space="preserve">    │                          │ bank ref, photo of  │                      │</w:t>
        <w:br/>
      </w:r>
      <w:r>
        <w:rPr>
          <w:rFonts w:ascii="Consolas" w:hAnsi="Consolas" w:cs="Consolas"/>
          <w:color w:val="333333"/>
          <w:sz w:val="15"/>
        </w:rPr>
        <w:t xml:space="preserve">    │                          │ deposit slip ──────►│ pay_in (declared)    │</w:t>
        <w:br/>
      </w:r>
      <w:r>
        <w:rPr>
          <w:rFonts w:ascii="Consolas" w:hAnsi="Consolas" w:cs="Consolas"/>
          <w:color w:val="333333"/>
          <w:sz w:val="15"/>
        </w:rPr>
        <w:t xml:space="preserve">    │                          │                     ├─ notifies ──────────►│</w:t>
        <w:br/>
      </w:r>
      <w:r>
        <w:rPr>
          <w:rFonts w:ascii="Consolas" w:hAnsi="Consolas" w:cs="Consolas"/>
          <w:color w:val="333333"/>
          <w:sz w:val="15"/>
        </w:rPr>
        <w:t xml:space="preserve">    │                          │                     │                      │</w:t>
        <w:br/>
      </w:r>
      <w:r>
        <w:rPr>
          <w:rFonts w:ascii="Consolas" w:hAnsi="Consolas" w:cs="Consolas"/>
          <w:color w:val="333333"/>
          <w:sz w:val="15"/>
        </w:rPr>
        <w:t xml:space="preserve">    │                          │                     │◄── confirms amount ──┤</w:t>
        <w:br/>
      </w:r>
      <w:r>
        <w:rPr>
          <w:rFonts w:ascii="Consolas" w:hAnsi="Consolas" w:cs="Consolas"/>
          <w:color w:val="333333"/>
          <w:sz w:val="15"/>
        </w:rPr>
        <w:t xml:space="preserve">    │                          │                     │  (or rejects with    │</w:t>
        <w:br/>
      </w:r>
      <w:r>
        <w:rPr>
          <w:rFonts w:ascii="Consolas" w:hAnsi="Consolas" w:cs="Consolas"/>
          <w:color w:val="333333"/>
          <w:sz w:val="15"/>
        </w:rPr>
        <w:t xml:space="preserve">    │                          │                     │   variance noted)    │</w:t>
        <w:br/>
      </w:r>
      <w:r>
        <w:rPr>
          <w:rFonts w:ascii="Consolas" w:hAnsi="Consolas" w:cs="Consolas"/>
          <w:color w:val="333333"/>
          <w:sz w:val="15"/>
        </w:rPr>
        <w:t xml:space="preserve">    │                          │                     │ balance -= confirmed │</w:t>
        <w:br/>
      </w:r>
      <w:r>
        <w:rPr>
          <w:rFonts w:ascii="Consolas" w:hAnsi="Consolas" w:cs="Consolas"/>
          <w:color w:val="333333"/>
          <w:sz w:val="15"/>
        </w:rPr>
        <w:t xml:space="preserve">    │                          │◄── terminal released┤ is_blocked = false   │</w:t>
        <w:br/>
      </w:r>
      <w:r>
        <w:rPr>
          <w:rFonts w:ascii="Consolas" w:hAnsi="Consolas" w:cs="Consolas"/>
          <w:color w:val="333333"/>
          <w:sz w:val="15"/>
        </w:rPr>
        <w:t xml:space="preserve">    ├─ resumes collection ────►│                     │                      │</w:t>
      </w:r>
    </w:p>
    <w:p>
      <w:r>
        <w:rPr>
          <w:rFonts w:ascii="Calibri" w:hAnsi="Calibri"/>
          <w:b w:val="0"/>
          <w:i w:val="0"/>
          <w:color w:val="333333"/>
          <w:sz w:val="20"/>
        </w:rPr>
        <w:t xml:space="preserve">Confirmation is a </w:t>
      </w:r>
      <w:r>
        <w:rPr>
          <w:rFonts w:ascii="Calibri" w:hAnsi="Calibri"/>
          <w:b/>
          <w:i w:val="0"/>
          <w:color w:val="333333"/>
          <w:sz w:val="20"/>
        </w:rPr>
        <w:t>controlled action</w:t>
      </w:r>
      <w:r>
        <w:rPr>
          <w:rFonts w:ascii="Calibri" w:hAnsi="Calibri"/>
          <w:b w:val="0"/>
          <w:i w:val="0"/>
          <w:color w:val="333333"/>
          <w:sz w:val="20"/>
        </w:rPr>
        <w:t>: it is permission-gated, fully audited, and can be configured to require two-person approval (maker–checker) above a configurable amount. See Document 2, section on segregation of duties.</w:t>
      </w:r>
    </w:p>
    <w:p>
      <w:pPr>
        <w:pStyle w:val="Heading2"/>
        <w:spacing w:before="280" w:after="80"/>
        <w:keepNext/>
      </w:pPr>
      <w:bookmarkStart w:id="124" w:name="_Toc_s023"/>
      <w:r>
        <w:rPr>
          <w:rFonts w:ascii="Calibri" w:hAnsi="Calibri"/>
          <w:b/>
          <w:color w:val="1B3A5C"/>
          <w:sz w:val="24"/>
        </w:rPr>
        <w:t>6.4 Flow D — Card issuance (TdR Need 1 and Need 3)</w:t>
      </w:r>
      <w:bookmarkEnd w:id="124"/>
    </w:p>
    <w:p>
      <w:pPr>
        <w:spacing w:before="120" w:after="160" w:line="240" w:lineRule="auto"/>
        <w:ind w:left="113"/>
        <w:shd w:val="clear" w:fill="F4F5F2"/>
        <w:pBdr>
          <w:left w:val="single" w:sz="12" w:space="6" w:color="1B3A5C"/>
        </w:pBdr>
      </w:pPr>
      <w:r>
        <w:rPr>
          <w:rFonts w:ascii="Consolas" w:hAnsi="Consolas" w:cs="Consolas"/>
          <w:color w:val="333333"/>
          <w:sz w:val="15"/>
        </w:rPr>
        <w:t>BACK OFFICE (proposal accepted)</w:t>
        <w:br/>
      </w:r>
      <w:r>
        <w:rPr>
          <w:rFonts w:ascii="Consolas" w:hAnsi="Consolas" w:cs="Consolas"/>
          <w:color w:val="333333"/>
          <w:sz w:val="15"/>
        </w:rPr>
        <w:t xml:space="preserve">   │</w:t>
        <w:br/>
      </w:r>
      <w:r>
        <w:rPr>
          <w:rFonts w:ascii="Consolas" w:hAnsi="Consolas" w:cs="Consolas"/>
          <w:color w:val="333333"/>
          <w:sz w:val="15"/>
        </w:rPr>
        <w:t xml:space="preserve">   ├─ creates policy</w:t>
        <w:br/>
      </w:r>
      <w:r>
        <w:rPr>
          <w:rFonts w:ascii="Consolas" w:hAnsi="Consolas" w:cs="Consolas"/>
          <w:color w:val="333333"/>
          <w:sz w:val="15"/>
        </w:rPr>
        <w:t xml:space="preserve">   ├─ allocates a card from stock (status: unassigned → inactive)</w:t>
        <w:br/>
      </w:r>
      <w:r>
        <w:rPr>
          <w:rFonts w:ascii="Consolas" w:hAnsi="Consolas" w:cs="Consolas"/>
          <w:color w:val="333333"/>
          <w:sz w:val="15"/>
        </w:rPr>
        <w:t xml:space="preserve">   ├─ links policy/policies to the card</w:t>
        <w:br/>
      </w:r>
      <w:r>
        <w:rPr>
          <w:rFonts w:ascii="Consolas" w:hAnsi="Consolas" w:cs="Consolas"/>
          <w:color w:val="333333"/>
          <w:sz w:val="15"/>
        </w:rPr>
        <w:t xml:space="preserve">   ├─ generates the PERSONALISATION FILE:</w:t>
        <w:br/>
      </w:r>
      <w:r>
        <w:rPr>
          <w:rFonts w:ascii="Consolas" w:hAnsi="Consolas" w:cs="Consolas"/>
          <w:color w:val="333333"/>
          <w:sz w:val="15"/>
        </w:rPr>
        <w:t xml:space="preserve">   │     • SUNU Assurances Vie branding block</w:t>
        <w:br/>
      </w:r>
      <w:r>
        <w:rPr>
          <w:rFonts w:ascii="Consolas" w:hAnsi="Consolas" w:cs="Consolas"/>
          <w:color w:val="333333"/>
          <w:sz w:val="15"/>
        </w:rPr>
        <w:t xml:space="preserve">   │     • insured last name and first name</w:t>
        <w:br/>
      </w:r>
      <w:r>
        <w:rPr>
          <w:rFonts w:ascii="Consolas" w:hAnsi="Consolas" w:cs="Consolas"/>
          <w:color w:val="333333"/>
          <w:sz w:val="15"/>
        </w:rPr>
        <w:t xml:space="preserve">   │     • card number</w:t>
        <w:br/>
      </w:r>
      <w:r>
        <w:rPr>
          <w:rFonts w:ascii="Consolas" w:hAnsi="Consolas" w:cs="Consolas"/>
          <w:color w:val="333333"/>
          <w:sz w:val="15"/>
        </w:rPr>
        <w:t xml:space="preserve">   │     • expiry</w:t>
        <w:br/>
      </w:r>
      <w:r>
        <w:rPr>
          <w:rFonts w:ascii="Consolas" w:hAnsi="Consolas" w:cs="Consolas"/>
          <w:color w:val="333333"/>
          <w:sz w:val="15"/>
        </w:rPr>
        <w:t xml:space="preserve">   │     • encoded data: card UID ↔ insured reference ↔ policy list</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CARD OFFICER at the personalisation station</w:t>
        <w:br/>
      </w:r>
      <w:r>
        <w:rPr>
          <w:rFonts w:ascii="Consolas" w:hAnsi="Consolas" w:cs="Consolas"/>
          <w:color w:val="333333"/>
          <w:sz w:val="15"/>
        </w:rPr>
        <w:t xml:space="preserve">   ├─ prints the personalised card</w:t>
        <w:br/>
      </w:r>
      <w:r>
        <w:rPr>
          <w:rFonts w:ascii="Consolas" w:hAnsi="Consolas" w:cs="Consolas"/>
          <w:color w:val="333333"/>
          <w:sz w:val="15"/>
        </w:rPr>
        <w:t xml:space="preserve">   ├─ encodes the card</w:t>
        <w:br/>
      </w:r>
      <w:r>
        <w:rPr>
          <w:rFonts w:ascii="Consolas" w:hAnsi="Consolas" w:cs="Consolas"/>
          <w:color w:val="333333"/>
          <w:sz w:val="15"/>
        </w:rPr>
        <w:t xml:space="preserve">   ├─ marks the card as WRITTEN in the back office</w:t>
        <w:br/>
      </w:r>
      <w:r>
        <w:rPr>
          <w:rFonts w:ascii="Consolas" w:hAnsi="Consolas" w:cs="Consolas"/>
          <w:color w:val="333333"/>
          <w:sz w:val="15"/>
        </w:rPr>
        <w:t xml:space="preserve">   ├─ hands/dispatches the card to the insured</w:t>
        <w:br/>
      </w:r>
      <w:r>
        <w:rPr>
          <w:rFonts w:ascii="Consolas" w:hAnsi="Consolas" w:cs="Consolas"/>
          <w:color w:val="333333"/>
          <w:sz w:val="15"/>
        </w:rPr>
        <w:t xml:space="preserve">   ▼</w:t>
        <w:br/>
      </w:r>
      <w:r>
        <w:rPr>
          <w:rFonts w:ascii="Consolas" w:hAnsi="Consolas" w:cs="Consolas"/>
          <w:color w:val="333333"/>
          <w:sz w:val="15"/>
        </w:rPr>
        <w:t xml:space="preserve">   card status → active</w:t>
      </w:r>
    </w:p>
    <w:p>
      <w:r>
        <w:rPr>
          <w:rFonts w:ascii="Calibri" w:hAnsi="Calibri"/>
          <w:b w:val="0"/>
          <w:i w:val="0"/>
          <w:color w:val="333333"/>
          <w:sz w:val="20"/>
        </w:rPr>
        <w:t xml:space="preserve">The card carries an </w:t>
      </w:r>
      <w:r>
        <w:rPr>
          <w:rFonts w:ascii="Calibri" w:hAnsi="Calibri"/>
          <w:b/>
          <w:i w:val="0"/>
          <w:color w:val="333333"/>
          <w:sz w:val="20"/>
        </w:rPr>
        <w:t>identifier, not money and not sensitive personal data</w:t>
      </w:r>
      <w:r>
        <w:rPr>
          <w:rFonts w:ascii="Calibri" w:hAnsi="Calibri"/>
          <w:b w:val="0"/>
          <w:i w:val="0"/>
          <w:color w:val="333333"/>
          <w:sz w:val="20"/>
        </w:rPr>
        <w:t>. The authoritative policy list always lives in the back office; what is written on the card lets a terminal identify the insured quickly and work offline. Rationale and threat analysis in Document 2, section 7.</w:t>
      </w:r>
    </w:p>
    <w:p>
      <w:pPr>
        <w:pStyle w:val="Heading2"/>
        <w:spacing w:before="280" w:after="80"/>
        <w:keepNext/>
      </w:pPr>
      <w:bookmarkStart w:id="125" w:name="_Toc_s024"/>
      <w:r>
        <w:rPr>
          <w:rFonts w:ascii="Calibri" w:hAnsi="Calibri"/>
          <w:b/>
          <w:color w:val="1B3A5C"/>
          <w:sz w:val="24"/>
        </w:rPr>
        <w:t>6.5 Flow E — SUNULIFE synchronisation</w:t>
      </w:r>
      <w:bookmarkEnd w:id="125"/>
    </w:p>
    <w:p>
      <w:r>
        <w:rPr>
          <w:rFonts w:ascii="Calibri" w:hAnsi="Calibri"/>
          <w:b w:val="0"/>
          <w:i w:val="0"/>
          <w:color w:val="333333"/>
          <w:sz w:val="20"/>
        </w:rPr>
        <w:t>See section 8.</w:t>
      </w:r>
    </w:p>
    <w:p>
      <w:pPr>
        <w:pStyle w:val="Heading1"/>
        <w:pageBreakBefore/>
        <w:spacing w:before="360" w:after="80"/>
        <w:keepNext/>
        <w:pBdr>
          <w:bottom w:val="single" w:sz="8" w:space="6" w:color="1B3A5C"/>
        </w:pBdr>
      </w:pPr>
      <w:bookmarkStart w:id="126" w:name="_Toc_s025"/>
      <w:r>
        <w:rPr>
          <w:rFonts w:ascii="Calibri" w:hAnsi="Calibri"/>
          <w:b/>
          <w:color w:val="1B3A5C"/>
          <w:sz w:val="30"/>
        </w:rPr>
        <w:t>7. Card Architecture (physical and virtual)</w:t>
      </w:r>
      <w:bookmarkEnd w:id="126"/>
    </w:p>
    <w:p>
      <w:pPr>
        <w:pStyle w:val="Heading2"/>
        <w:spacing w:before="280" w:after="80"/>
        <w:keepNext/>
      </w:pPr>
      <w:bookmarkStart w:id="127" w:name="_Toc_s026"/>
      <w:r>
        <w:rPr>
          <w:rFonts w:ascii="Calibri" w:hAnsi="Calibri"/>
          <w:b/>
          <w:color w:val="1B3A5C"/>
          <w:sz w:val="24"/>
        </w:rPr>
        <w:t>7.1 Physical card</w:t>
      </w:r>
      <w:bookmarkEnd w:id="127"/>
    </w:p>
    <w:p>
      <w:pPr>
        <w:spacing w:after="40"/>
        <w:ind w:left="312" w:hanging="198"/>
      </w:pPr>
      <w:r>
        <w:rPr>
          <w:rFonts w:ascii="Calibri" w:hAnsi="Calibri"/>
          <w:b w:val="0"/>
          <w:color w:val="2C5F8A"/>
          <w:sz w:val="20"/>
        </w:rPr>
        <w:t xml:space="preserve">•  </w:t>
      </w:r>
      <w:r>
        <w:rPr>
          <w:rFonts w:ascii="Calibri" w:hAnsi="Calibri"/>
          <w:b/>
          <w:i w:val="0"/>
          <w:color w:val="333333"/>
          <w:sz w:val="20"/>
        </w:rPr>
        <w:t>Body:</w:t>
      </w:r>
      <w:r>
        <w:rPr>
          <w:rFonts w:ascii="Calibri" w:hAnsi="Calibri"/>
          <w:b w:val="0"/>
          <w:i w:val="0"/>
          <w:color w:val="333333"/>
          <w:sz w:val="20"/>
        </w:rPr>
        <w:t xml:space="preserve"> SUNU-branded card, personalised with SUNU Assurances Vie information and the insured's last name and first name, as required by the TdR.</w:t>
      </w:r>
    </w:p>
    <w:p>
      <w:pPr>
        <w:spacing w:after="40"/>
        <w:ind w:left="312" w:hanging="198"/>
      </w:pPr>
      <w:r>
        <w:rPr>
          <w:rFonts w:ascii="Calibri" w:hAnsi="Calibri"/>
          <w:b w:val="0"/>
          <w:color w:val="2C5F8A"/>
          <w:sz w:val="20"/>
        </w:rPr>
        <w:t xml:space="preserve">•  </w:t>
      </w:r>
      <w:r>
        <w:rPr>
          <w:rFonts w:ascii="Calibri" w:hAnsi="Calibri"/>
          <w:b/>
          <w:i w:val="0"/>
          <w:color w:val="333333"/>
          <w:sz w:val="20"/>
        </w:rPr>
        <w:t>Numbering:</w:t>
      </w:r>
      <w:r>
        <w:rPr>
          <w:rFonts w:ascii="Calibri" w:hAnsi="Calibri"/>
          <w:b w:val="0"/>
          <w:i w:val="0"/>
          <w:color w:val="333333"/>
          <w:sz w:val="20"/>
        </w:rPr>
        <w:t xml:space="preserve"> back office generates the card number from a per-unit prefix and a sequence of configurable length; expiry derived from the configured default validity (existing card-settings mechanism).</w:t>
      </w:r>
    </w:p>
    <w:p>
      <w:pPr>
        <w:spacing w:after="40"/>
        <w:ind w:left="312" w:hanging="198"/>
      </w:pPr>
      <w:r>
        <w:rPr>
          <w:rFonts w:ascii="Calibri" w:hAnsi="Calibri"/>
          <w:b w:val="0"/>
          <w:color w:val="2C5F8A"/>
          <w:sz w:val="20"/>
        </w:rPr>
        <w:t xml:space="preserve">•  </w:t>
      </w:r>
      <w:r>
        <w:rPr>
          <w:rFonts w:ascii="Calibri" w:hAnsi="Calibri"/>
          <w:b/>
          <w:i w:val="0"/>
          <w:color w:val="333333"/>
          <w:sz w:val="20"/>
        </w:rPr>
        <w:t>Data written:</w:t>
      </w:r>
      <w:r>
        <w:rPr>
          <w:rFonts w:ascii="Calibri" w:hAnsi="Calibri"/>
          <w:b w:val="0"/>
          <w:i w:val="0"/>
          <w:color w:val="333333"/>
          <w:sz w:val="20"/>
        </w:rPr>
        <w:t xml:space="preserve"> card serial/UID, insured reference, and the list of policy slots. Multi-policy support is explicit in the TdR ("if the insured has several policies, we would like the card to be able to retain this information").</w:t>
      </w:r>
    </w:p>
    <w:p>
      <w:pPr>
        <w:spacing w:after="40"/>
        <w:ind w:left="312" w:hanging="198"/>
      </w:pPr>
      <w:r>
        <w:rPr>
          <w:rFonts w:ascii="Calibri" w:hAnsi="Calibri"/>
          <w:b w:val="0"/>
          <w:color w:val="2C5F8A"/>
          <w:sz w:val="20"/>
        </w:rPr>
        <w:t xml:space="preserve">•  </w:t>
      </w:r>
      <w:r>
        <w:rPr>
          <w:rFonts w:ascii="Calibri" w:hAnsi="Calibri"/>
          <w:b/>
          <w:i w:val="0"/>
          <w:color w:val="333333"/>
          <w:sz w:val="20"/>
        </w:rPr>
        <w:t>Lifecycle:</w:t>
      </w:r>
      <w:r>
        <w:rPr>
          <w:rFonts w:ascii="Calibri" w:hAnsi="Calibri"/>
          <w:b w:val="0"/>
          <w:i w:val="0"/>
          <w:color w:val="333333"/>
          <w:sz w:val="20"/>
        </w:rPr>
        <w:t xml:space="preserve"> unassigned → inactive → active → (blocked | expired | replaced). Blocking records a reason and a timestamp; replacement records the chain to the new card. All already implemented.</w:t>
      </w:r>
    </w:p>
    <w:p>
      <w:pPr>
        <w:spacing w:after="40"/>
        <w:ind w:left="312" w:hanging="198"/>
      </w:pPr>
      <w:r>
        <w:rPr>
          <w:rFonts w:ascii="Calibri" w:hAnsi="Calibri"/>
          <w:b w:val="0"/>
          <w:color w:val="2C5F8A"/>
          <w:sz w:val="20"/>
        </w:rPr>
        <w:t xml:space="preserve">•  </w:t>
      </w:r>
      <w:r>
        <w:rPr>
          <w:rFonts w:ascii="Calibri" w:hAnsi="Calibri"/>
          <w:b/>
          <w:i w:val="0"/>
          <w:color w:val="333333"/>
          <w:sz w:val="20"/>
        </w:rPr>
        <w:t>Stock:</w:t>
      </w:r>
      <w:r>
        <w:rPr>
          <w:rFonts w:ascii="Calibri" w:hAnsi="Calibri"/>
          <w:b w:val="0"/>
          <w:i w:val="0"/>
          <w:color w:val="333333"/>
          <w:sz w:val="20"/>
        </w:rPr>
        <w:t xml:space="preserve"> the 5 000 cards are managed as stock in the back office; each card moves from unassigned to assigned when linked to an insured.</w:t>
      </w:r>
    </w:p>
    <w:p>
      <w:pPr>
        <w:pStyle w:val="Heading2"/>
        <w:spacing w:before="280" w:after="80"/>
        <w:keepNext/>
      </w:pPr>
      <w:bookmarkStart w:id="128" w:name="_Toc_s027"/>
      <w:r>
        <w:rPr>
          <w:rFonts w:ascii="Calibri" w:hAnsi="Calibri"/>
          <w:b/>
          <w:color w:val="1B3A5C"/>
          <w:sz w:val="24"/>
        </w:rPr>
        <w:t>7.2 Card technology decision (open point OP-3)</w:t>
      </w:r>
      <w:bookmarkEnd w:id="128"/>
    </w:p>
    <w:p>
      <w:r>
        <w:rPr>
          <w:rFonts w:ascii="Calibri" w:hAnsi="Calibri"/>
          <w:b w:val="0"/>
          <w:i w:val="0"/>
          <w:color w:val="333333"/>
          <w:sz w:val="20"/>
        </w:rPr>
        <w:t>The TdR says "magnetic card". Two options are on the table and we recommend the second:</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r>
          </w:p>
        </w:tc>
        <w:tc>
          <w:tcPr>
            <w:tcW w:type="dxa" w:w="3249"/>
            <w:shd w:val="clear" w:fill="1B3A5C"/>
          </w:tcPr>
          <w:p>
            <w:pPr>
              <w:spacing w:before="60" w:after="60"/>
            </w:pPr>
            <w:r>
              <w:rPr>
                <w:rFonts w:ascii="Calibri" w:hAnsi="Calibri"/>
                <w:b/>
                <w:color w:val="FFFFFF"/>
                <w:sz w:val="17"/>
              </w:rPr>
              <w:t>Magnetic stripe</w:t>
            </w:r>
          </w:p>
        </w:tc>
        <w:tc>
          <w:tcPr>
            <w:tcW w:type="dxa" w:w="3249"/>
            <w:shd w:val="clear" w:fill="1B3A5C"/>
          </w:tcPr>
          <w:p>
            <w:pPr>
              <w:spacing w:before="60" w:after="60"/>
            </w:pPr>
            <w:r>
              <w:rPr>
                <w:rFonts w:ascii="Calibri" w:hAnsi="Calibri"/>
                <w:b/>
                <w:color w:val="FFFFFF"/>
                <w:sz w:val="17"/>
              </w:rPr>
              <w:t>Contactless / NFC</w:t>
            </w:r>
          </w:p>
        </w:tc>
      </w:tr>
      <w:tr>
        <w:tc>
          <w:tcPr>
            <w:tcW w:type="dxa" w:w="3249"/>
          </w:tcPr>
          <w:p>
            <w:pPr>
              <w:spacing w:before="40" w:after="40"/>
            </w:pPr>
            <w:r>
              <w:rPr>
                <w:rFonts w:ascii="Calibri" w:hAnsi="Calibri"/>
                <w:b w:val="0"/>
                <w:i w:val="0"/>
                <w:color w:val="333333"/>
                <w:sz w:val="17"/>
              </w:rPr>
              <w:t>Cost per card</w:t>
            </w:r>
          </w:p>
        </w:tc>
        <w:tc>
          <w:tcPr>
            <w:tcW w:type="dxa" w:w="3249"/>
          </w:tcPr>
          <w:p>
            <w:pPr>
              <w:spacing w:before="40" w:after="40"/>
            </w:pPr>
            <w:r>
              <w:rPr>
                <w:rFonts w:ascii="Calibri" w:hAnsi="Calibri"/>
                <w:b w:val="0"/>
                <w:i w:val="0"/>
                <w:color w:val="333333"/>
                <w:sz w:val="17"/>
              </w:rPr>
              <w:t>Lower</w:t>
            </w:r>
          </w:p>
        </w:tc>
        <w:tc>
          <w:tcPr>
            <w:tcW w:type="dxa" w:w="3249"/>
          </w:tcPr>
          <w:p>
            <w:pPr>
              <w:spacing w:before="40" w:after="40"/>
            </w:pPr>
            <w:r>
              <w:rPr>
                <w:rFonts w:ascii="Calibri" w:hAnsi="Calibri"/>
                <w:b w:val="0"/>
                <w:i w:val="0"/>
                <w:color w:val="333333"/>
                <w:sz w:val="17"/>
              </w:rPr>
              <w:t>Slightly higher</w:t>
            </w:r>
          </w:p>
        </w:tc>
      </w:tr>
      <w:tr>
        <w:tc>
          <w:tcPr>
            <w:tcW w:type="dxa" w:w="3249"/>
            <w:shd w:val="clear" w:fill="F2F6FA"/>
          </w:tcPr>
          <w:p>
            <w:pPr>
              <w:spacing w:before="40" w:after="40"/>
            </w:pPr>
            <w:r>
              <w:rPr>
                <w:rFonts w:ascii="Calibri" w:hAnsi="Calibri"/>
                <w:b w:val="0"/>
                <w:i w:val="0"/>
                <w:color w:val="333333"/>
                <w:sz w:val="17"/>
              </w:rPr>
              <w:t>Durability in field conditions</w:t>
            </w:r>
          </w:p>
        </w:tc>
        <w:tc>
          <w:tcPr>
            <w:tcW w:type="dxa" w:w="3249"/>
            <w:shd w:val="clear" w:fill="F2F6FA"/>
          </w:tcPr>
          <w:p>
            <w:pPr>
              <w:spacing w:before="40" w:after="40"/>
            </w:pPr>
            <w:r>
              <w:rPr>
                <w:rFonts w:ascii="Calibri" w:hAnsi="Calibri"/>
                <w:b w:val="0"/>
                <w:i w:val="0"/>
                <w:color w:val="333333"/>
                <w:sz w:val="17"/>
              </w:rPr>
              <w:t>Poor — stripe wears, demagnetises</w:t>
            </w:r>
          </w:p>
        </w:tc>
        <w:tc>
          <w:tcPr>
            <w:tcW w:type="dxa" w:w="3249"/>
            <w:shd w:val="clear" w:fill="F2F6FA"/>
          </w:tcPr>
          <w:p>
            <w:pPr>
              <w:spacing w:before="40" w:after="40"/>
            </w:pPr>
            <w:r>
              <w:rPr>
                <w:rFonts w:ascii="Calibri" w:hAnsi="Calibri"/>
                <w:b w:val="0"/>
                <w:i w:val="0"/>
                <w:color w:val="333333"/>
                <w:sz w:val="17"/>
              </w:rPr>
              <w:t>Good</w:t>
            </w:r>
          </w:p>
        </w:tc>
      </w:tr>
      <w:tr>
        <w:tc>
          <w:tcPr>
            <w:tcW w:type="dxa" w:w="3249"/>
          </w:tcPr>
          <w:p>
            <w:pPr>
              <w:spacing w:before="40" w:after="40"/>
            </w:pPr>
            <w:r>
              <w:rPr>
                <w:rFonts w:ascii="Calibri" w:hAnsi="Calibri"/>
                <w:b w:val="0"/>
                <w:i w:val="0"/>
                <w:color w:val="333333"/>
                <w:sz w:val="17"/>
              </w:rPr>
              <w:t>Multi-policy storage on card</w:t>
            </w:r>
          </w:p>
        </w:tc>
        <w:tc>
          <w:tcPr>
            <w:tcW w:type="dxa" w:w="3249"/>
          </w:tcPr>
          <w:p>
            <w:pPr>
              <w:spacing w:before="40" w:after="40"/>
            </w:pPr>
            <w:r>
              <w:rPr>
                <w:rFonts w:ascii="Calibri" w:hAnsi="Calibri"/>
                <w:b w:val="0"/>
                <w:i w:val="0"/>
                <w:color w:val="333333"/>
                <w:sz w:val="17"/>
              </w:rPr>
              <w:t>Very limited (max ~100 characters usable)</w:t>
            </w:r>
          </w:p>
        </w:tc>
        <w:tc>
          <w:tcPr>
            <w:tcW w:type="dxa" w:w="3249"/>
          </w:tcPr>
          <w:p>
            <w:pPr>
              <w:spacing w:before="40" w:after="40"/>
            </w:pPr>
            <w:r>
              <w:rPr>
                <w:rFonts w:ascii="Calibri" w:hAnsi="Calibri"/>
                <w:b w:val="0"/>
                <w:i w:val="0"/>
                <w:color w:val="333333"/>
                <w:sz w:val="17"/>
              </w:rPr>
              <w:t>Ample</w:t>
            </w:r>
          </w:p>
        </w:tc>
      </w:tr>
      <w:tr>
        <w:tc>
          <w:tcPr>
            <w:tcW w:type="dxa" w:w="3249"/>
            <w:shd w:val="clear" w:fill="F2F6FA"/>
          </w:tcPr>
          <w:p>
            <w:pPr>
              <w:spacing w:before="40" w:after="40"/>
            </w:pPr>
            <w:r>
              <w:rPr>
                <w:rFonts w:ascii="Calibri" w:hAnsi="Calibri"/>
                <w:b w:val="0"/>
                <w:i w:val="0"/>
                <w:color w:val="333333"/>
                <w:sz w:val="17"/>
              </w:rPr>
              <w:t>Security</w:t>
            </w:r>
          </w:p>
        </w:tc>
        <w:tc>
          <w:tcPr>
            <w:tcW w:type="dxa" w:w="3249"/>
            <w:shd w:val="clear" w:fill="F2F6FA"/>
          </w:tcPr>
          <w:p>
            <w:pPr>
              <w:spacing w:before="40" w:after="40"/>
            </w:pPr>
            <w:r>
              <w:rPr>
                <w:rFonts w:ascii="Calibri" w:hAnsi="Calibri"/>
                <w:b w:val="0"/>
                <w:i w:val="0"/>
                <w:color w:val="333333"/>
                <w:sz w:val="17"/>
              </w:rPr>
              <w:t>Trivially cloneable, no authentication</w:t>
            </w:r>
          </w:p>
        </w:tc>
        <w:tc>
          <w:tcPr>
            <w:tcW w:type="dxa" w:w="3249"/>
            <w:shd w:val="clear" w:fill="F2F6FA"/>
          </w:tcPr>
          <w:p>
            <w:pPr>
              <w:spacing w:before="40" w:after="40"/>
            </w:pPr>
            <w:r>
              <w:rPr>
                <w:rFonts w:ascii="Calibri" w:hAnsi="Calibri"/>
                <w:b w:val="0"/>
                <w:i w:val="0"/>
                <w:color w:val="333333"/>
                <w:sz w:val="17"/>
              </w:rPr>
              <w:t>Supports mutual authentication and per-card keys</w:t>
            </w:r>
          </w:p>
        </w:tc>
      </w:tr>
      <w:tr>
        <w:tc>
          <w:tcPr>
            <w:tcW w:type="dxa" w:w="3249"/>
          </w:tcPr>
          <w:p>
            <w:pPr>
              <w:spacing w:before="40" w:after="40"/>
            </w:pPr>
            <w:r>
              <w:rPr>
                <w:rFonts w:ascii="Calibri" w:hAnsi="Calibri"/>
                <w:b w:val="0"/>
                <w:i w:val="0"/>
                <w:color w:val="333333"/>
                <w:sz w:val="17"/>
              </w:rPr>
              <w:t>POS support on the specified terminals</w:t>
            </w:r>
          </w:p>
        </w:tc>
        <w:tc>
          <w:tcPr>
            <w:tcW w:type="dxa" w:w="3249"/>
          </w:tcPr>
          <w:p>
            <w:pPr>
              <w:spacing w:before="40" w:after="40"/>
            </w:pPr>
            <w:r>
              <w:rPr>
                <w:rFonts w:ascii="Calibri" w:hAnsi="Calibri"/>
                <w:b w:val="0"/>
                <w:i w:val="0"/>
                <w:color w:val="333333"/>
                <w:sz w:val="17"/>
              </w:rPr>
              <w:t>Yes</w:t>
            </w:r>
          </w:p>
        </w:tc>
        <w:tc>
          <w:tcPr>
            <w:tcW w:type="dxa" w:w="3249"/>
          </w:tcPr>
          <w:p>
            <w:pPr>
              <w:spacing w:before="40" w:after="40"/>
            </w:pPr>
            <w:r>
              <w:rPr>
                <w:rFonts w:ascii="Calibri" w:hAnsi="Calibri"/>
                <w:b w:val="0"/>
                <w:i w:val="0"/>
                <w:color w:val="333333"/>
                <w:sz w:val="17"/>
              </w:rPr>
              <w:t>Yes — the terminals already integrate an NFC reader in the existing solution</w:t>
            </w:r>
          </w:p>
        </w:tc>
      </w:tr>
      <w:tr>
        <w:tc>
          <w:tcPr>
            <w:tcW w:type="dxa" w:w="3249"/>
            <w:shd w:val="clear" w:fill="F2F6FA"/>
          </w:tcPr>
          <w:p>
            <w:pPr>
              <w:spacing w:before="40" w:after="40"/>
            </w:pPr>
            <w:r>
              <w:rPr>
                <w:rFonts w:ascii="Calibri" w:hAnsi="Calibri"/>
                <w:b w:val="0"/>
                <w:i w:val="0"/>
                <w:color w:val="333333"/>
                <w:sz w:val="17"/>
              </w:rPr>
              <w:t>Recommendation</w:t>
            </w:r>
          </w:p>
        </w:tc>
        <w:tc>
          <w:tcPr>
            <w:tcW w:type="dxa" w:w="3249"/>
            <w:shd w:val="clear" w:fill="F2F6FA"/>
          </w:tcPr>
          <w:p>
            <w:pPr>
              <w:spacing w:before="40" w:after="40"/>
            </w:pPr>
          </w:p>
        </w:tc>
        <w:tc>
          <w:tcPr>
            <w:tcW w:type="dxa" w:w="3249"/>
            <w:shd w:val="clear" w:fill="F2F6FA"/>
          </w:tcPr>
          <w:p>
            <w:pPr>
              <w:spacing w:before="40" w:after="40"/>
            </w:pPr>
            <w:r>
              <w:rPr>
                <w:rFonts w:ascii="Calibri" w:hAnsi="Calibri"/>
                <w:b/>
                <w:i w:val="0"/>
                <w:color w:val="333333"/>
                <w:sz w:val="17"/>
              </w:rPr>
              <w:t>Preferred</w:t>
            </w:r>
          </w:p>
        </w:tc>
      </w:tr>
    </w:tbl>
    <w:p>
      <w:pPr>
        <w:spacing w:after="40"/>
      </w:pPr>
    </w:p>
    <w:p>
      <w:r>
        <w:rPr>
          <w:rFonts w:ascii="Calibri" w:hAnsi="Calibri"/>
          <w:b/>
          <w:i w:val="0"/>
          <w:color w:val="333333"/>
          <w:sz w:val="20"/>
        </w:rPr>
        <w:t>Recommendation:</w:t>
      </w:r>
      <w:r>
        <w:rPr>
          <w:rFonts w:ascii="Calibri" w:hAnsi="Calibri"/>
          <w:b w:val="0"/>
          <w:i w:val="0"/>
          <w:color w:val="333333"/>
          <w:sz w:val="20"/>
        </w:rPr>
        <w:t xml:space="preserve"> contactless cards. Magnetic stripe cannot hold a meaningful multi-policy payload and offers no protection against cloning. If SUNU prefers hybrid cards (printed + stripe + chip), the architecture supports it; the encoded content and the personalisation file are the same.</w:t>
      </w:r>
    </w:p>
    <w:p>
      <w:pPr>
        <w:pStyle w:val="Heading2"/>
        <w:spacing w:before="280" w:after="80"/>
        <w:keepNext/>
      </w:pPr>
      <w:bookmarkStart w:id="129" w:name="_Toc_s028"/>
      <w:r>
        <w:rPr>
          <w:rFonts w:ascii="Calibri" w:hAnsi="Calibri"/>
          <w:b/>
          <w:color w:val="1B3A5C"/>
          <w:sz w:val="24"/>
        </w:rPr>
        <w:t>7.3 Virtual card — QR code (e-mail §4)</w:t>
      </w:r>
      <w:bookmarkEnd w:id="129"/>
    </w:p>
    <w:p>
      <w:r>
        <w:rPr>
          <w:rFonts w:ascii="Calibri" w:hAnsi="Calibri"/>
          <w:b w:val="0"/>
          <w:i w:val="0"/>
          <w:color w:val="333333"/>
          <w:sz w:val="20"/>
        </w:rPr>
        <w:t xml:space="preserve">A virtual card is a </w:t>
      </w:r>
      <w:r>
        <w:rPr>
          <w:rFonts w:ascii="Calibri" w:hAnsi="Calibri"/>
          <w:b/>
          <w:i w:val="0"/>
          <w:color w:val="333333"/>
          <w:sz w:val="20"/>
        </w:rPr>
        <w:t>signed credential</w:t>
      </w:r>
      <w:r>
        <w:rPr>
          <w:rFonts w:ascii="Calibri" w:hAnsi="Calibri"/>
          <w:b w:val="0"/>
          <w:i w:val="0"/>
          <w:color w:val="333333"/>
          <w:sz w:val="20"/>
        </w:rPr>
        <w:t>, not a picture of a number.</w:t>
      </w:r>
    </w:p>
    <w:p>
      <w:pPr>
        <w:spacing w:before="120" w:after="160" w:line="240" w:lineRule="auto"/>
        <w:ind w:left="113"/>
        <w:shd w:val="clear" w:fill="F4F5F2"/>
        <w:pBdr>
          <w:left w:val="single" w:sz="12" w:space="6" w:color="1B3A5C"/>
        </w:pBdr>
      </w:pPr>
      <w:r>
        <w:rPr>
          <w:rFonts w:ascii="Consolas" w:hAnsi="Consolas" w:cs="Consolas"/>
          <w:color w:val="333333"/>
          <w:sz w:val="15"/>
        </w:rPr>
        <w:t>QR payload (compact, base64url):</w:t>
        <w:br/>
      </w:r>
      <w:r>
        <w:rPr>
          <w:rFonts w:ascii="Consolas" w:hAnsi="Consolas" w:cs="Consolas"/>
          <w:color w:val="333333"/>
          <w:sz w:val="15"/>
        </w:rPr>
        <w:t>{</w:t>
        <w:br/>
      </w:r>
      <w:r>
        <w:rPr>
          <w:rFonts w:ascii="Consolas" w:hAnsi="Consolas" w:cs="Consolas"/>
          <w:color w:val="333333"/>
          <w:sz w:val="15"/>
        </w:rPr>
        <w:t xml:space="preserve">  "v":   1,                       schema version</w:t>
        <w:br/>
      </w:r>
      <w:r>
        <w:rPr>
          <w:rFonts w:ascii="Consolas" w:hAnsi="Consolas" w:cs="Consolas"/>
          <w:color w:val="333333"/>
          <w:sz w:val="15"/>
        </w:rPr>
        <w:t xml:space="preserve">  "cid": "SUNU-BF-00012345",      credential id</w:t>
        <w:br/>
      </w:r>
      <w:r>
        <w:rPr>
          <w:rFonts w:ascii="Consolas" w:hAnsi="Consolas" w:cs="Consolas"/>
          <w:color w:val="333333"/>
          <w:sz w:val="15"/>
        </w:rPr>
        <w:t xml:space="preserve">  "ins": "CLI-000987",            insured reference</w:t>
        <w:br/>
      </w:r>
      <w:r>
        <w:rPr>
          <w:rFonts w:ascii="Consolas" w:hAnsi="Consolas" w:cs="Consolas"/>
          <w:color w:val="333333"/>
          <w:sz w:val="15"/>
        </w:rPr>
        <w:t xml:space="preserve">  "nm":  "OUEDRAOGO Awa",         name for on-screen confirmation</w:t>
        <w:br/>
      </w:r>
      <w:r>
        <w:rPr>
          <w:rFonts w:ascii="Consolas" w:hAnsi="Consolas" w:cs="Consolas"/>
          <w:color w:val="333333"/>
          <w:sz w:val="15"/>
        </w:rPr>
        <w:t xml:space="preserve">  "pol": ["P-2026-0043","P-2026-0044"],   policy references</w:t>
        <w:br/>
      </w:r>
      <w:r>
        <w:rPr>
          <w:rFonts w:ascii="Consolas" w:hAnsi="Consolas" w:cs="Consolas"/>
          <w:color w:val="333333"/>
          <w:sz w:val="15"/>
        </w:rPr>
        <w:t xml:space="preserve">  "iat": 1756598400,              issued at</w:t>
        <w:br/>
      </w:r>
      <w:r>
        <w:rPr>
          <w:rFonts w:ascii="Consolas" w:hAnsi="Consolas" w:cs="Consolas"/>
          <w:color w:val="333333"/>
          <w:sz w:val="15"/>
        </w:rPr>
        <w:t xml:space="preserve">  "exp": 1788134400,              expiry</w:t>
        <w:br/>
      </w:r>
      <w:r>
        <w:rPr>
          <w:rFonts w:ascii="Consolas" w:hAnsi="Consolas" w:cs="Consolas"/>
          <w:color w:val="333333"/>
          <w:sz w:val="15"/>
        </w:rPr>
        <w:t xml:space="preserve">  "kid": "sunu-2026-k1"           signing key version</w:t>
        <w:br/>
      </w:r>
      <w:r>
        <w:rPr>
          <w:rFonts w:ascii="Consolas" w:hAnsi="Consolas" w:cs="Consolas"/>
          <w:color w:val="333333"/>
          <w:sz w:val="15"/>
        </w:rPr>
        <w:t>}</w:t>
        <w:br/>
      </w:r>
      <w:r>
        <w:rPr>
          <w:rFonts w:ascii="Consolas" w:hAnsi="Consolas" w:cs="Consolas"/>
          <w:color w:val="333333"/>
          <w:sz w:val="15"/>
        </w:rPr>
        <w:t>+ detached signature (HMAC-SHA256 or ECDSA P-256)</w:t>
      </w:r>
    </w:p>
    <w:p>
      <w:r>
        <w:rPr>
          <w:rFonts w:ascii="Calibri" w:hAnsi="Calibri"/>
          <w:b w:val="0"/>
          <w:i w:val="0"/>
          <w:color w:val="333333"/>
          <w:sz w:val="20"/>
        </w:rPr>
        <w:t>Properties:</w:t>
      </w:r>
    </w:p>
    <w:p>
      <w:pPr>
        <w:spacing w:after="40"/>
        <w:ind w:left="312" w:hanging="198"/>
      </w:pPr>
      <w:r>
        <w:rPr>
          <w:rFonts w:ascii="Calibri" w:hAnsi="Calibri"/>
          <w:b/>
          <w:color w:val="2C5F8A"/>
          <w:sz w:val="20"/>
        </w:rPr>
        <w:t xml:space="preserve">1.  </w:t>
      </w:r>
      <w:r>
        <w:rPr>
          <w:rFonts w:ascii="Calibri" w:hAnsi="Calibri"/>
          <w:b/>
          <w:i w:val="0"/>
          <w:color w:val="333333"/>
          <w:sz w:val="20"/>
        </w:rPr>
        <w:t>Offline-verifiable.</w:t>
      </w:r>
      <w:r>
        <w:rPr>
          <w:rFonts w:ascii="Calibri" w:hAnsi="Calibri"/>
          <w:b w:val="0"/>
          <w:i w:val="0"/>
          <w:color w:val="333333"/>
          <w:sz w:val="20"/>
        </w:rPr>
        <w:t xml:space="preserve"> The POS holds the public key (or the shared HMAC key in the secure store) and validates the signature without network access. A forged QR is rejected on the device.</w:t>
      </w:r>
    </w:p>
    <w:p>
      <w:pPr>
        <w:spacing w:after="40"/>
        <w:ind w:left="312" w:hanging="198"/>
      </w:pPr>
      <w:r>
        <w:rPr>
          <w:rFonts w:ascii="Calibri" w:hAnsi="Calibri"/>
          <w:b/>
          <w:color w:val="2C5F8A"/>
          <w:sz w:val="20"/>
        </w:rPr>
        <w:t xml:space="preserve">2.  </w:t>
      </w:r>
      <w:r>
        <w:rPr>
          <w:rFonts w:ascii="Calibri" w:hAnsi="Calibri"/>
          <w:b/>
          <w:i w:val="0"/>
          <w:color w:val="333333"/>
          <w:sz w:val="20"/>
        </w:rPr>
        <w:t>Revocable.</w:t>
      </w:r>
      <w:r>
        <w:rPr>
          <w:rFonts w:ascii="Calibri" w:hAnsi="Calibri"/>
          <w:b w:val="0"/>
          <w:i w:val="0"/>
          <w:color w:val="333333"/>
          <w:sz w:val="20"/>
        </w:rPr>
        <w:t xml:space="preserve"> A revocation list is pushed to terminals on each sync. Revoking a virtual card is immediate in the back office and effective on the terminal at its next sync.</w:t>
      </w:r>
    </w:p>
    <w:p>
      <w:pPr>
        <w:spacing w:after="40"/>
        <w:ind w:left="312" w:hanging="198"/>
      </w:pPr>
      <w:r>
        <w:rPr>
          <w:rFonts w:ascii="Calibri" w:hAnsi="Calibri"/>
          <w:b/>
          <w:color w:val="2C5F8A"/>
          <w:sz w:val="20"/>
        </w:rPr>
        <w:t xml:space="preserve">3.  </w:t>
      </w:r>
      <w:r>
        <w:rPr>
          <w:rFonts w:ascii="Calibri" w:hAnsi="Calibri"/>
          <w:b/>
          <w:i w:val="0"/>
          <w:color w:val="333333"/>
          <w:sz w:val="20"/>
        </w:rPr>
        <w:t>Time-bounded.</w:t>
      </w:r>
      <w:r>
        <w:rPr>
          <w:rFonts w:ascii="Calibri" w:hAnsi="Calibri"/>
          <w:b w:val="0"/>
          <w:i w:val="0"/>
          <w:color w:val="333333"/>
          <w:sz w:val="20"/>
        </w:rPr>
        <w:t xml:space="preserve"> Credentials expire and are re-issued, limiting the window of a leaked QR.</w:t>
      </w:r>
    </w:p>
    <w:p>
      <w:pPr>
        <w:spacing w:after="40"/>
        <w:ind w:left="312" w:hanging="198"/>
      </w:pPr>
      <w:r>
        <w:rPr>
          <w:rFonts w:ascii="Calibri" w:hAnsi="Calibri"/>
          <w:b/>
          <w:color w:val="2C5F8A"/>
          <w:sz w:val="20"/>
        </w:rPr>
        <w:t xml:space="preserve">4.  </w:t>
      </w:r>
      <w:r>
        <w:rPr>
          <w:rFonts w:ascii="Calibri" w:hAnsi="Calibri"/>
          <w:b/>
          <w:i w:val="0"/>
          <w:color w:val="333333"/>
          <w:sz w:val="20"/>
        </w:rPr>
        <w:t>Non-monetary.</w:t>
      </w:r>
      <w:r>
        <w:rPr>
          <w:rFonts w:ascii="Calibri" w:hAnsi="Calibri"/>
          <w:b w:val="0"/>
          <w:i w:val="0"/>
          <w:color w:val="333333"/>
          <w:sz w:val="20"/>
        </w:rPr>
        <w:t xml:space="preserve"> The QR identifies the insured; it authorises nothing. Payment still requires the collector's authenticated session, and optionally the insured's PIN or biometric where SUNU chooses to enable it.</w:t>
      </w:r>
    </w:p>
    <w:p>
      <w:pPr>
        <w:spacing w:after="40"/>
        <w:ind w:left="312" w:hanging="198"/>
      </w:pPr>
      <w:r>
        <w:rPr>
          <w:rFonts w:ascii="Calibri" w:hAnsi="Calibri"/>
          <w:b/>
          <w:color w:val="2C5F8A"/>
          <w:sz w:val="20"/>
        </w:rPr>
        <w:t xml:space="preserve">5.  </w:t>
      </w:r>
      <w:r>
        <w:rPr>
          <w:rFonts w:ascii="Calibri" w:hAnsi="Calibri"/>
          <w:b/>
          <w:i w:val="0"/>
          <w:color w:val="333333"/>
          <w:sz w:val="20"/>
        </w:rPr>
        <w:t>Distribution.</w:t>
      </w:r>
      <w:r>
        <w:rPr>
          <w:rFonts w:ascii="Calibri" w:hAnsi="Calibri"/>
          <w:b w:val="0"/>
          <w:i w:val="0"/>
          <w:color w:val="333333"/>
          <w:sz w:val="20"/>
        </w:rPr>
        <w:t xml:space="preserve"> Printed on the policy schedule, sent by SMS link, or displayed in a future insured-facing app. No hardware needed — this is what makes it the cheap channel for an insured who has lost a card or lives far from a personalisation point.</w:t>
      </w:r>
    </w:p>
    <w:p>
      <w:r>
        <w:rPr>
          <w:rFonts w:ascii="Calibri" w:hAnsi="Calibri"/>
          <w:b w:val="0"/>
          <w:i w:val="0"/>
          <w:color w:val="333333"/>
          <w:sz w:val="20"/>
        </w:rPr>
        <w:t xml:space="preserve">Physical card and virtual card resolve to the </w:t>
      </w:r>
      <w:r>
        <w:rPr>
          <w:rFonts w:ascii="Calibri" w:hAnsi="Calibri"/>
          <w:b/>
          <w:i w:val="0"/>
          <w:color w:val="333333"/>
          <w:sz w:val="20"/>
        </w:rPr>
        <w:t>same insured identity</w:t>
      </w:r>
      <w:r>
        <w:rPr>
          <w:rFonts w:ascii="Calibri" w:hAnsi="Calibri"/>
          <w:b w:val="0"/>
          <w:i w:val="0"/>
          <w:color w:val="333333"/>
          <w:sz w:val="20"/>
        </w:rPr>
        <w:t>; the POS treats them as two readers onto one lookup.</w:t>
      </w:r>
    </w:p>
    <w:p>
      <w:pPr>
        <w:pStyle w:val="Heading1"/>
        <w:pageBreakBefore/>
        <w:spacing w:before="360" w:after="80"/>
        <w:keepNext/>
        <w:pBdr>
          <w:bottom w:val="single" w:sz="8" w:space="6" w:color="1B3A5C"/>
        </w:pBdr>
      </w:pPr>
      <w:bookmarkStart w:id="130" w:name="_Toc_s029"/>
      <w:r>
        <w:rPr>
          <w:rFonts w:ascii="Calibri" w:hAnsi="Calibri"/>
          <w:b/>
          <w:color w:val="1B3A5C"/>
          <w:sz w:val="30"/>
        </w:rPr>
        <w:t>8. SUNULIFE Integration Architecture (E-mail §1 — priority requirement)</w:t>
      </w:r>
      <w:bookmarkEnd w:id="130"/>
    </w:p>
    <w:p>
      <w:r>
        <w:rPr>
          <w:rFonts w:ascii="Calibri" w:hAnsi="Calibri"/>
          <w:b w:val="0"/>
          <w:i w:val="0"/>
          <w:color w:val="333333"/>
          <w:sz w:val="20"/>
        </w:rPr>
        <w:t xml:space="preserve">SUNU stated that a significant share of its customers already exists in SUNULIFE and asked that the solution regularly retrieve up-to-date customer data and policy information via API, and that this be taken into account from the architecture design stage. This section is the architectural answer and, equally, the </w:t>
      </w:r>
      <w:r>
        <w:rPr>
          <w:rFonts w:ascii="Calibri" w:hAnsi="Calibri"/>
          <w:b/>
          <w:i w:val="0"/>
          <w:color w:val="333333"/>
          <w:sz w:val="20"/>
        </w:rPr>
        <w:t>list of what we need from SUNU</w:t>
      </w:r>
      <w:r>
        <w:rPr>
          <w:rFonts w:ascii="Calibri" w:hAnsi="Calibri"/>
          <w:b w:val="0"/>
          <w:i w:val="0"/>
          <w:color w:val="333333"/>
          <w:sz w:val="20"/>
        </w:rPr>
        <w:t xml:space="preserve"> to build it.</w:t>
      </w:r>
    </w:p>
    <w:p>
      <w:pPr>
        <w:pStyle w:val="Heading2"/>
        <w:spacing w:before="280" w:after="80"/>
        <w:keepNext/>
      </w:pPr>
      <w:bookmarkStart w:id="131" w:name="_Toc_s030"/>
      <w:r>
        <w:rPr>
          <w:rFonts w:ascii="Calibri" w:hAnsi="Calibri"/>
          <w:b/>
          <w:color w:val="1B3A5C"/>
          <w:sz w:val="24"/>
        </w:rPr>
        <w:t>8.1 Integration principles</w:t>
      </w:r>
      <w:bookmarkEnd w:id="131"/>
    </w:p>
    <w:p>
      <w:pPr>
        <w:spacing w:after="40"/>
        <w:ind w:left="312" w:hanging="198"/>
      </w:pPr>
      <w:r>
        <w:rPr>
          <w:rFonts w:ascii="Calibri" w:hAnsi="Calibri"/>
          <w:b/>
          <w:color w:val="2C5F8A"/>
          <w:sz w:val="20"/>
        </w:rPr>
        <w:t xml:space="preserve">1.  </w:t>
      </w:r>
      <w:r>
        <w:rPr>
          <w:rFonts w:ascii="Calibri" w:hAnsi="Calibri"/>
          <w:b/>
          <w:i w:val="0"/>
          <w:color w:val="333333"/>
          <w:sz w:val="20"/>
        </w:rPr>
        <w:t>SUNULIFE is the master for insured identity and contracts.</w:t>
      </w:r>
      <w:r>
        <w:rPr>
          <w:rFonts w:ascii="Calibri" w:hAnsi="Calibri"/>
          <w:b w:val="0"/>
          <w:i w:val="0"/>
          <w:color w:val="333333"/>
          <w:sz w:val="20"/>
        </w:rPr>
        <w:t xml:space="preserve"> The solution mirrors, it does not own.</w:t>
      </w:r>
    </w:p>
    <w:p>
      <w:pPr>
        <w:spacing w:after="40"/>
        <w:ind w:left="312" w:hanging="198"/>
      </w:pPr>
      <w:r>
        <w:rPr>
          <w:rFonts w:ascii="Calibri" w:hAnsi="Calibri"/>
          <w:b/>
          <w:color w:val="2C5F8A"/>
          <w:sz w:val="20"/>
        </w:rPr>
        <w:t xml:space="preserve">2.  </w:t>
      </w:r>
      <w:r>
        <w:rPr>
          <w:rFonts w:ascii="Calibri" w:hAnsi="Calibri"/>
          <w:b/>
          <w:i w:val="0"/>
          <w:color w:val="333333"/>
          <w:sz w:val="20"/>
        </w:rPr>
        <w:t>The solution is the master for field collection events.</w:t>
      </w:r>
      <w:r>
        <w:rPr>
          <w:rFonts w:ascii="Calibri" w:hAnsi="Calibri"/>
          <w:b w:val="0"/>
          <w:i w:val="0"/>
          <w:color w:val="333333"/>
          <w:sz w:val="20"/>
        </w:rPr>
        <w:t xml:space="preserve"> SUNULIFE receives them.</w:t>
      </w:r>
    </w:p>
    <w:p>
      <w:pPr>
        <w:spacing w:after="40"/>
        <w:ind w:left="312" w:hanging="198"/>
      </w:pPr>
      <w:r>
        <w:rPr>
          <w:rFonts w:ascii="Calibri" w:hAnsi="Calibri"/>
          <w:b/>
          <w:color w:val="2C5F8A"/>
          <w:sz w:val="20"/>
        </w:rPr>
        <w:t xml:space="preserve">3.  </w:t>
      </w:r>
      <w:r>
        <w:rPr>
          <w:rFonts w:ascii="Calibri" w:hAnsi="Calibri"/>
          <w:b/>
          <w:i w:val="0"/>
          <w:color w:val="333333"/>
          <w:sz w:val="20"/>
        </w:rPr>
        <w:t>No blocking coupling.</w:t>
      </w:r>
      <w:r>
        <w:rPr>
          <w:rFonts w:ascii="Calibri" w:hAnsi="Calibri"/>
          <w:b w:val="0"/>
          <w:i w:val="0"/>
          <w:color w:val="333333"/>
          <w:sz w:val="20"/>
        </w:rPr>
        <w:t xml:space="preserve"> SUNULIFE being unavailable degrades freshness, never availability of collection.</w:t>
      </w:r>
    </w:p>
    <w:p>
      <w:pPr>
        <w:spacing w:after="40"/>
        <w:ind w:left="312" w:hanging="198"/>
      </w:pPr>
      <w:r>
        <w:rPr>
          <w:rFonts w:ascii="Calibri" w:hAnsi="Calibri"/>
          <w:b/>
          <w:color w:val="2C5F8A"/>
          <w:sz w:val="20"/>
        </w:rPr>
        <w:t xml:space="preserve">4.  </w:t>
      </w:r>
      <w:r>
        <w:rPr>
          <w:rFonts w:ascii="Calibri" w:hAnsi="Calibri"/>
          <w:b/>
          <w:i w:val="0"/>
          <w:color w:val="333333"/>
          <w:sz w:val="20"/>
        </w:rPr>
        <w:t>Every exchange is logged and replayable.</w:t>
      </w:r>
      <w:r>
        <w:rPr>
          <w:rFonts w:ascii="Calibri" w:hAnsi="Calibri"/>
          <w:b w:val="0"/>
          <w:i w:val="0"/>
          <w:color w:val="333333"/>
          <w:sz w:val="20"/>
        </w:rPr>
        <w:t xml:space="preserve"> </w:t>
      </w:r>
      <w:r>
        <w:rPr>
          <w:rFonts w:ascii="Consolas" w:hAnsi="Consolas"/>
          <w:b w:val="0"/>
          <w:i w:val="0"/>
          <w:color w:val="1B3A5C"/>
          <w:sz w:val="19"/>
        </w:rPr>
        <w:t>sunulife_sync_log</w:t>
      </w:r>
      <w:r>
        <w:rPr>
          <w:rFonts w:ascii="Calibri" w:hAnsi="Calibri"/>
          <w:b w:val="0"/>
          <w:i w:val="0"/>
          <w:color w:val="333333"/>
          <w:sz w:val="20"/>
        </w:rPr>
        <w:t xml:space="preserve"> records request, response, status and attempts; any failed item can be replayed without duplicating a financial event (idempotency keys, section 5.3).</w:t>
      </w:r>
    </w:p>
    <w:p>
      <w:pPr>
        <w:spacing w:after="40"/>
        <w:ind w:left="312" w:hanging="198"/>
      </w:pPr>
      <w:r>
        <w:rPr>
          <w:rFonts w:ascii="Calibri" w:hAnsi="Calibri"/>
          <w:b/>
          <w:color w:val="2C5F8A"/>
          <w:sz w:val="20"/>
        </w:rPr>
        <w:t xml:space="preserve">5.  </w:t>
      </w:r>
      <w:r>
        <w:rPr>
          <w:rFonts w:ascii="Calibri" w:hAnsi="Calibri"/>
          <w:b/>
          <w:i w:val="0"/>
          <w:color w:val="333333"/>
          <w:sz w:val="20"/>
        </w:rPr>
        <w:t>The Excel export remains permanently available</w:t>
      </w:r>
      <w:r>
        <w:rPr>
          <w:rFonts w:ascii="Calibri" w:hAnsi="Calibri"/>
          <w:b w:val="0"/>
          <w:i w:val="0"/>
          <w:color w:val="333333"/>
          <w:sz w:val="20"/>
        </w:rPr>
        <w:t xml:space="preserve"> as the contractual fallback of TdR Need 2. Automation removes manual work; it does not remove the manual option.</w:t>
      </w:r>
    </w:p>
    <w:p>
      <w:pPr>
        <w:pStyle w:val="Heading2"/>
        <w:spacing w:before="280" w:after="80"/>
        <w:keepNext/>
      </w:pPr>
      <w:bookmarkStart w:id="132" w:name="_Toc_s031"/>
      <w:r>
        <w:rPr>
          <w:rFonts w:ascii="Calibri" w:hAnsi="Calibri"/>
          <w:b/>
          <w:color w:val="1B3A5C"/>
          <w:sz w:val="24"/>
        </w:rPr>
        <w:t>8.2 Integration surface — what we need from SUNULIFE</w:t>
      </w:r>
      <w:bookmarkEnd w:id="13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Direction</w:t>
            </w:r>
          </w:p>
        </w:tc>
        <w:tc>
          <w:tcPr>
            <w:tcW w:type="dxa" w:w="2126"/>
            <w:shd w:val="clear" w:fill="1B3A5C"/>
          </w:tcPr>
          <w:p>
            <w:pPr>
              <w:spacing w:before="60" w:after="60"/>
            </w:pPr>
            <w:r>
              <w:rPr>
                <w:rFonts w:ascii="Calibri" w:hAnsi="Calibri"/>
                <w:b/>
                <w:color w:val="FFFFFF"/>
                <w:sz w:val="17"/>
              </w:rPr>
              <w:t>Capability</w:t>
            </w:r>
          </w:p>
        </w:tc>
        <w:tc>
          <w:tcPr>
            <w:tcW w:type="dxa" w:w="2126"/>
            <w:shd w:val="clear" w:fill="1B3A5C"/>
          </w:tcPr>
          <w:p>
            <w:pPr>
              <w:spacing w:before="60" w:after="60"/>
            </w:pPr>
            <w:r>
              <w:rPr>
                <w:rFonts w:ascii="Calibri" w:hAnsi="Calibri"/>
                <w:b/>
                <w:color w:val="FFFFFF"/>
                <w:sz w:val="17"/>
              </w:rPr>
              <w:t>Purpose</w:t>
            </w:r>
          </w:p>
        </w:tc>
        <w:tc>
          <w:tcPr>
            <w:tcW w:type="dxa" w:w="2126"/>
            <w:shd w:val="clear" w:fill="1B3A5C"/>
          </w:tcPr>
          <w:p>
            <w:pPr>
              <w:spacing w:before="60" w:after="60"/>
            </w:pPr>
            <w:r>
              <w:rPr>
                <w:rFonts w:ascii="Calibri" w:hAnsi="Calibri"/>
                <w:b/>
                <w:color w:val="FFFFFF"/>
                <w:sz w:val="17"/>
              </w:rPr>
              <w:t>Frequency</w:t>
            </w:r>
          </w:p>
        </w:tc>
      </w:tr>
      <w:tr>
        <w:tc>
          <w:tcPr>
            <w:tcW w:type="dxa" w:w="907"/>
          </w:tcPr>
          <w:p>
            <w:pPr>
              <w:spacing w:before="40" w:after="40"/>
            </w:pPr>
            <w:r>
              <w:rPr>
                <w:rFonts w:ascii="Calibri" w:hAnsi="Calibri"/>
                <w:b w:val="0"/>
                <w:i w:val="0"/>
                <w:color w:val="333333"/>
                <w:sz w:val="17"/>
              </w:rPr>
              <w:t>S1</w:t>
            </w:r>
          </w:p>
        </w:tc>
        <w:tc>
          <w:tcPr>
            <w:tcW w:type="dxa" w:w="2126"/>
          </w:tcPr>
          <w:p>
            <w:pPr>
              <w:spacing w:before="40" w:after="40"/>
            </w:pPr>
            <w:r>
              <w:rPr>
                <w:rFonts w:ascii="Calibri" w:hAnsi="Calibri"/>
                <w:b w:val="0"/>
                <w:i w:val="0"/>
                <w:color w:val="333333"/>
                <w:sz w:val="17"/>
              </w:rPr>
              <w:t>Pull</w:t>
            </w:r>
          </w:p>
        </w:tc>
        <w:tc>
          <w:tcPr>
            <w:tcW w:type="dxa" w:w="2126"/>
          </w:tcPr>
          <w:p>
            <w:pPr>
              <w:spacing w:before="40" w:after="40"/>
            </w:pPr>
            <w:r>
              <w:rPr>
                <w:rFonts w:ascii="Calibri" w:hAnsi="Calibri"/>
                <w:b/>
                <w:i w:val="0"/>
                <w:color w:val="333333"/>
                <w:sz w:val="17"/>
              </w:rPr>
              <w:t>Customer search / lookup</w:t>
            </w:r>
            <w:r>
              <w:rPr>
                <w:rFonts w:ascii="Calibri" w:hAnsi="Calibri"/>
                <w:b w:val="0"/>
                <w:i w:val="0"/>
                <w:color w:val="333333"/>
                <w:sz w:val="17"/>
              </w:rPr>
              <w:t xml:space="preserve"> by national ID (CNIB), policy number, phone, or customer number</w:t>
            </w:r>
          </w:p>
        </w:tc>
        <w:tc>
          <w:tcPr>
            <w:tcW w:type="dxa" w:w="2126"/>
          </w:tcPr>
          <w:p>
            <w:pPr>
              <w:spacing w:before="40" w:after="40"/>
            </w:pPr>
            <w:r>
              <w:rPr>
                <w:rFonts w:ascii="Calibri" w:hAnsi="Calibri"/>
                <w:b w:val="0"/>
                <w:i w:val="0"/>
                <w:color w:val="333333"/>
                <w:sz w:val="17"/>
              </w:rPr>
              <w:t>Field identification of an existing insured; avoid duplicate creation</w:t>
            </w:r>
          </w:p>
        </w:tc>
        <w:tc>
          <w:tcPr>
            <w:tcW w:type="dxa" w:w="2126"/>
          </w:tcPr>
          <w:p>
            <w:pPr>
              <w:spacing w:before="40" w:after="40"/>
            </w:pPr>
            <w:r>
              <w:rPr>
                <w:rFonts w:ascii="Calibri" w:hAnsi="Calibri"/>
                <w:b w:val="0"/>
                <w:i w:val="0"/>
                <w:color w:val="333333"/>
                <w:sz w:val="17"/>
              </w:rPr>
              <w:t>On demand + nightly delta</w:t>
            </w:r>
          </w:p>
        </w:tc>
      </w:tr>
      <w:tr>
        <w:tc>
          <w:tcPr>
            <w:tcW w:type="dxa" w:w="907"/>
            <w:shd w:val="clear" w:fill="F2F6FA"/>
          </w:tcPr>
          <w:p>
            <w:pPr>
              <w:spacing w:before="40" w:after="40"/>
            </w:pPr>
            <w:r>
              <w:rPr>
                <w:rFonts w:ascii="Calibri" w:hAnsi="Calibri"/>
                <w:b w:val="0"/>
                <w:i w:val="0"/>
                <w:color w:val="333333"/>
                <w:sz w:val="17"/>
              </w:rPr>
              <w:t>S2</w:t>
            </w:r>
          </w:p>
        </w:tc>
        <w:tc>
          <w:tcPr>
            <w:tcW w:type="dxa" w:w="2126"/>
            <w:shd w:val="clear" w:fill="F2F6FA"/>
          </w:tcPr>
          <w:p>
            <w:pPr>
              <w:spacing w:before="40" w:after="40"/>
            </w:pPr>
            <w:r>
              <w:rPr>
                <w:rFonts w:ascii="Calibri" w:hAnsi="Calibri"/>
                <w:b w:val="0"/>
                <w:i w:val="0"/>
                <w:color w:val="333333"/>
                <w:sz w:val="17"/>
              </w:rPr>
              <w:t>Pull</w:t>
            </w:r>
          </w:p>
        </w:tc>
        <w:tc>
          <w:tcPr>
            <w:tcW w:type="dxa" w:w="2126"/>
            <w:shd w:val="clear" w:fill="F2F6FA"/>
          </w:tcPr>
          <w:p>
            <w:pPr>
              <w:spacing w:before="40" w:after="40"/>
            </w:pPr>
            <w:r>
              <w:rPr>
                <w:rFonts w:ascii="Calibri" w:hAnsi="Calibri"/>
                <w:b/>
                <w:i w:val="0"/>
                <w:color w:val="333333"/>
                <w:sz w:val="17"/>
              </w:rPr>
              <w:t>Customer master delta</w:t>
            </w:r>
            <w:r>
              <w:rPr>
                <w:rFonts w:ascii="Calibri" w:hAnsi="Calibri"/>
                <w:b w:val="0"/>
                <w:i w:val="0"/>
                <w:color w:val="333333"/>
                <w:sz w:val="17"/>
              </w:rPr>
              <w:t xml:space="preserve"> — customers created or modified since a timestamp</w:t>
            </w:r>
          </w:p>
        </w:tc>
        <w:tc>
          <w:tcPr>
            <w:tcW w:type="dxa" w:w="2126"/>
            <w:shd w:val="clear" w:fill="F2F6FA"/>
          </w:tcPr>
          <w:p>
            <w:pPr>
              <w:spacing w:before="40" w:after="40"/>
            </w:pPr>
            <w:r>
              <w:rPr>
                <w:rFonts w:ascii="Calibri" w:hAnsi="Calibri"/>
                <w:b w:val="0"/>
                <w:i w:val="0"/>
                <w:color w:val="333333"/>
                <w:sz w:val="17"/>
              </w:rPr>
              <w:t>Keep the local mirror fresh</w:t>
            </w:r>
          </w:p>
        </w:tc>
        <w:tc>
          <w:tcPr>
            <w:tcW w:type="dxa" w:w="2126"/>
            <w:shd w:val="clear" w:fill="F2F6FA"/>
          </w:tcPr>
          <w:p>
            <w:pPr>
              <w:spacing w:before="40" w:after="40"/>
            </w:pPr>
            <w:r>
              <w:rPr>
                <w:rFonts w:ascii="Calibri" w:hAnsi="Calibri"/>
                <w:b w:val="0"/>
                <w:i w:val="0"/>
                <w:color w:val="333333"/>
                <w:sz w:val="17"/>
              </w:rPr>
              <w:t>Nightly (configurable)</w:t>
            </w:r>
          </w:p>
        </w:tc>
      </w:tr>
      <w:tr>
        <w:tc>
          <w:tcPr>
            <w:tcW w:type="dxa" w:w="907"/>
          </w:tcPr>
          <w:p>
            <w:pPr>
              <w:spacing w:before="40" w:after="40"/>
            </w:pPr>
            <w:r>
              <w:rPr>
                <w:rFonts w:ascii="Calibri" w:hAnsi="Calibri"/>
                <w:b w:val="0"/>
                <w:i w:val="0"/>
                <w:color w:val="333333"/>
                <w:sz w:val="17"/>
              </w:rPr>
              <w:t>S3</w:t>
            </w:r>
          </w:p>
        </w:tc>
        <w:tc>
          <w:tcPr>
            <w:tcW w:type="dxa" w:w="2126"/>
          </w:tcPr>
          <w:p>
            <w:pPr>
              <w:spacing w:before="40" w:after="40"/>
            </w:pPr>
            <w:r>
              <w:rPr>
                <w:rFonts w:ascii="Calibri" w:hAnsi="Calibri"/>
                <w:b w:val="0"/>
                <w:i w:val="0"/>
                <w:color w:val="333333"/>
                <w:sz w:val="17"/>
              </w:rPr>
              <w:t>Pull</w:t>
            </w:r>
          </w:p>
        </w:tc>
        <w:tc>
          <w:tcPr>
            <w:tcW w:type="dxa" w:w="2126"/>
          </w:tcPr>
          <w:p>
            <w:pPr>
              <w:spacing w:before="40" w:after="40"/>
            </w:pPr>
            <w:r>
              <w:rPr>
                <w:rFonts w:ascii="Calibri" w:hAnsi="Calibri"/>
                <w:b/>
                <w:i w:val="0"/>
                <w:color w:val="333333"/>
                <w:sz w:val="17"/>
              </w:rPr>
              <w:t>Policy list for a customer</w:t>
            </w:r>
            <w:r>
              <w:rPr>
                <w:rFonts w:ascii="Calibri" w:hAnsi="Calibri"/>
                <w:b w:val="0"/>
                <w:i w:val="0"/>
                <w:color w:val="333333"/>
                <w:sz w:val="17"/>
              </w:rPr>
              <w:t xml:space="preserve"> — policy number, product, status, effective date, premium amount, frequency, next due date, outstanding balance</w:t>
            </w:r>
          </w:p>
        </w:tc>
        <w:tc>
          <w:tcPr>
            <w:tcW w:type="dxa" w:w="2126"/>
          </w:tcPr>
          <w:p>
            <w:pPr>
              <w:spacing w:before="40" w:after="40"/>
            </w:pPr>
            <w:r>
              <w:rPr>
                <w:rFonts w:ascii="Calibri" w:hAnsi="Calibri"/>
                <w:b w:val="0"/>
                <w:i w:val="0"/>
                <w:color w:val="333333"/>
                <w:sz w:val="17"/>
              </w:rPr>
              <w:t>Populate the card and the POS policy-selection screen</w:t>
            </w:r>
          </w:p>
        </w:tc>
        <w:tc>
          <w:tcPr>
            <w:tcW w:type="dxa" w:w="2126"/>
          </w:tcPr>
          <w:p>
            <w:pPr>
              <w:spacing w:before="40" w:after="40"/>
            </w:pPr>
            <w:r>
              <w:rPr>
                <w:rFonts w:ascii="Calibri" w:hAnsi="Calibri"/>
                <w:b w:val="0"/>
                <w:i w:val="0"/>
                <w:color w:val="333333"/>
                <w:sz w:val="17"/>
              </w:rPr>
              <w:t>Nightly delta + on demand</w:t>
            </w:r>
          </w:p>
        </w:tc>
      </w:tr>
      <w:tr>
        <w:tc>
          <w:tcPr>
            <w:tcW w:type="dxa" w:w="907"/>
            <w:shd w:val="clear" w:fill="F2F6FA"/>
          </w:tcPr>
          <w:p>
            <w:pPr>
              <w:spacing w:before="40" w:after="40"/>
            </w:pPr>
            <w:r>
              <w:rPr>
                <w:rFonts w:ascii="Calibri" w:hAnsi="Calibri"/>
                <w:b w:val="0"/>
                <w:i w:val="0"/>
                <w:color w:val="333333"/>
                <w:sz w:val="17"/>
              </w:rPr>
              <w:t>S4</w:t>
            </w:r>
          </w:p>
        </w:tc>
        <w:tc>
          <w:tcPr>
            <w:tcW w:type="dxa" w:w="2126"/>
            <w:shd w:val="clear" w:fill="F2F6FA"/>
          </w:tcPr>
          <w:p>
            <w:pPr>
              <w:spacing w:before="40" w:after="40"/>
            </w:pPr>
            <w:r>
              <w:rPr>
                <w:rFonts w:ascii="Calibri" w:hAnsi="Calibri"/>
                <w:b w:val="0"/>
                <w:i w:val="0"/>
                <w:color w:val="333333"/>
                <w:sz w:val="17"/>
              </w:rPr>
              <w:t>Pull</w:t>
            </w:r>
          </w:p>
        </w:tc>
        <w:tc>
          <w:tcPr>
            <w:tcW w:type="dxa" w:w="2126"/>
            <w:shd w:val="clear" w:fill="F2F6FA"/>
          </w:tcPr>
          <w:p>
            <w:pPr>
              <w:spacing w:before="40" w:after="40"/>
            </w:pPr>
            <w:r>
              <w:rPr>
                <w:rFonts w:ascii="Calibri" w:hAnsi="Calibri"/>
                <w:b/>
                <w:i w:val="0"/>
                <w:color w:val="333333"/>
                <w:sz w:val="17"/>
              </w:rPr>
              <w:t>Product catalogue</w:t>
            </w:r>
            <w:r>
              <w:rPr>
                <w:rFonts w:ascii="Calibri" w:hAnsi="Calibri"/>
                <w:b w:val="0"/>
                <w:i w:val="0"/>
                <w:color w:val="333333"/>
                <w:sz w:val="17"/>
              </w:rPr>
              <w:t xml:space="preserve"> — product codes and labels</w:t>
            </w:r>
          </w:p>
        </w:tc>
        <w:tc>
          <w:tcPr>
            <w:tcW w:type="dxa" w:w="2126"/>
            <w:shd w:val="clear" w:fill="F2F6FA"/>
          </w:tcPr>
          <w:p>
            <w:pPr>
              <w:spacing w:before="40" w:after="40"/>
            </w:pPr>
            <w:r>
              <w:rPr>
                <w:rFonts w:ascii="Calibri" w:hAnsi="Calibri"/>
                <w:b w:val="0"/>
                <w:i w:val="0"/>
                <w:color w:val="333333"/>
                <w:sz w:val="17"/>
              </w:rPr>
              <w:t>Keep product references aligned</w:t>
            </w:r>
          </w:p>
        </w:tc>
        <w:tc>
          <w:tcPr>
            <w:tcW w:type="dxa" w:w="2126"/>
            <w:shd w:val="clear" w:fill="F2F6FA"/>
          </w:tcPr>
          <w:p>
            <w:pPr>
              <w:spacing w:before="40" w:after="40"/>
            </w:pPr>
            <w:r>
              <w:rPr>
                <w:rFonts w:ascii="Calibri" w:hAnsi="Calibri"/>
                <w:b w:val="0"/>
                <w:i w:val="0"/>
                <w:color w:val="333333"/>
                <w:sz w:val="17"/>
              </w:rPr>
              <w:t>Weekly</w:t>
            </w:r>
          </w:p>
        </w:tc>
      </w:tr>
      <w:tr>
        <w:tc>
          <w:tcPr>
            <w:tcW w:type="dxa" w:w="907"/>
          </w:tcPr>
          <w:p>
            <w:pPr>
              <w:spacing w:before="40" w:after="40"/>
            </w:pPr>
            <w:r>
              <w:rPr>
                <w:rFonts w:ascii="Calibri" w:hAnsi="Calibri"/>
                <w:b w:val="0"/>
                <w:i w:val="0"/>
                <w:color w:val="333333"/>
                <w:sz w:val="17"/>
              </w:rPr>
              <w:t>S5</w:t>
            </w:r>
          </w:p>
        </w:tc>
        <w:tc>
          <w:tcPr>
            <w:tcW w:type="dxa" w:w="2126"/>
          </w:tcPr>
          <w:p>
            <w:pPr>
              <w:spacing w:before="40" w:after="40"/>
            </w:pPr>
            <w:r>
              <w:rPr>
                <w:rFonts w:ascii="Calibri" w:hAnsi="Calibri"/>
                <w:b w:val="0"/>
                <w:i w:val="0"/>
                <w:color w:val="333333"/>
                <w:sz w:val="17"/>
              </w:rPr>
              <w:t>Push</w:t>
            </w:r>
          </w:p>
        </w:tc>
        <w:tc>
          <w:tcPr>
            <w:tcW w:type="dxa" w:w="2126"/>
          </w:tcPr>
          <w:p>
            <w:pPr>
              <w:spacing w:before="40" w:after="40"/>
            </w:pPr>
            <w:r>
              <w:rPr>
                <w:rFonts w:ascii="Calibri" w:hAnsi="Calibri"/>
                <w:b/>
                <w:i w:val="0"/>
                <w:color w:val="333333"/>
                <w:sz w:val="17"/>
              </w:rPr>
              <w:t>Premium collection notification</w:t>
            </w:r>
            <w:r>
              <w:rPr>
                <w:rFonts w:ascii="Calibri" w:hAnsi="Calibri"/>
                <w:b w:val="0"/>
                <w:i w:val="0"/>
                <w:color w:val="333333"/>
                <w:sz w:val="17"/>
              </w:rPr>
              <w:t xml:space="preserve"> — policy number, amount, value date, receipt number, collector reference, payment instrument, unique idempotency key</w:t>
            </w:r>
          </w:p>
        </w:tc>
        <w:tc>
          <w:tcPr>
            <w:tcW w:type="dxa" w:w="2126"/>
          </w:tcPr>
          <w:p>
            <w:pPr>
              <w:spacing w:before="40" w:after="40"/>
            </w:pPr>
            <w:r>
              <w:rPr>
                <w:rFonts w:ascii="Calibri" w:hAnsi="Calibri"/>
                <w:b w:val="0"/>
                <w:i w:val="0"/>
                <w:color w:val="333333"/>
                <w:sz w:val="17"/>
              </w:rPr>
              <w:t>Automatic update of collections (TdR Need 4)</w:t>
            </w:r>
          </w:p>
        </w:tc>
        <w:tc>
          <w:tcPr>
            <w:tcW w:type="dxa" w:w="2126"/>
          </w:tcPr>
          <w:p>
            <w:pPr>
              <w:spacing w:before="40" w:after="40"/>
            </w:pPr>
            <w:r>
              <w:rPr>
                <w:rFonts w:ascii="Calibri" w:hAnsi="Calibri"/>
                <w:b w:val="0"/>
                <w:i w:val="0"/>
                <w:color w:val="333333"/>
                <w:sz w:val="17"/>
              </w:rPr>
              <w:t>Near-real-time, queued</w:t>
            </w:r>
          </w:p>
        </w:tc>
      </w:tr>
      <w:tr>
        <w:tc>
          <w:tcPr>
            <w:tcW w:type="dxa" w:w="907"/>
            <w:shd w:val="clear" w:fill="F2F6FA"/>
          </w:tcPr>
          <w:p>
            <w:pPr>
              <w:spacing w:before="40" w:after="40"/>
            </w:pPr>
            <w:r>
              <w:rPr>
                <w:rFonts w:ascii="Calibri" w:hAnsi="Calibri"/>
                <w:b w:val="0"/>
                <w:i w:val="0"/>
                <w:color w:val="333333"/>
                <w:sz w:val="17"/>
              </w:rPr>
              <w:t>S6</w:t>
            </w:r>
          </w:p>
        </w:tc>
        <w:tc>
          <w:tcPr>
            <w:tcW w:type="dxa" w:w="2126"/>
            <w:shd w:val="clear" w:fill="F2F6FA"/>
          </w:tcPr>
          <w:p>
            <w:pPr>
              <w:spacing w:before="40" w:after="40"/>
            </w:pPr>
            <w:r>
              <w:rPr>
                <w:rFonts w:ascii="Calibri" w:hAnsi="Calibri"/>
                <w:b w:val="0"/>
                <w:i w:val="0"/>
                <w:color w:val="333333"/>
                <w:sz w:val="17"/>
              </w:rPr>
              <w:t>Push</w:t>
            </w:r>
          </w:p>
        </w:tc>
        <w:tc>
          <w:tcPr>
            <w:tcW w:type="dxa" w:w="2126"/>
            <w:shd w:val="clear" w:fill="F2F6FA"/>
          </w:tcPr>
          <w:p>
            <w:pPr>
              <w:spacing w:before="40" w:after="40"/>
            </w:pPr>
            <w:r>
              <w:rPr>
                <w:rFonts w:ascii="Calibri" w:hAnsi="Calibri"/>
                <w:b/>
                <w:i w:val="0"/>
                <w:color w:val="333333"/>
                <w:sz w:val="17"/>
              </w:rPr>
              <w:t>New subscription / proposal</w:t>
            </w:r>
            <w:r>
              <w:rPr>
                <w:rFonts w:ascii="Calibri" w:hAnsi="Calibri"/>
                <w:b w:val="0"/>
                <w:i w:val="0"/>
                <w:color w:val="333333"/>
                <w:sz w:val="17"/>
              </w:rPr>
              <w:t xml:space="preserve"> — proposal number, product, insured identity, first premium, policy costs, documents</w:t>
            </w:r>
          </w:p>
        </w:tc>
        <w:tc>
          <w:tcPr>
            <w:tcW w:type="dxa" w:w="2126"/>
            <w:shd w:val="clear" w:fill="F2F6FA"/>
          </w:tcPr>
          <w:p>
            <w:pPr>
              <w:spacing w:before="40" w:after="40"/>
            </w:pPr>
            <w:r>
              <w:rPr>
                <w:rFonts w:ascii="Calibri" w:hAnsi="Calibri"/>
                <w:b w:val="0"/>
                <w:i w:val="0"/>
                <w:color w:val="333333"/>
                <w:sz w:val="17"/>
              </w:rPr>
              <w:t>Create the contract in SUNULIFE and return the policy number</w:t>
            </w:r>
          </w:p>
        </w:tc>
        <w:tc>
          <w:tcPr>
            <w:tcW w:type="dxa" w:w="2126"/>
            <w:shd w:val="clear" w:fill="F2F6FA"/>
          </w:tcPr>
          <w:p>
            <w:pPr>
              <w:spacing w:before="40" w:after="40"/>
            </w:pPr>
            <w:r>
              <w:rPr>
                <w:rFonts w:ascii="Calibri" w:hAnsi="Calibri"/>
                <w:b w:val="0"/>
                <w:i w:val="0"/>
                <w:color w:val="333333"/>
                <w:sz w:val="17"/>
              </w:rPr>
              <w:t>On back-office acceptance</w:t>
            </w:r>
          </w:p>
        </w:tc>
      </w:tr>
      <w:tr>
        <w:tc>
          <w:tcPr>
            <w:tcW w:type="dxa" w:w="907"/>
          </w:tcPr>
          <w:p>
            <w:pPr>
              <w:spacing w:before="40" w:after="40"/>
            </w:pPr>
            <w:r>
              <w:rPr>
                <w:rFonts w:ascii="Calibri" w:hAnsi="Calibri"/>
                <w:b w:val="0"/>
                <w:i w:val="0"/>
                <w:color w:val="333333"/>
                <w:sz w:val="17"/>
              </w:rPr>
              <w:t>S7</w:t>
            </w:r>
          </w:p>
        </w:tc>
        <w:tc>
          <w:tcPr>
            <w:tcW w:type="dxa" w:w="2126"/>
          </w:tcPr>
          <w:p>
            <w:pPr>
              <w:spacing w:before="40" w:after="40"/>
            </w:pPr>
            <w:r>
              <w:rPr>
                <w:rFonts w:ascii="Calibri" w:hAnsi="Calibri"/>
                <w:b w:val="0"/>
                <w:i w:val="0"/>
                <w:color w:val="333333"/>
                <w:sz w:val="17"/>
              </w:rPr>
              <w:t>Pull</w:t>
            </w:r>
          </w:p>
        </w:tc>
        <w:tc>
          <w:tcPr>
            <w:tcW w:type="dxa" w:w="2126"/>
          </w:tcPr>
          <w:p>
            <w:pPr>
              <w:spacing w:before="40" w:after="40"/>
            </w:pPr>
            <w:r>
              <w:rPr>
                <w:rFonts w:ascii="Calibri" w:hAnsi="Calibri"/>
                <w:b/>
                <w:i w:val="0"/>
                <w:color w:val="333333"/>
                <w:sz w:val="17"/>
              </w:rPr>
              <w:t>Acknowledgement / posting status</w:t>
            </w:r>
            <w:r>
              <w:rPr>
                <w:rFonts w:ascii="Calibri" w:hAnsi="Calibri"/>
                <w:b w:val="0"/>
                <w:i w:val="0"/>
                <w:color w:val="333333"/>
                <w:sz w:val="17"/>
              </w:rPr>
              <w:t xml:space="preserve"> for a pushed collection</w:t>
            </w:r>
          </w:p>
        </w:tc>
        <w:tc>
          <w:tcPr>
            <w:tcW w:type="dxa" w:w="2126"/>
          </w:tcPr>
          <w:p>
            <w:pPr>
              <w:spacing w:before="40" w:after="40"/>
            </w:pPr>
            <w:r>
              <w:rPr>
                <w:rFonts w:ascii="Calibri" w:hAnsi="Calibri"/>
                <w:b w:val="0"/>
                <w:i w:val="0"/>
                <w:color w:val="333333"/>
                <w:sz w:val="17"/>
              </w:rPr>
              <w:t>Reconciliation; proves the collection landed</w:t>
            </w:r>
          </w:p>
        </w:tc>
        <w:tc>
          <w:tcPr>
            <w:tcW w:type="dxa" w:w="2126"/>
          </w:tcPr>
          <w:p>
            <w:pPr>
              <w:spacing w:before="40" w:after="40"/>
            </w:pPr>
            <w:r>
              <w:rPr>
                <w:rFonts w:ascii="Calibri" w:hAnsi="Calibri"/>
                <w:b w:val="0"/>
                <w:i w:val="0"/>
                <w:color w:val="333333"/>
                <w:sz w:val="17"/>
              </w:rPr>
              <w:t>Polled or via callback</w:t>
            </w:r>
          </w:p>
        </w:tc>
      </w:tr>
    </w:tbl>
    <w:p>
      <w:pPr>
        <w:spacing w:after="40"/>
      </w:pPr>
    </w:p>
    <w:p>
      <w:pPr>
        <w:pStyle w:val="Heading2"/>
        <w:spacing w:before="280" w:after="80"/>
        <w:keepNext/>
      </w:pPr>
      <w:bookmarkStart w:id="133" w:name="_Toc_s032"/>
      <w:r>
        <w:rPr>
          <w:rFonts w:ascii="Calibri" w:hAnsi="Calibri"/>
          <w:b/>
          <w:color w:val="1B3A5C"/>
          <w:sz w:val="24"/>
        </w:rPr>
        <w:t>8.3 Synchronisation model</w:t>
      </w:r>
      <w:bookmarkEnd w:id="133"/>
    </w:p>
    <w:p>
      <w:pPr>
        <w:spacing w:before="200" w:after="80"/>
        <w:jc w:val="center"/>
      </w:pPr>
      <w:r>
        <w:drawing>
          <wp:inline xmlns:a="http://schemas.openxmlformats.org/drawingml/2006/main" xmlns:pic="http://schemas.openxmlformats.org/drawingml/2006/picture">
            <wp:extent cx="5903999" cy="4247999"/>
            <wp:docPr id="4" name="Picture 4"/>
            <wp:cNvGraphicFramePr>
              <a:graphicFrameLocks noChangeAspect="1"/>
            </wp:cNvGraphicFramePr>
            <a:graphic>
              <a:graphicData uri="http://schemas.openxmlformats.org/drawingml/2006/picture">
                <pic:pic>
                  <pic:nvPicPr>
                    <pic:cNvPr id="0" name="03-sunulife-integration.png"/>
                    <pic:cNvPicPr/>
                  </pic:nvPicPr>
                  <pic:blipFill>
                    <a:blip r:embed="rId14"/>
                    <a:stretch>
                      <a:fillRect/>
                    </a:stretch>
                  </pic:blipFill>
                  <pic:spPr>
                    <a:xfrm>
                      <a:off x="0" y="0"/>
                      <a:ext cx="5903999" cy="4247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3 — SUNULIFE integration and its phasing. Phase 0 carries the September pilot on a file extract and the Excel export; the API phases in behind the same adapter afterwards.</w:t>
      </w:r>
    </w:p>
    <w:p>
      <w:r>
        <w:rPr>
          <w:rFonts w:ascii="Calibri" w:hAnsi="Calibri"/>
          <w:b/>
          <w:i w:val="0"/>
          <w:color w:val="333333"/>
          <w:sz w:val="20"/>
        </w:rPr>
        <w:t>Reuse note.</w:t>
      </w:r>
      <w:r>
        <w:rPr>
          <w:rFonts w:ascii="Calibri" w:hAnsi="Calibri"/>
          <w:b w:val="0"/>
          <w:i w:val="0"/>
          <w:color w:val="333333"/>
          <w:sz w:val="20"/>
        </w:rPr>
        <w:t xml:space="preserve"> The platform already implements exactly this adapter pattern for core banking systems: a configurable external-system definition with base URL, authentication strategy (JWT bearer, HTTP basic, OAuth password), per-institution credentials held separately, and per-transaction-type </w:t>
      </w:r>
      <w:r>
        <w:rPr>
          <w:rFonts w:ascii="Calibri" w:hAnsi="Calibri"/>
          <w:b/>
          <w:i w:val="0"/>
          <w:color w:val="333333"/>
          <w:sz w:val="20"/>
        </w:rPr>
        <w:t>request and response field mappings with transforms</w:t>
      </w:r>
      <w:r>
        <w:rPr>
          <w:rFonts w:ascii="Calibri" w:hAnsi="Calibri"/>
          <w:b w:val="0"/>
          <w:i w:val="0"/>
          <w:color w:val="333333"/>
          <w:sz w:val="20"/>
        </w:rPr>
        <w:t xml:space="preserve">. SUNULIFE becomes a driver in that framework. This is why S1–S7 can be delivered quickly </w:t>
      </w:r>
      <w:r>
        <w:rPr>
          <w:rFonts w:ascii="Calibri" w:hAnsi="Calibri"/>
          <w:b w:val="0"/>
          <w:i/>
          <w:color w:val="333333"/>
          <w:sz w:val="20"/>
        </w:rPr>
        <w:t>once the API is documented</w:t>
      </w:r>
      <w:r>
        <w:rPr>
          <w:rFonts w:ascii="Calibri" w:hAnsi="Calibri"/>
          <w:b w:val="0"/>
          <w:i w:val="0"/>
          <w:color w:val="333333"/>
          <w:sz w:val="20"/>
        </w:rPr>
        <w:t xml:space="preserve"> — the plumbing exists.</w:t>
      </w:r>
    </w:p>
    <w:p>
      <w:r>
        <w:rPr>
          <w:rFonts w:ascii="Calibri" w:hAnsi="Calibri"/>
          <w:b/>
          <w:i w:val="0"/>
          <w:color w:val="333333"/>
          <w:sz w:val="20"/>
        </w:rPr>
        <w:t>Conflict rules.</w:t>
      </w:r>
    </w:p>
    <w:p>
      <w:pPr>
        <w:spacing w:after="40"/>
        <w:ind w:left="312" w:hanging="198"/>
      </w:pPr>
      <w:r>
        <w:rPr>
          <w:rFonts w:ascii="Calibri" w:hAnsi="Calibri"/>
          <w:b w:val="0"/>
          <w:color w:val="2C5F8A"/>
          <w:sz w:val="20"/>
        </w:rPr>
        <w:t xml:space="preserve">•  </w:t>
      </w:r>
      <w:r>
        <w:rPr>
          <w:rFonts w:ascii="Calibri" w:hAnsi="Calibri"/>
          <w:b w:val="0"/>
          <w:i w:val="0"/>
          <w:color w:val="333333"/>
          <w:sz w:val="20"/>
        </w:rPr>
        <w:t>Customer or policy field differs between mirror and SUNULIFE → SUNULIFE wins, previous value written to the audit trail.</w:t>
      </w:r>
    </w:p>
    <w:p>
      <w:pPr>
        <w:spacing w:after="40"/>
        <w:ind w:left="312" w:hanging="198"/>
      </w:pPr>
      <w:r>
        <w:rPr>
          <w:rFonts w:ascii="Calibri" w:hAnsi="Calibri"/>
          <w:b w:val="0"/>
          <w:color w:val="2C5F8A"/>
          <w:sz w:val="20"/>
        </w:rPr>
        <w:t xml:space="preserve">•  </w:t>
      </w:r>
      <w:r>
        <w:rPr>
          <w:rFonts w:ascii="Calibri" w:hAnsi="Calibri"/>
          <w:b w:val="0"/>
          <w:i w:val="0"/>
          <w:color w:val="333333"/>
          <w:sz w:val="20"/>
        </w:rPr>
        <w:t>A locally created insured is later matched to a SUNULIFE customer (by CNIB or phone) → records are merged, local reference retained as an alias, collections re-pointed.</w:t>
      </w:r>
    </w:p>
    <w:p>
      <w:pPr>
        <w:spacing w:after="40"/>
        <w:ind w:left="312" w:hanging="198"/>
      </w:pPr>
      <w:r>
        <w:rPr>
          <w:rFonts w:ascii="Calibri" w:hAnsi="Calibri"/>
          <w:b w:val="0"/>
          <w:color w:val="2C5F8A"/>
          <w:sz w:val="20"/>
        </w:rPr>
        <w:t xml:space="preserve">•  </w:t>
      </w:r>
      <w:r>
        <w:rPr>
          <w:rFonts w:ascii="Calibri" w:hAnsi="Calibri"/>
          <w:b w:val="0"/>
          <w:i w:val="0"/>
          <w:color w:val="333333"/>
          <w:sz w:val="20"/>
        </w:rPr>
        <w:t>A collection pushed to SUNULIFE and rejected → collection stays valid and reconciled locally, flagged in a back-office exception queue for the Back-Office Agent to resolve. Money already received is never reversed by an integration failure.</w:t>
      </w:r>
    </w:p>
    <w:p>
      <w:pPr>
        <w:pStyle w:val="Heading2"/>
        <w:spacing w:before="280" w:after="80"/>
        <w:keepNext/>
      </w:pPr>
      <w:bookmarkStart w:id="134" w:name="_Toc_s033"/>
      <w:r>
        <w:rPr>
          <w:rFonts w:ascii="Calibri" w:hAnsi="Calibri"/>
          <w:b/>
          <w:color w:val="1B3A5C"/>
          <w:sz w:val="24"/>
        </w:rPr>
        <w:t>8.4 Phasing (this is the pragmatic path to the September date)</w:t>
      </w:r>
      <w:bookmarkEnd w:id="13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Content</w:t>
            </w:r>
          </w:p>
        </w:tc>
        <w:tc>
          <w:tcPr>
            <w:tcW w:type="dxa" w:w="3249"/>
            <w:shd w:val="clear" w:fill="1B3A5C"/>
          </w:tcPr>
          <w:p>
            <w:pPr>
              <w:spacing w:before="60" w:after="60"/>
            </w:pPr>
            <w:r>
              <w:rPr>
                <w:rFonts w:ascii="Calibri" w:hAnsi="Calibri"/>
                <w:b/>
                <w:color w:val="FFFFFF"/>
                <w:sz w:val="17"/>
              </w:rPr>
              <w:t>Target</w:t>
            </w:r>
          </w:p>
        </w:tc>
      </w:tr>
      <w:tr>
        <w:tc>
          <w:tcPr>
            <w:tcW w:type="dxa" w:w="3249"/>
          </w:tcPr>
          <w:p>
            <w:pPr>
              <w:spacing w:before="40" w:after="40"/>
            </w:pPr>
            <w:r>
              <w:rPr>
                <w:rFonts w:ascii="Calibri" w:hAnsi="Calibri"/>
                <w:b/>
                <w:i w:val="0"/>
                <w:color w:val="333333"/>
                <w:sz w:val="17"/>
              </w:rPr>
              <w:t>Phase 0 — now</w:t>
            </w:r>
          </w:p>
        </w:tc>
        <w:tc>
          <w:tcPr>
            <w:tcW w:type="dxa" w:w="3249"/>
          </w:tcPr>
          <w:p>
            <w:pPr>
              <w:spacing w:before="40" w:after="40"/>
            </w:pPr>
            <w:r>
              <w:rPr>
                <w:rFonts w:ascii="Calibri" w:hAnsi="Calibri"/>
                <w:b w:val="0"/>
                <w:i w:val="0"/>
                <w:color w:val="333333"/>
                <w:sz w:val="17"/>
              </w:rPr>
              <w:t xml:space="preserve">Excel export for manual recording into SUNULIFE, exactly as TdR Need 2 specifies. Bulk </w:t>
            </w:r>
            <w:r>
              <w:rPr>
                <w:rFonts w:ascii="Calibri" w:hAnsi="Calibri"/>
                <w:b/>
                <w:i w:val="0"/>
                <w:color w:val="333333"/>
                <w:sz w:val="17"/>
              </w:rPr>
              <w:t>one-off import</w:t>
            </w:r>
            <w:r>
              <w:rPr>
                <w:rFonts w:ascii="Calibri" w:hAnsi="Calibri"/>
                <w:b w:val="0"/>
                <w:i w:val="0"/>
                <w:color w:val="333333"/>
                <w:sz w:val="17"/>
              </w:rPr>
              <w:t xml:space="preserve"> of the existing customer and policy base from a SUNULIFE extract (CSV file, format in Document 5) so field agents immediately see existing customers</w:t>
            </w:r>
          </w:p>
        </w:tc>
        <w:tc>
          <w:tcPr>
            <w:tcW w:type="dxa" w:w="3249"/>
          </w:tcPr>
          <w:p>
            <w:pPr>
              <w:spacing w:before="40" w:after="40"/>
            </w:pPr>
            <w:r>
              <w:rPr>
                <w:rFonts w:ascii="Calibri" w:hAnsi="Calibri"/>
                <w:b w:val="0"/>
                <w:i w:val="0"/>
                <w:color w:val="333333"/>
                <w:sz w:val="17"/>
              </w:rPr>
              <w:t>Pilot, September 2026</w:t>
            </w:r>
          </w:p>
        </w:tc>
      </w:tr>
      <w:tr>
        <w:tc>
          <w:tcPr>
            <w:tcW w:type="dxa" w:w="3249"/>
            <w:shd w:val="clear" w:fill="F2F6FA"/>
          </w:tcPr>
          <w:p>
            <w:pPr>
              <w:spacing w:before="40" w:after="40"/>
            </w:pPr>
            <w:r>
              <w:rPr>
                <w:rFonts w:ascii="Calibri" w:hAnsi="Calibri"/>
                <w:b/>
                <w:i w:val="0"/>
                <w:color w:val="333333"/>
                <w:sz w:val="17"/>
              </w:rPr>
              <w:t>Phase 1</w:t>
            </w:r>
          </w:p>
        </w:tc>
        <w:tc>
          <w:tcPr>
            <w:tcW w:type="dxa" w:w="3249"/>
            <w:shd w:val="clear" w:fill="F2F6FA"/>
          </w:tcPr>
          <w:p>
            <w:pPr>
              <w:spacing w:before="40" w:after="40"/>
            </w:pPr>
            <w:r>
              <w:rPr>
                <w:rFonts w:ascii="Calibri" w:hAnsi="Calibri"/>
                <w:b w:val="0"/>
                <w:i w:val="0"/>
                <w:color w:val="333333"/>
                <w:sz w:val="17"/>
              </w:rPr>
              <w:t>Read-only integration: S1, S3 on demand; S2, S4 scheduled delta</w:t>
            </w:r>
          </w:p>
        </w:tc>
        <w:tc>
          <w:tcPr>
            <w:tcW w:type="dxa" w:w="3249"/>
            <w:shd w:val="clear" w:fill="F2F6FA"/>
          </w:tcPr>
          <w:p>
            <w:pPr>
              <w:spacing w:before="40" w:after="40"/>
            </w:pPr>
            <w:r>
              <w:rPr>
                <w:rFonts w:ascii="Calibri" w:hAnsi="Calibri"/>
                <w:b w:val="0"/>
                <w:i w:val="0"/>
                <w:color w:val="333333"/>
                <w:sz w:val="17"/>
              </w:rPr>
              <w:t>Production, November 2026</w:t>
            </w:r>
          </w:p>
        </w:tc>
      </w:tr>
      <w:tr>
        <w:tc>
          <w:tcPr>
            <w:tcW w:type="dxa" w:w="3249"/>
          </w:tcPr>
          <w:p>
            <w:pPr>
              <w:spacing w:before="40" w:after="40"/>
            </w:pPr>
            <w:r>
              <w:rPr>
                <w:rFonts w:ascii="Calibri" w:hAnsi="Calibri"/>
                <w:b/>
                <w:i w:val="0"/>
                <w:color w:val="333333"/>
                <w:sz w:val="17"/>
              </w:rPr>
              <w:t>Phase 2</w:t>
            </w:r>
          </w:p>
        </w:tc>
        <w:tc>
          <w:tcPr>
            <w:tcW w:type="dxa" w:w="3249"/>
          </w:tcPr>
          <w:p>
            <w:pPr>
              <w:spacing w:before="40" w:after="40"/>
            </w:pPr>
            <w:r>
              <w:rPr>
                <w:rFonts w:ascii="Calibri" w:hAnsi="Calibri"/>
                <w:b w:val="0"/>
                <w:i w:val="0"/>
                <w:color w:val="333333"/>
                <w:sz w:val="17"/>
              </w:rPr>
              <w:t>Write integration: S5, S6, S7</w:t>
            </w:r>
          </w:p>
        </w:tc>
        <w:tc>
          <w:tcPr>
            <w:tcW w:type="dxa" w:w="3249"/>
          </w:tcPr>
          <w:p>
            <w:pPr>
              <w:spacing w:before="40" w:after="40"/>
            </w:pPr>
            <w:r>
              <w:rPr>
                <w:rFonts w:ascii="Calibri" w:hAnsi="Calibri"/>
                <w:b w:val="0"/>
                <w:i w:val="0"/>
                <w:color w:val="333333"/>
                <w:sz w:val="17"/>
              </w:rPr>
              <w:t>Post-launch, per TdR Need 4</w:t>
            </w:r>
          </w:p>
        </w:tc>
      </w:tr>
    </w:tbl>
    <w:p>
      <w:pPr>
        <w:spacing w:after="40"/>
      </w:pPr>
    </w:p>
    <w:p>
      <w:r>
        <w:rPr>
          <w:rFonts w:ascii="Calibri" w:hAnsi="Calibri"/>
          <w:b w:val="0"/>
          <w:i w:val="0"/>
          <w:color w:val="333333"/>
          <w:sz w:val="20"/>
        </w:rPr>
        <w:t xml:space="preserve">Phase 0 matters: it means </w:t>
      </w:r>
      <w:r>
        <w:rPr>
          <w:rFonts w:ascii="Calibri" w:hAnsi="Calibri"/>
          <w:b/>
          <w:i w:val="0"/>
          <w:color w:val="333333"/>
          <w:sz w:val="20"/>
        </w:rPr>
        <w:t>SUNU's requirement that agents see existing customers is met at the pilot even if the API is not yet available</w:t>
      </w:r>
      <w:r>
        <w:rPr>
          <w:rFonts w:ascii="Calibri" w:hAnsi="Calibri"/>
          <w:b w:val="0"/>
          <w:i w:val="0"/>
          <w:color w:val="333333"/>
          <w:sz w:val="20"/>
        </w:rPr>
        <w:t>, via a periodic extract. That removes SUNULIFE from the critical path of the September deadline while still honouring the intent of the requirement.</w:t>
      </w:r>
    </w:p>
    <w:p>
      <w:pPr>
        <w:pStyle w:val="Heading2"/>
        <w:spacing w:before="280" w:after="80"/>
        <w:keepNext/>
      </w:pPr>
      <w:bookmarkStart w:id="135" w:name="_Toc_s034"/>
      <w:r>
        <w:rPr>
          <w:rFonts w:ascii="Calibri" w:hAnsi="Calibri"/>
          <w:b/>
          <w:color w:val="1B3A5C"/>
          <w:sz w:val="24"/>
        </w:rPr>
        <w:t>8.5 Information required from SUNU / the SUNULIFE editor</w:t>
      </w:r>
      <w:bookmarkEnd w:id="135"/>
    </w:p>
    <w:p>
      <w:r>
        <w:rPr>
          <w:rFonts w:ascii="Calibri" w:hAnsi="Calibri"/>
          <w:b w:val="0"/>
          <w:i w:val="0"/>
          <w:color w:val="333333"/>
          <w:sz w:val="20"/>
        </w:rPr>
        <w:t>This is the questionnaire to be answered before or at the meeting of 1 October 2026. Each unanswered line is a scheduling risk.</w:t>
      </w:r>
    </w:p>
    <w:p>
      <w:r>
        <w:rPr>
          <w:rFonts w:ascii="Calibri" w:hAnsi="Calibri"/>
          <w:b/>
          <w:i w:val="0"/>
          <w:color w:val="333333"/>
          <w:sz w:val="20"/>
        </w:rPr>
        <w:t>Technical</w:t>
      </w:r>
    </w:p>
    <w:p>
      <w:pPr>
        <w:spacing w:after="40"/>
        <w:ind w:left="312" w:hanging="198"/>
      </w:pPr>
      <w:r>
        <w:rPr>
          <w:rFonts w:ascii="Calibri" w:hAnsi="Calibri"/>
          <w:b/>
          <w:color w:val="2C5F8A"/>
          <w:sz w:val="20"/>
        </w:rPr>
        <w:t xml:space="preserve">1.  </w:t>
      </w:r>
      <w:r>
        <w:rPr>
          <w:rFonts w:ascii="Calibri" w:hAnsi="Calibri"/>
          <w:b w:val="0"/>
          <w:i w:val="0"/>
          <w:color w:val="333333"/>
          <w:sz w:val="20"/>
        </w:rPr>
        <w:t>Does SUNULIFE expose an API today? REST/JSON, SOAP/XML, or database/file-based only?</w:t>
      </w:r>
    </w:p>
    <w:p>
      <w:pPr>
        <w:spacing w:after="40"/>
        <w:ind w:left="312" w:hanging="198"/>
      </w:pPr>
      <w:r>
        <w:rPr>
          <w:rFonts w:ascii="Calibri" w:hAnsi="Calibri"/>
          <w:b/>
          <w:color w:val="2C5F8A"/>
          <w:sz w:val="20"/>
        </w:rPr>
        <w:t xml:space="preserve">2.  </w:t>
      </w:r>
      <w:r>
        <w:rPr>
          <w:rFonts w:ascii="Calibri" w:hAnsi="Calibri"/>
          <w:b w:val="0"/>
          <w:i w:val="0"/>
          <w:color w:val="333333"/>
          <w:sz w:val="20"/>
        </w:rPr>
        <w:t>Is there API documentation, a WSDL/OpenAPI file, or a Postman collection?</w:t>
      </w:r>
    </w:p>
    <w:p>
      <w:pPr>
        <w:spacing w:after="40"/>
        <w:ind w:left="312" w:hanging="198"/>
      </w:pPr>
      <w:r>
        <w:rPr>
          <w:rFonts w:ascii="Calibri" w:hAnsi="Calibri"/>
          <w:b/>
          <w:color w:val="2C5F8A"/>
          <w:sz w:val="20"/>
        </w:rPr>
        <w:t xml:space="preserve">3.  </w:t>
      </w:r>
      <w:r>
        <w:rPr>
          <w:rFonts w:ascii="Calibri" w:hAnsi="Calibri"/>
          <w:b w:val="0"/>
          <w:i w:val="0"/>
          <w:color w:val="333333"/>
          <w:sz w:val="20"/>
        </w:rPr>
        <w:t>Which authentication does it use — API key, OAuth 2.0, JWT, mutual TLS, IP allow-list?</w:t>
      </w:r>
    </w:p>
    <w:p>
      <w:pPr>
        <w:spacing w:after="40"/>
        <w:ind w:left="312" w:hanging="198"/>
      </w:pPr>
      <w:r>
        <w:rPr>
          <w:rFonts w:ascii="Calibri" w:hAnsi="Calibri"/>
          <w:b/>
          <w:color w:val="2C5F8A"/>
          <w:sz w:val="20"/>
        </w:rPr>
        <w:t xml:space="preserve">4.  </w:t>
      </w:r>
      <w:r>
        <w:rPr>
          <w:rFonts w:ascii="Calibri" w:hAnsi="Calibri"/>
          <w:b w:val="0"/>
          <w:i w:val="0"/>
          <w:color w:val="333333"/>
          <w:sz w:val="20"/>
        </w:rPr>
        <w:t>Is SUNULIFE hosted on-premises at SUNU, at the SUNU group, or by the editor? In which country?</w:t>
      </w:r>
    </w:p>
    <w:p>
      <w:pPr>
        <w:spacing w:after="40"/>
        <w:ind w:left="312" w:hanging="198"/>
      </w:pPr>
      <w:r>
        <w:rPr>
          <w:rFonts w:ascii="Calibri" w:hAnsi="Calibri"/>
          <w:b/>
          <w:color w:val="2C5F8A"/>
          <w:sz w:val="20"/>
        </w:rPr>
        <w:t xml:space="preserve">5.  </w:t>
      </w:r>
      <w:r>
        <w:rPr>
          <w:rFonts w:ascii="Calibri" w:hAnsi="Calibri"/>
          <w:b w:val="0"/>
          <w:i w:val="0"/>
          <w:color w:val="333333"/>
          <w:sz w:val="20"/>
        </w:rPr>
        <w:t>Can it be reached from our hosting environment, or is a VPN / private link required?</w:t>
      </w:r>
    </w:p>
    <w:p>
      <w:pPr>
        <w:spacing w:after="40"/>
        <w:ind w:left="312" w:hanging="198"/>
      </w:pPr>
      <w:r>
        <w:rPr>
          <w:rFonts w:ascii="Calibri" w:hAnsi="Calibri"/>
          <w:b/>
          <w:color w:val="2C5F8A"/>
          <w:sz w:val="20"/>
        </w:rPr>
        <w:t xml:space="preserve">6.  </w:t>
      </w:r>
      <w:r>
        <w:rPr>
          <w:rFonts w:ascii="Calibri" w:hAnsi="Calibri"/>
          <w:b w:val="0"/>
          <w:i w:val="0"/>
          <w:color w:val="333333"/>
          <w:sz w:val="20"/>
        </w:rPr>
        <w:t>Are there rate limits or maintenance windows?</w:t>
      </w:r>
    </w:p>
    <w:p>
      <w:pPr>
        <w:spacing w:after="40"/>
        <w:ind w:left="312" w:hanging="198"/>
      </w:pPr>
      <w:r>
        <w:rPr>
          <w:rFonts w:ascii="Calibri" w:hAnsi="Calibri"/>
          <w:b/>
          <w:color w:val="2C5F8A"/>
          <w:sz w:val="20"/>
        </w:rPr>
        <w:t xml:space="preserve">7.  </w:t>
      </w:r>
      <w:r>
        <w:rPr>
          <w:rFonts w:ascii="Calibri" w:hAnsi="Calibri"/>
          <w:b w:val="0"/>
          <w:i w:val="0"/>
          <w:color w:val="333333"/>
          <w:sz w:val="20"/>
        </w:rPr>
        <w:t>Is there a test/UAT instance, and when can access be granted?</w:t>
      </w:r>
    </w:p>
    <w:p>
      <w:r>
        <w:rPr>
          <w:rFonts w:ascii="Calibri" w:hAnsi="Calibri"/>
          <w:b/>
          <w:i w:val="0"/>
          <w:color w:val="333333"/>
          <w:sz w:val="20"/>
        </w:rPr>
        <w:t>Functional</w:t>
      </w:r>
    </w:p>
    <w:p>
      <w:pPr>
        <w:spacing w:after="40"/>
        <w:ind w:left="312" w:hanging="198"/>
      </w:pPr>
      <w:r>
        <w:rPr>
          <w:rFonts w:ascii="Calibri" w:hAnsi="Calibri"/>
          <w:b/>
          <w:color w:val="2C5F8A"/>
          <w:sz w:val="20"/>
        </w:rPr>
        <w:t xml:space="preserve">1.  </w:t>
      </w:r>
      <w:r>
        <w:rPr>
          <w:rFonts w:ascii="Calibri" w:hAnsi="Calibri"/>
          <w:b w:val="0"/>
          <w:i w:val="0"/>
          <w:color w:val="333333"/>
          <w:sz w:val="20"/>
        </w:rPr>
        <w:t>What uniquely identifies a customer in SUNULIFE — customer number, CNIB, or a composite?</w:t>
      </w:r>
    </w:p>
    <w:p>
      <w:pPr>
        <w:spacing w:after="40"/>
        <w:ind w:left="312" w:hanging="198"/>
      </w:pPr>
      <w:r>
        <w:rPr>
          <w:rFonts w:ascii="Calibri" w:hAnsi="Calibri"/>
          <w:b/>
          <w:color w:val="2C5F8A"/>
          <w:sz w:val="20"/>
        </w:rPr>
        <w:t xml:space="preserve">2.  </w:t>
      </w:r>
      <w:r>
        <w:rPr>
          <w:rFonts w:ascii="Calibri" w:hAnsi="Calibri"/>
          <w:b w:val="0"/>
          <w:i w:val="0"/>
          <w:color w:val="333333"/>
          <w:sz w:val="20"/>
        </w:rPr>
        <w:t>What is the exact policy status vocabulary (active, lapsed, suspended, terminated…)?</w:t>
      </w:r>
    </w:p>
    <w:p>
      <w:pPr>
        <w:spacing w:after="40"/>
        <w:ind w:left="312" w:hanging="198"/>
      </w:pPr>
      <w:r>
        <w:rPr>
          <w:rFonts w:ascii="Calibri" w:hAnsi="Calibri"/>
          <w:b/>
          <w:color w:val="2C5F8A"/>
          <w:sz w:val="20"/>
        </w:rPr>
        <w:t xml:space="preserve">3.  </w:t>
      </w:r>
      <w:r>
        <w:rPr>
          <w:rFonts w:ascii="Calibri" w:hAnsi="Calibri"/>
          <w:b w:val="0"/>
          <w:i w:val="0"/>
          <w:color w:val="333333"/>
          <w:sz w:val="20"/>
        </w:rPr>
        <w:t>What are the product codes for Micro-Quiétude and Micro Épargne Retraite?</w:t>
      </w:r>
    </w:p>
    <w:p>
      <w:pPr>
        <w:spacing w:after="40"/>
        <w:ind w:left="312" w:hanging="198"/>
      </w:pPr>
      <w:r>
        <w:rPr>
          <w:rFonts w:ascii="Calibri" w:hAnsi="Calibri"/>
          <w:b/>
          <w:color w:val="2C5F8A"/>
          <w:sz w:val="20"/>
        </w:rPr>
        <w:t xml:space="preserve">4.  </w:t>
      </w:r>
      <w:r>
        <w:rPr>
          <w:rFonts w:ascii="Calibri" w:hAnsi="Calibri"/>
          <w:b w:val="0"/>
          <w:i w:val="0"/>
          <w:color w:val="333333"/>
          <w:sz w:val="20"/>
        </w:rPr>
        <w:t>For a premium payment, which fields does SUNULIFE require to post a receipt correctly?</w:t>
      </w:r>
    </w:p>
    <w:p>
      <w:pPr>
        <w:spacing w:after="40"/>
        <w:ind w:left="312" w:hanging="198"/>
      </w:pPr>
      <w:r>
        <w:rPr>
          <w:rFonts w:ascii="Calibri" w:hAnsi="Calibri"/>
          <w:b/>
          <w:color w:val="2C5F8A"/>
          <w:sz w:val="20"/>
        </w:rPr>
        <w:t xml:space="preserve">5.  </w:t>
      </w:r>
      <w:r>
        <w:rPr>
          <w:rFonts w:ascii="Calibri" w:hAnsi="Calibri"/>
          <w:b w:val="0"/>
          <w:i w:val="0"/>
          <w:color w:val="333333"/>
          <w:sz w:val="20"/>
        </w:rPr>
        <w:t>Does SUNULIFE return a posting confirmation/receipt reference we can store?</w:t>
      </w:r>
    </w:p>
    <w:p>
      <w:pPr>
        <w:spacing w:after="40"/>
        <w:ind w:left="312" w:hanging="198"/>
      </w:pPr>
      <w:r>
        <w:rPr>
          <w:rFonts w:ascii="Calibri" w:hAnsi="Calibri"/>
          <w:b/>
          <w:color w:val="2C5F8A"/>
          <w:sz w:val="20"/>
        </w:rPr>
        <w:t xml:space="preserve">6.  </w:t>
      </w:r>
      <w:r>
        <w:rPr>
          <w:rFonts w:ascii="Calibri" w:hAnsi="Calibri"/>
          <w:b w:val="0"/>
          <w:i w:val="0"/>
          <w:color w:val="333333"/>
          <w:sz w:val="20"/>
        </w:rPr>
        <w:t>Approximate volumes: number of customers, number of active policies, expected daily collections?</w:t>
      </w:r>
    </w:p>
    <w:p>
      <w:r>
        <w:rPr>
          <w:rFonts w:ascii="Calibri" w:hAnsi="Calibri"/>
          <w:b/>
          <w:i w:val="0"/>
          <w:color w:val="333333"/>
          <w:sz w:val="20"/>
        </w:rPr>
        <w:t>Organisational</w:t>
      </w:r>
    </w:p>
    <w:p>
      <w:pPr>
        <w:spacing w:after="40"/>
        <w:ind w:left="312" w:hanging="198"/>
      </w:pPr>
      <w:r>
        <w:rPr>
          <w:rFonts w:ascii="Calibri" w:hAnsi="Calibri"/>
          <w:b/>
          <w:color w:val="2C5F8A"/>
          <w:sz w:val="20"/>
        </w:rPr>
        <w:t xml:space="preserve">1.  </w:t>
      </w:r>
      <w:r>
        <w:rPr>
          <w:rFonts w:ascii="Calibri" w:hAnsi="Calibri"/>
          <w:b w:val="0"/>
          <w:i w:val="0"/>
          <w:color w:val="333333"/>
          <w:sz w:val="20"/>
        </w:rPr>
        <w:t>Who is the SUNULIFE technical contact (editor or internal team)?</w:t>
      </w:r>
    </w:p>
    <w:p>
      <w:pPr>
        <w:spacing w:after="40"/>
        <w:ind w:left="312" w:hanging="198"/>
      </w:pPr>
      <w:r>
        <w:rPr>
          <w:rFonts w:ascii="Calibri" w:hAnsi="Calibri"/>
          <w:b/>
          <w:color w:val="2C5F8A"/>
          <w:sz w:val="20"/>
        </w:rPr>
        <w:t xml:space="preserve">2.  </w:t>
      </w:r>
      <w:r>
        <w:rPr>
          <w:rFonts w:ascii="Calibri" w:hAnsi="Calibri"/>
          <w:b w:val="0"/>
          <w:i w:val="0"/>
          <w:color w:val="333333"/>
          <w:sz w:val="20"/>
        </w:rPr>
        <w:t>Is a change request or contractual authorisation needed from the editor to open the API, and what is its lead time?</w:t>
      </w:r>
    </w:p>
    <w:p>
      <w:pPr>
        <w:spacing w:after="40"/>
        <w:ind w:left="312" w:hanging="198"/>
      </w:pPr>
      <w:r>
        <w:rPr>
          <w:rFonts w:ascii="Calibri" w:hAnsi="Calibri"/>
          <w:b/>
          <w:color w:val="2C5F8A"/>
          <w:sz w:val="20"/>
        </w:rPr>
        <w:t xml:space="preserve">3.  </w:t>
      </w:r>
      <w:r>
        <w:rPr>
          <w:rFonts w:ascii="Calibri" w:hAnsi="Calibri"/>
          <w:b w:val="0"/>
          <w:i w:val="0"/>
          <w:color w:val="333333"/>
          <w:sz w:val="20"/>
        </w:rPr>
        <w:t>Who validates the data mapping on SUNU's side?</w:t>
      </w:r>
    </w:p>
    <w:p>
      <w:r>
        <w:rPr>
          <w:rFonts w:ascii="Calibri" w:hAnsi="Calibri"/>
          <w:b/>
          <w:i w:val="0"/>
          <w:color w:val="333333"/>
          <w:sz w:val="20"/>
        </w:rPr>
        <w:t>If the answer to question 1 is "no API exists":</w:t>
      </w:r>
      <w:r>
        <w:rPr>
          <w:rFonts w:ascii="Calibri" w:hAnsi="Calibri"/>
          <w:b w:val="0"/>
          <w:i w:val="0"/>
          <w:color w:val="333333"/>
          <w:sz w:val="20"/>
        </w:rPr>
        <w:t xml:space="preserve"> the architecture falls back to a documented </w:t>
      </w:r>
      <w:r>
        <w:rPr>
          <w:rFonts w:ascii="Calibri" w:hAnsi="Calibri"/>
          <w:b/>
          <w:i w:val="0"/>
          <w:color w:val="333333"/>
          <w:sz w:val="20"/>
        </w:rPr>
        <w:t>file-based exchange</w:t>
      </w:r>
      <w:r>
        <w:rPr>
          <w:rFonts w:ascii="Calibri" w:hAnsi="Calibri"/>
          <w:b w:val="0"/>
          <w:i w:val="0"/>
          <w:color w:val="333333"/>
          <w:sz w:val="20"/>
        </w:rPr>
        <w:t xml:space="preserve"> — scheduled secure file drop (SFTP) of extracts in, and collection files out, in a format agreed with SUNU. This is fully supported and does not change any other part of the design; it only changes the adapter.</w:t>
      </w:r>
    </w:p>
    <w:p>
      <w:pPr>
        <w:pStyle w:val="Heading1"/>
        <w:pageBreakBefore/>
        <w:spacing w:before="360" w:after="80"/>
        <w:keepNext/>
        <w:pBdr>
          <w:bottom w:val="single" w:sz="8" w:space="6" w:color="1B3A5C"/>
        </w:pBdr>
      </w:pPr>
      <w:bookmarkStart w:id="136" w:name="_Toc_s035"/>
      <w:r>
        <w:rPr>
          <w:rFonts w:ascii="Calibri" w:hAnsi="Calibri"/>
          <w:b/>
          <w:color w:val="1B3A5C"/>
          <w:sz w:val="30"/>
        </w:rPr>
        <w:t>9. Mobile Money Architecture (e-mail §4)</w:t>
      </w:r>
      <w:bookmarkEnd w:id="136"/>
    </w:p>
    <w:p>
      <w:pPr>
        <w:pStyle w:val="Heading2"/>
        <w:spacing w:before="280" w:after="80"/>
        <w:keepNext/>
      </w:pPr>
      <w:bookmarkStart w:id="137" w:name="_Toc_s036"/>
      <w:r>
        <w:rPr>
          <w:rFonts w:ascii="Calibri" w:hAnsi="Calibri"/>
          <w:b/>
          <w:color w:val="1B3A5C"/>
          <w:sz w:val="24"/>
        </w:rPr>
        <w:t>9.1 Provider-agnostic design</w:t>
      </w:r>
      <w:bookmarkEnd w:id="137"/>
    </w:p>
    <w:p>
      <w:r>
        <w:rPr>
          <w:rFonts w:ascii="Calibri" w:hAnsi="Calibri"/>
          <w:b w:val="0"/>
          <w:i w:val="0"/>
          <w:color w:val="333333"/>
          <w:sz w:val="20"/>
        </w:rPr>
        <w:t>The solution does not hard-code a Mobile Money operator. A single internal interface is implemented by one adapter per provider:</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POS  ──►  BACK OFFICE  ──►  PaymentGateway (interface)</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 xml:space="preserve">              ▼                     ▼                     ▼</w:t>
        <w:br/>
      </w:r>
      <w:r>
        <w:rPr>
          <w:rFonts w:ascii="Consolas" w:hAnsi="Consolas" w:cs="Consolas"/>
          <w:color w:val="333333"/>
          <w:sz w:val="15"/>
        </w:rPr>
        <w:t xml:space="preserve">       OrangeMoneyAdapter    MoovMoneyAdapter     AggregatorAdapter</w:t>
        <w:br/>
      </w:r>
      <w:r>
        <w:rPr>
          <w:rFonts w:ascii="Consolas" w:hAnsi="Consolas" w:cs="Consolas"/>
          <w:color w:val="333333"/>
          <w:sz w:val="15"/>
        </w:rPr>
        <w:t xml:space="preserve">                                                  (one contract,</w:t>
        <w:br/>
      </w:r>
      <w:r>
        <w:rPr>
          <w:rFonts w:ascii="Consolas" w:hAnsi="Consolas" w:cs="Consolas"/>
          <w:color w:val="333333"/>
          <w:sz w:val="15"/>
        </w:rPr>
        <w:t xml:space="preserve">                                                   both operators)</w:t>
      </w:r>
    </w:p>
    <w:p>
      <w:r>
        <w:rPr>
          <w:rFonts w:ascii="Calibri" w:hAnsi="Calibri"/>
          <w:b w:val="0"/>
          <w:i w:val="0"/>
          <w:color w:val="333333"/>
          <w:sz w:val="20"/>
        </w:rPr>
        <w:t xml:space="preserve">Operations: </w:t>
      </w:r>
      <w:r>
        <w:rPr>
          <w:rFonts w:ascii="Consolas" w:hAnsi="Consolas"/>
          <w:b w:val="0"/>
          <w:i w:val="0"/>
          <w:color w:val="1B3A5C"/>
          <w:sz w:val="19"/>
        </w:rPr>
        <w:t>initiateCollection</w:t>
      </w:r>
      <w:r>
        <w:rPr>
          <w:rFonts w:ascii="Calibri" w:hAnsi="Calibri"/>
          <w:b w:val="0"/>
          <w:i w:val="0"/>
          <w:color w:val="333333"/>
          <w:sz w:val="20"/>
        </w:rPr>
        <w:t xml:space="preserve">, </w:t>
      </w:r>
      <w:r>
        <w:rPr>
          <w:rFonts w:ascii="Consolas" w:hAnsi="Consolas"/>
          <w:b w:val="0"/>
          <w:i w:val="0"/>
          <w:color w:val="1B3A5C"/>
          <w:sz w:val="19"/>
        </w:rPr>
        <w:t>checkStatus</w:t>
      </w:r>
      <w:r>
        <w:rPr>
          <w:rFonts w:ascii="Calibri" w:hAnsi="Calibri"/>
          <w:b w:val="0"/>
          <w:i w:val="0"/>
          <w:color w:val="333333"/>
          <w:sz w:val="20"/>
        </w:rPr>
        <w:t xml:space="preserve">, </w:t>
      </w:r>
      <w:r>
        <w:rPr>
          <w:rFonts w:ascii="Consolas" w:hAnsi="Consolas"/>
          <w:b w:val="0"/>
          <w:i w:val="0"/>
          <w:color w:val="1B3A5C"/>
          <w:sz w:val="19"/>
        </w:rPr>
        <w:t>handleCallback</w:t>
      </w:r>
      <w:r>
        <w:rPr>
          <w:rFonts w:ascii="Calibri" w:hAnsi="Calibri"/>
          <w:b w:val="0"/>
          <w:i w:val="0"/>
          <w:color w:val="333333"/>
          <w:sz w:val="20"/>
        </w:rPr>
        <w:t xml:space="preserve">, </w:t>
      </w:r>
      <w:r>
        <w:rPr>
          <w:rFonts w:ascii="Consolas" w:hAnsi="Consolas"/>
          <w:b w:val="0"/>
          <w:i w:val="0"/>
          <w:color w:val="1B3A5C"/>
          <w:sz w:val="19"/>
        </w:rPr>
        <w:t>reconcile</w:t>
      </w:r>
      <w:r>
        <w:rPr>
          <w:rFonts w:ascii="Calibri" w:hAnsi="Calibri"/>
          <w:b w:val="0"/>
          <w:i w:val="0"/>
          <w:color w:val="333333"/>
          <w:sz w:val="20"/>
        </w:rPr>
        <w:t xml:space="preserve">, </w:t>
      </w:r>
      <w:r>
        <w:rPr>
          <w:rFonts w:ascii="Consolas" w:hAnsi="Consolas"/>
          <w:b w:val="0"/>
          <w:i w:val="0"/>
          <w:color w:val="1B3A5C"/>
          <w:sz w:val="19"/>
        </w:rPr>
        <w:t>refund</w:t>
      </w:r>
      <w:r>
        <w:rPr>
          <w:rFonts w:ascii="Calibri" w:hAnsi="Calibri"/>
          <w:b w:val="0"/>
          <w:i w:val="0"/>
          <w:color w:val="333333"/>
          <w:sz w:val="20"/>
        </w:rPr>
        <w:t xml:space="preserve"> (where the provider supports it).</w:t>
      </w:r>
    </w:p>
    <w:p>
      <w:pPr>
        <w:pStyle w:val="Heading2"/>
        <w:spacing w:before="280" w:after="80"/>
        <w:keepNext/>
      </w:pPr>
      <w:bookmarkStart w:id="138" w:name="_Toc_s037"/>
      <w:r>
        <w:rPr>
          <w:rFonts w:ascii="Calibri" w:hAnsi="Calibri"/>
          <w:b/>
          <w:color w:val="1B3A5C"/>
          <w:sz w:val="24"/>
        </w:rPr>
        <w:t>9.2 Collection flow</w:t>
      </w:r>
      <w:bookmarkEnd w:id="138"/>
    </w:p>
    <w:p>
      <w:pPr>
        <w:spacing w:before="120" w:after="160" w:line="240" w:lineRule="auto"/>
        <w:ind w:left="113"/>
        <w:shd w:val="clear" w:fill="F4F5F2"/>
        <w:pBdr>
          <w:left w:val="single" w:sz="12" w:space="6" w:color="1B3A5C"/>
        </w:pBdr>
      </w:pPr>
      <w:r>
        <w:rPr>
          <w:rFonts w:ascii="Consolas" w:hAnsi="Consolas" w:cs="Consolas"/>
          <w:color w:val="333333"/>
          <w:sz w:val="15"/>
        </w:rPr>
        <w:t>Collector selects "Mobile Money" → enters the insured's MSISDN</w:t>
        <w:br/>
      </w:r>
      <w:r>
        <w:rPr>
          <w:rFonts w:ascii="Consolas" w:hAnsi="Consolas" w:cs="Consolas"/>
          <w:color w:val="333333"/>
          <w:sz w:val="15"/>
        </w:rPr>
        <w:t xml:space="preserve">   │</w:t>
        <w:br/>
      </w:r>
      <w:r>
        <w:rPr>
          <w:rFonts w:ascii="Consolas" w:hAnsi="Consolas" w:cs="Consolas"/>
          <w:color w:val="333333"/>
          <w:sz w:val="15"/>
        </w:rPr>
        <w:t xml:space="preserve">   ├─► back office creates momo_payment (status: initiated) + idempotency key</w:t>
        <w:br/>
      </w:r>
      <w:r>
        <w:rPr>
          <w:rFonts w:ascii="Consolas" w:hAnsi="Consolas" w:cs="Consolas"/>
          <w:color w:val="333333"/>
          <w:sz w:val="15"/>
        </w:rPr>
        <w:t xml:space="preserve">   ├─► adapter calls the provider's collection API</w:t>
        <w:br/>
      </w:r>
      <w:r>
        <w:rPr>
          <w:rFonts w:ascii="Consolas" w:hAnsi="Consolas" w:cs="Consolas"/>
          <w:color w:val="333333"/>
          <w:sz w:val="15"/>
        </w:rPr>
        <w:t xml:space="preserve">   │</w:t>
        <w:br/>
      </w:r>
      <w:r>
        <w:rPr>
          <w:rFonts w:ascii="Consolas" w:hAnsi="Consolas" w:cs="Consolas"/>
          <w:color w:val="333333"/>
          <w:sz w:val="15"/>
        </w:rPr>
        <w:t xml:space="preserve">   ├─► insured receives a USSD/push prompt and enters the PIN on his/her own phone</w:t>
        <w:br/>
      </w:r>
      <w:r>
        <w:rPr>
          <w:rFonts w:ascii="Consolas" w:hAnsi="Consolas" w:cs="Consolas"/>
          <w:color w:val="333333"/>
          <w:sz w:val="15"/>
        </w:rPr>
        <w:t xml:space="preserve">   │</w:t>
        <w:br/>
      </w:r>
      <w:r>
        <w:rPr>
          <w:rFonts w:ascii="Consolas" w:hAnsi="Consolas" w:cs="Consolas"/>
          <w:color w:val="333333"/>
          <w:sz w:val="15"/>
        </w:rPr>
        <w:t xml:space="preserve">   ├─► provider callback  ──►  back office (signature verified, source IP checked)</w:t>
        <w:br/>
      </w:r>
      <w:r>
        <w:rPr>
          <w:rFonts w:ascii="Consolas" w:hAnsi="Consolas" w:cs="Consolas"/>
          <w:color w:val="333333"/>
          <w:sz w:val="15"/>
        </w:rPr>
        <w:t xml:space="preserve">   │       OR  status polling if no callback is available</w:t>
        <w:br/>
      </w:r>
      <w:r>
        <w:rPr>
          <w:rFonts w:ascii="Consolas" w:hAnsi="Consolas" w:cs="Consolas"/>
          <w:color w:val="333333"/>
          <w:sz w:val="15"/>
        </w:rPr>
        <w:t xml:space="preserve">   │</w:t>
        <w:br/>
      </w:r>
      <w:r>
        <w:rPr>
          <w:rFonts w:ascii="Consolas" w:hAnsi="Consolas" w:cs="Consolas"/>
          <w:color w:val="333333"/>
          <w:sz w:val="15"/>
        </w:rPr>
        <w:t xml:space="preserve">   ├─ SUCCESS → premium_collection + transaction created, receipt printed,</w:t>
        <w:br/>
      </w:r>
      <w:r>
        <w:rPr>
          <w:rFonts w:ascii="Consolas" w:hAnsi="Consolas" w:cs="Consolas"/>
          <w:color w:val="333333"/>
          <w:sz w:val="15"/>
        </w:rPr>
        <w:t xml:space="preserve">   │            collector balance NOT increased (money went to SUNU, not to the collector)</w:t>
        <w:br/>
      </w:r>
      <w:r>
        <w:rPr>
          <w:rFonts w:ascii="Consolas" w:hAnsi="Consolas" w:cs="Consolas"/>
          <w:color w:val="333333"/>
          <w:sz w:val="15"/>
        </w:rPr>
        <w:t xml:space="preserve">   ├─ FAILED  → nothing financial recorded, collector may retry or take cash</w:t>
        <w:br/>
      </w:r>
      <w:r>
        <w:rPr>
          <w:rFonts w:ascii="Consolas" w:hAnsi="Consolas" w:cs="Consolas"/>
          <w:color w:val="333333"/>
          <w:sz w:val="15"/>
        </w:rPr>
        <w:t xml:space="preserve">   └─ TIMEOUT → payment left "pending", resolved by the reconciliation job;</w:t>
        <w:br/>
      </w:r>
      <w:r>
        <w:rPr>
          <w:rFonts w:ascii="Consolas" w:hAnsi="Consolas" w:cs="Consolas"/>
          <w:color w:val="333333"/>
          <w:sz w:val="15"/>
        </w:rPr>
        <w:t xml:space="preserve">                the receipt is printed only after confirmation</w:t>
      </w:r>
    </w:p>
    <w:p>
      <w:r>
        <w:rPr>
          <w:rFonts w:ascii="Calibri" w:hAnsi="Calibri"/>
          <w:b/>
          <w:i w:val="0"/>
          <w:color w:val="333333"/>
          <w:sz w:val="20"/>
        </w:rPr>
        <w:t>Design point that matters operationally:</w:t>
      </w:r>
      <w:r>
        <w:rPr>
          <w:rFonts w:ascii="Calibri" w:hAnsi="Calibri"/>
          <w:b w:val="0"/>
          <w:i w:val="0"/>
          <w:color w:val="333333"/>
          <w:sz w:val="20"/>
        </w:rPr>
        <w:t xml:space="preserve"> a Mobile Money premium does </w:t>
      </w:r>
      <w:r>
        <w:rPr>
          <w:rFonts w:ascii="Calibri" w:hAnsi="Calibri"/>
          <w:b/>
          <w:i w:val="0"/>
          <w:color w:val="333333"/>
          <w:sz w:val="20"/>
        </w:rPr>
        <w:t>not</w:t>
      </w:r>
      <w:r>
        <w:rPr>
          <w:rFonts w:ascii="Calibri" w:hAnsi="Calibri"/>
          <w:b w:val="0"/>
          <w:i w:val="0"/>
          <w:color w:val="333333"/>
          <w:sz w:val="20"/>
        </w:rPr>
        <w:t xml:space="preserve"> increase the collector's uncollected balance, because the collector never holds that cash. Only cash collections consume the cap. This makes Mobile Money the natural relief valve when a collector approaches the cap far from a bank — a direct operational benefit to SUNU.</w:t>
      </w:r>
    </w:p>
    <w:p>
      <w:pPr>
        <w:pStyle w:val="Heading2"/>
        <w:spacing w:before="280" w:after="80"/>
        <w:keepNext/>
      </w:pPr>
      <w:bookmarkStart w:id="139" w:name="_Toc_s038"/>
      <w:r>
        <w:rPr>
          <w:rFonts w:ascii="Calibri" w:hAnsi="Calibri"/>
          <w:b/>
          <w:color w:val="1B3A5C"/>
          <w:sz w:val="24"/>
        </w:rPr>
        <w:t>9.3 Direct versus aggregator</w:t>
      </w:r>
      <w:bookmarkEnd w:id="13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Criterion</w:t>
            </w:r>
          </w:p>
        </w:tc>
        <w:tc>
          <w:tcPr>
            <w:tcW w:type="dxa" w:w="3249"/>
            <w:shd w:val="clear" w:fill="1B3A5C"/>
          </w:tcPr>
          <w:p>
            <w:pPr>
              <w:spacing w:before="60" w:after="60"/>
            </w:pPr>
            <w:r>
              <w:rPr>
                <w:rFonts w:ascii="Calibri" w:hAnsi="Calibri"/>
                <w:b/>
                <w:color w:val="FFFFFF"/>
                <w:sz w:val="17"/>
              </w:rPr>
              <w:t>Direct (Orange Money + Moov Money)</w:t>
            </w:r>
          </w:p>
        </w:tc>
        <w:tc>
          <w:tcPr>
            <w:tcW w:type="dxa" w:w="3249"/>
            <w:shd w:val="clear" w:fill="1B3A5C"/>
          </w:tcPr>
          <w:p>
            <w:pPr>
              <w:spacing w:before="60" w:after="60"/>
            </w:pPr>
            <w:r>
              <w:rPr>
                <w:rFonts w:ascii="Calibri" w:hAnsi="Calibri"/>
                <w:b/>
                <w:color w:val="FFFFFF"/>
                <w:sz w:val="17"/>
              </w:rPr>
              <w:t>Aggregator</w:t>
            </w:r>
          </w:p>
        </w:tc>
      </w:tr>
      <w:tr>
        <w:tc>
          <w:tcPr>
            <w:tcW w:type="dxa" w:w="3249"/>
          </w:tcPr>
          <w:p>
            <w:pPr>
              <w:spacing w:before="40" w:after="40"/>
            </w:pPr>
            <w:r>
              <w:rPr>
                <w:rFonts w:ascii="Calibri" w:hAnsi="Calibri"/>
                <w:b w:val="0"/>
                <w:i w:val="0"/>
                <w:color w:val="333333"/>
                <w:sz w:val="17"/>
              </w:rPr>
              <w:t>Integrations to build</w:t>
            </w:r>
          </w:p>
        </w:tc>
        <w:tc>
          <w:tcPr>
            <w:tcW w:type="dxa" w:w="3249"/>
          </w:tcPr>
          <w:p>
            <w:pPr>
              <w:spacing w:before="40" w:after="40"/>
            </w:pPr>
            <w:r>
              <w:rPr>
                <w:rFonts w:ascii="Calibri" w:hAnsi="Calibri"/>
                <w:b w:val="0"/>
                <w:i w:val="0"/>
                <w:color w:val="333333"/>
                <w:sz w:val="17"/>
              </w:rPr>
              <w:t>2</w:t>
            </w:r>
          </w:p>
        </w:tc>
        <w:tc>
          <w:tcPr>
            <w:tcW w:type="dxa" w:w="3249"/>
          </w:tcPr>
          <w:p>
            <w:pPr>
              <w:spacing w:before="40" w:after="40"/>
            </w:pPr>
            <w:r>
              <w:rPr>
                <w:rFonts w:ascii="Calibri" w:hAnsi="Calibri"/>
                <w:b w:val="0"/>
                <w:i w:val="0"/>
                <w:color w:val="333333"/>
                <w:sz w:val="17"/>
              </w:rPr>
              <w:t>1</w:t>
            </w:r>
          </w:p>
        </w:tc>
      </w:tr>
      <w:tr>
        <w:tc>
          <w:tcPr>
            <w:tcW w:type="dxa" w:w="3249"/>
            <w:shd w:val="clear" w:fill="F2F6FA"/>
          </w:tcPr>
          <w:p>
            <w:pPr>
              <w:spacing w:before="40" w:after="40"/>
            </w:pPr>
            <w:r>
              <w:rPr>
                <w:rFonts w:ascii="Calibri" w:hAnsi="Calibri"/>
                <w:b w:val="0"/>
                <w:i w:val="0"/>
                <w:color w:val="333333"/>
                <w:sz w:val="17"/>
              </w:rPr>
              <w:t>Commercial contracts</w:t>
            </w:r>
          </w:p>
        </w:tc>
        <w:tc>
          <w:tcPr>
            <w:tcW w:type="dxa" w:w="3249"/>
            <w:shd w:val="clear" w:fill="F2F6FA"/>
          </w:tcPr>
          <w:p>
            <w:pPr>
              <w:spacing w:before="40" w:after="40"/>
            </w:pPr>
            <w:r>
              <w:rPr>
                <w:rFonts w:ascii="Calibri" w:hAnsi="Calibri"/>
                <w:b w:val="0"/>
                <w:i w:val="0"/>
                <w:color w:val="333333"/>
                <w:sz w:val="17"/>
              </w:rPr>
              <w:t>2, each with its own onboarding lead time</w:t>
            </w:r>
          </w:p>
        </w:tc>
        <w:tc>
          <w:tcPr>
            <w:tcW w:type="dxa" w:w="3249"/>
            <w:shd w:val="clear" w:fill="F2F6FA"/>
          </w:tcPr>
          <w:p>
            <w:pPr>
              <w:spacing w:before="40" w:after="40"/>
            </w:pPr>
            <w:r>
              <w:rPr>
                <w:rFonts w:ascii="Calibri" w:hAnsi="Calibri"/>
                <w:b w:val="0"/>
                <w:i w:val="0"/>
                <w:color w:val="333333"/>
                <w:sz w:val="17"/>
              </w:rPr>
              <w:t>1</w:t>
            </w:r>
          </w:p>
        </w:tc>
      </w:tr>
      <w:tr>
        <w:tc>
          <w:tcPr>
            <w:tcW w:type="dxa" w:w="3249"/>
          </w:tcPr>
          <w:p>
            <w:pPr>
              <w:spacing w:before="40" w:after="40"/>
            </w:pPr>
            <w:r>
              <w:rPr>
                <w:rFonts w:ascii="Calibri" w:hAnsi="Calibri"/>
                <w:b w:val="0"/>
                <w:i w:val="0"/>
                <w:color w:val="333333"/>
                <w:sz w:val="17"/>
              </w:rPr>
              <w:t>Per-transaction cost</w:t>
            </w:r>
          </w:p>
        </w:tc>
        <w:tc>
          <w:tcPr>
            <w:tcW w:type="dxa" w:w="3249"/>
          </w:tcPr>
          <w:p>
            <w:pPr>
              <w:spacing w:before="40" w:after="40"/>
            </w:pPr>
            <w:r>
              <w:rPr>
                <w:rFonts w:ascii="Calibri" w:hAnsi="Calibri"/>
                <w:b w:val="0"/>
                <w:i w:val="0"/>
                <w:color w:val="333333"/>
                <w:sz w:val="17"/>
              </w:rPr>
              <w:t>Operator rate only</w:t>
            </w:r>
          </w:p>
        </w:tc>
        <w:tc>
          <w:tcPr>
            <w:tcW w:type="dxa" w:w="3249"/>
          </w:tcPr>
          <w:p>
            <w:pPr>
              <w:spacing w:before="40" w:after="40"/>
            </w:pPr>
            <w:r>
              <w:rPr>
                <w:rFonts w:ascii="Calibri" w:hAnsi="Calibri"/>
                <w:b w:val="0"/>
                <w:i w:val="0"/>
                <w:color w:val="333333"/>
                <w:sz w:val="17"/>
              </w:rPr>
              <w:t>Operator rate + aggregator margin</w:t>
            </w:r>
          </w:p>
        </w:tc>
      </w:tr>
      <w:tr>
        <w:tc>
          <w:tcPr>
            <w:tcW w:type="dxa" w:w="3249"/>
            <w:shd w:val="clear" w:fill="F2F6FA"/>
          </w:tcPr>
          <w:p>
            <w:pPr>
              <w:spacing w:before="40" w:after="40"/>
            </w:pPr>
            <w:r>
              <w:rPr>
                <w:rFonts w:ascii="Calibri" w:hAnsi="Calibri"/>
                <w:b w:val="0"/>
                <w:i w:val="0"/>
                <w:color w:val="333333"/>
                <w:sz w:val="17"/>
              </w:rPr>
              <w:t>Settlement</w:t>
            </w:r>
          </w:p>
        </w:tc>
        <w:tc>
          <w:tcPr>
            <w:tcW w:type="dxa" w:w="3249"/>
            <w:shd w:val="clear" w:fill="F2F6FA"/>
          </w:tcPr>
          <w:p>
            <w:pPr>
              <w:spacing w:before="40" w:after="40"/>
            </w:pPr>
            <w:r>
              <w:rPr>
                <w:rFonts w:ascii="Calibri" w:hAnsi="Calibri"/>
                <w:b w:val="0"/>
                <w:i w:val="0"/>
                <w:color w:val="333333"/>
                <w:sz w:val="17"/>
              </w:rPr>
              <w:t>Directly into SUNU's operator wallets/accounts</w:t>
            </w:r>
          </w:p>
        </w:tc>
        <w:tc>
          <w:tcPr>
            <w:tcW w:type="dxa" w:w="3249"/>
            <w:shd w:val="clear" w:fill="F2F6FA"/>
          </w:tcPr>
          <w:p>
            <w:pPr>
              <w:spacing w:before="40" w:after="40"/>
            </w:pPr>
            <w:r>
              <w:rPr>
                <w:rFonts w:ascii="Calibri" w:hAnsi="Calibri"/>
                <w:b w:val="0"/>
                <w:i w:val="0"/>
                <w:color w:val="333333"/>
                <w:sz w:val="17"/>
              </w:rPr>
              <w:t>Through the aggregator, one settlement stream</w:t>
            </w:r>
          </w:p>
        </w:tc>
      </w:tr>
      <w:tr>
        <w:tc>
          <w:tcPr>
            <w:tcW w:type="dxa" w:w="3249"/>
          </w:tcPr>
          <w:p>
            <w:pPr>
              <w:spacing w:before="40" w:after="40"/>
            </w:pPr>
            <w:r>
              <w:rPr>
                <w:rFonts w:ascii="Calibri" w:hAnsi="Calibri"/>
                <w:b w:val="0"/>
                <w:i w:val="0"/>
                <w:color w:val="333333"/>
                <w:sz w:val="17"/>
              </w:rPr>
              <w:t>Time to first transaction</w:t>
            </w:r>
          </w:p>
        </w:tc>
        <w:tc>
          <w:tcPr>
            <w:tcW w:type="dxa" w:w="3249"/>
          </w:tcPr>
          <w:p>
            <w:pPr>
              <w:spacing w:before="40" w:after="40"/>
            </w:pPr>
            <w:r>
              <w:rPr>
                <w:rFonts w:ascii="Calibri" w:hAnsi="Calibri"/>
                <w:b w:val="0"/>
                <w:i w:val="0"/>
                <w:color w:val="333333"/>
                <w:sz w:val="17"/>
              </w:rPr>
              <w:t>Longer — operator onboarding is the constraint</w:t>
            </w:r>
          </w:p>
        </w:tc>
        <w:tc>
          <w:tcPr>
            <w:tcW w:type="dxa" w:w="3249"/>
          </w:tcPr>
          <w:p>
            <w:pPr>
              <w:spacing w:before="40" w:after="40"/>
            </w:pPr>
            <w:r>
              <w:rPr>
                <w:rFonts w:ascii="Calibri" w:hAnsi="Calibri"/>
                <w:b w:val="0"/>
                <w:i w:val="0"/>
                <w:color w:val="333333"/>
                <w:sz w:val="17"/>
              </w:rPr>
              <w:t>Shorter</w:t>
            </w:r>
          </w:p>
        </w:tc>
      </w:tr>
      <w:tr>
        <w:tc>
          <w:tcPr>
            <w:tcW w:type="dxa" w:w="3249"/>
            <w:shd w:val="clear" w:fill="F2F6FA"/>
          </w:tcPr>
          <w:p>
            <w:pPr>
              <w:spacing w:before="40" w:after="40"/>
            </w:pPr>
            <w:r>
              <w:rPr>
                <w:rFonts w:ascii="Calibri" w:hAnsi="Calibri"/>
                <w:b w:val="0"/>
                <w:i w:val="0"/>
                <w:color w:val="333333"/>
                <w:sz w:val="17"/>
              </w:rPr>
              <w:t>Coverage of both operators</w:t>
            </w:r>
          </w:p>
        </w:tc>
        <w:tc>
          <w:tcPr>
            <w:tcW w:type="dxa" w:w="3249"/>
            <w:shd w:val="clear" w:fill="F2F6FA"/>
          </w:tcPr>
          <w:p>
            <w:pPr>
              <w:spacing w:before="40" w:after="40"/>
            </w:pPr>
            <w:r>
              <w:rPr>
                <w:rFonts w:ascii="Calibri" w:hAnsi="Calibri"/>
                <w:b w:val="0"/>
                <w:i w:val="0"/>
                <w:color w:val="333333"/>
                <w:sz w:val="17"/>
              </w:rPr>
              <w:t>Yes</w:t>
            </w:r>
          </w:p>
        </w:tc>
        <w:tc>
          <w:tcPr>
            <w:tcW w:type="dxa" w:w="3249"/>
            <w:shd w:val="clear" w:fill="F2F6FA"/>
          </w:tcPr>
          <w:p>
            <w:pPr>
              <w:spacing w:before="40" w:after="40"/>
            </w:pPr>
            <w:r>
              <w:rPr>
                <w:rFonts w:ascii="Calibri" w:hAnsi="Calibri"/>
                <w:b w:val="0"/>
                <w:i w:val="0"/>
                <w:color w:val="333333"/>
                <w:sz w:val="17"/>
              </w:rPr>
              <w:t>Yes</w:t>
            </w:r>
          </w:p>
        </w:tc>
      </w:tr>
      <w:tr>
        <w:tc>
          <w:tcPr>
            <w:tcW w:type="dxa" w:w="3249"/>
          </w:tcPr>
          <w:p>
            <w:pPr>
              <w:spacing w:before="40" w:after="40"/>
            </w:pPr>
            <w:r>
              <w:rPr>
                <w:rFonts w:ascii="Calibri" w:hAnsi="Calibri"/>
                <w:b w:val="0"/>
                <w:i w:val="0"/>
                <w:color w:val="333333"/>
                <w:sz w:val="17"/>
              </w:rPr>
              <w:t>Dependency risk</w:t>
            </w:r>
          </w:p>
        </w:tc>
        <w:tc>
          <w:tcPr>
            <w:tcW w:type="dxa" w:w="3249"/>
          </w:tcPr>
          <w:p>
            <w:pPr>
              <w:spacing w:before="40" w:after="40"/>
            </w:pPr>
            <w:r>
              <w:rPr>
                <w:rFonts w:ascii="Calibri" w:hAnsi="Calibri"/>
                <w:b w:val="0"/>
                <w:i w:val="0"/>
                <w:color w:val="333333"/>
                <w:sz w:val="17"/>
              </w:rPr>
              <w:t>Spread</w:t>
            </w:r>
          </w:p>
        </w:tc>
        <w:tc>
          <w:tcPr>
            <w:tcW w:type="dxa" w:w="3249"/>
          </w:tcPr>
          <w:p>
            <w:pPr>
              <w:spacing w:before="40" w:after="40"/>
            </w:pPr>
            <w:r>
              <w:rPr>
                <w:rFonts w:ascii="Calibri" w:hAnsi="Calibri"/>
                <w:b w:val="0"/>
                <w:i w:val="0"/>
                <w:color w:val="333333"/>
                <w:sz w:val="17"/>
              </w:rPr>
              <w:t>Concentrated on the aggregator</w:t>
            </w:r>
          </w:p>
        </w:tc>
      </w:tr>
    </w:tbl>
    <w:p>
      <w:pPr>
        <w:spacing w:after="40"/>
      </w:pPr>
    </w:p>
    <w:p>
      <w:r>
        <w:rPr>
          <w:rFonts w:ascii="Calibri" w:hAnsi="Calibri"/>
          <w:b/>
          <w:i w:val="0"/>
          <w:color w:val="333333"/>
          <w:sz w:val="20"/>
        </w:rPr>
        <w:t>Recommendation given the timetable:</w:t>
      </w:r>
      <w:r>
        <w:rPr>
          <w:rFonts w:ascii="Calibri" w:hAnsi="Calibri"/>
          <w:b w:val="0"/>
          <w:i w:val="0"/>
          <w:color w:val="333333"/>
          <w:sz w:val="20"/>
        </w:rPr>
        <w:t xml:space="preserve"> start with an aggregator to secure the November production launch, keeping the adapter interface so that migrating to direct operator integrations later is an adapter swap and a settlement change, not a redesign. SUNU chooses; the architecture supports either, and both, simultaneously.</w:t>
      </w:r>
    </w:p>
    <w:p>
      <w:r>
        <w:rPr>
          <w:rFonts w:ascii="Calibri" w:hAnsi="Calibri"/>
          <w:b/>
          <w:i w:val="0"/>
          <w:color w:val="333333"/>
          <w:sz w:val="20"/>
        </w:rPr>
        <w:t>Decision needed from SUNU (OP-4):</w:t>
      </w:r>
      <w:r>
        <w:rPr>
          <w:rFonts w:ascii="Calibri" w:hAnsi="Calibri"/>
          <w:b w:val="0"/>
          <w:i w:val="0"/>
          <w:color w:val="333333"/>
          <w:sz w:val="20"/>
        </w:rPr>
        <w:t xml:space="preserve"> which route, and which entity holds the merchant account. Onboarding lead time with the operators is the single largest external risk to the November date — see Document 4, risk register.</w:t>
      </w:r>
    </w:p>
    <w:p>
      <w:pPr>
        <w:pStyle w:val="Heading2"/>
        <w:spacing w:before="280" w:after="80"/>
        <w:keepNext/>
      </w:pPr>
      <w:bookmarkStart w:id="140" w:name="_Toc_s039"/>
      <w:r>
        <w:rPr>
          <w:rFonts w:ascii="Calibri" w:hAnsi="Calibri"/>
          <w:b/>
          <w:color w:val="1B3A5C"/>
          <w:sz w:val="24"/>
        </w:rPr>
        <w:t>9.4 Reconciliation</w:t>
      </w:r>
      <w:bookmarkEnd w:id="140"/>
    </w:p>
    <w:p>
      <w:r>
        <w:rPr>
          <w:rFonts w:ascii="Calibri" w:hAnsi="Calibri"/>
          <w:b w:val="0"/>
          <w:i w:val="0"/>
          <w:color w:val="333333"/>
          <w:sz w:val="20"/>
        </w:rPr>
        <w:t>A daily job compares, per provider: transactions recorded by the platform, the provider's settlement report, and the amounts credited to SUNU's account. Discrepancies are raised in an exception queue with an ageing indicator. No Mobile Money collection is considered final until it appears in the provider's settlement file.</w:t>
      </w:r>
    </w:p>
    <w:p>
      <w:pPr>
        <w:pStyle w:val="Heading1"/>
        <w:pageBreakBefore/>
        <w:spacing w:before="360" w:after="80"/>
        <w:keepNext/>
        <w:pBdr>
          <w:bottom w:val="single" w:sz="8" w:space="6" w:color="1B3A5C"/>
        </w:pBdr>
      </w:pPr>
      <w:bookmarkStart w:id="141" w:name="_Toc_s040"/>
      <w:r>
        <w:rPr>
          <w:rFonts w:ascii="Calibri" w:hAnsi="Calibri"/>
          <w:b/>
          <w:color w:val="1B3A5C"/>
          <w:sz w:val="30"/>
        </w:rPr>
        <w:t>10. Deployment and Infrastructure Architecture</w:t>
      </w:r>
      <w:bookmarkEnd w:id="141"/>
    </w:p>
    <w:p>
      <w:pPr>
        <w:pStyle w:val="Heading2"/>
        <w:spacing w:before="280" w:after="80"/>
        <w:keepNext/>
      </w:pPr>
      <w:bookmarkStart w:id="142" w:name="_Toc_s041"/>
      <w:r>
        <w:rPr>
          <w:rFonts w:ascii="Calibri" w:hAnsi="Calibri"/>
          <w:b/>
          <w:color w:val="1B3A5C"/>
          <w:sz w:val="24"/>
        </w:rPr>
        <w:t>10.1 Environments</w:t>
      </w:r>
      <w:bookmarkEnd w:id="14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Environment</w:t>
            </w:r>
          </w:p>
        </w:tc>
        <w:tc>
          <w:tcPr>
            <w:tcW w:type="dxa" w:w="2436"/>
            <w:shd w:val="clear" w:fill="1B3A5C"/>
          </w:tcPr>
          <w:p>
            <w:pPr>
              <w:spacing w:before="60" w:after="60"/>
            </w:pPr>
            <w:r>
              <w:rPr>
                <w:rFonts w:ascii="Calibri" w:hAnsi="Calibri"/>
                <w:b/>
                <w:color w:val="FFFFFF"/>
                <w:sz w:val="17"/>
              </w:rPr>
              <w:t>Purpose</w:t>
            </w:r>
          </w:p>
        </w:tc>
        <w:tc>
          <w:tcPr>
            <w:tcW w:type="dxa" w:w="2436"/>
            <w:shd w:val="clear" w:fill="1B3A5C"/>
          </w:tcPr>
          <w:p>
            <w:pPr>
              <w:spacing w:before="60" w:after="60"/>
            </w:pPr>
            <w:r>
              <w:rPr>
                <w:rFonts w:ascii="Calibri" w:hAnsi="Calibri"/>
                <w:b/>
                <w:color w:val="FFFFFF"/>
                <w:sz w:val="17"/>
              </w:rPr>
              <w:t>Data</w:t>
            </w:r>
          </w:p>
        </w:tc>
        <w:tc>
          <w:tcPr>
            <w:tcW w:type="dxa" w:w="2436"/>
            <w:shd w:val="clear" w:fill="1B3A5C"/>
          </w:tcPr>
          <w:p>
            <w:pPr>
              <w:spacing w:before="60" w:after="60"/>
            </w:pPr>
            <w:r>
              <w:rPr>
                <w:rFonts w:ascii="Calibri" w:hAnsi="Calibri"/>
                <w:b/>
                <w:color w:val="FFFFFF"/>
                <w:sz w:val="17"/>
              </w:rPr>
              <w:t>Access</w:t>
            </w:r>
          </w:p>
        </w:tc>
      </w:tr>
      <w:tr>
        <w:tc>
          <w:tcPr>
            <w:tcW w:type="dxa" w:w="2436"/>
          </w:tcPr>
          <w:p>
            <w:pPr>
              <w:spacing w:before="40" w:after="40"/>
            </w:pPr>
            <w:r>
              <w:rPr>
                <w:rFonts w:ascii="Calibri" w:hAnsi="Calibri"/>
                <w:b/>
                <w:i w:val="0"/>
                <w:color w:val="333333"/>
                <w:sz w:val="17"/>
              </w:rPr>
              <w:t>Development</w:t>
            </w:r>
          </w:p>
        </w:tc>
        <w:tc>
          <w:tcPr>
            <w:tcW w:type="dxa" w:w="2436"/>
          </w:tcPr>
          <w:p>
            <w:pPr>
              <w:spacing w:before="40" w:after="40"/>
            </w:pPr>
            <w:r>
              <w:rPr>
                <w:rFonts w:ascii="Calibri" w:hAnsi="Calibri"/>
                <w:b w:val="0"/>
                <w:i w:val="0"/>
                <w:color w:val="333333"/>
                <w:sz w:val="17"/>
              </w:rPr>
              <w:t>Build</w:t>
            </w:r>
          </w:p>
        </w:tc>
        <w:tc>
          <w:tcPr>
            <w:tcW w:type="dxa" w:w="2436"/>
          </w:tcPr>
          <w:p>
            <w:pPr>
              <w:spacing w:before="40" w:after="40"/>
            </w:pPr>
            <w:r>
              <w:rPr>
                <w:rFonts w:ascii="Calibri" w:hAnsi="Calibri"/>
                <w:b w:val="0"/>
                <w:i w:val="0"/>
                <w:color w:val="333333"/>
                <w:sz w:val="17"/>
              </w:rPr>
              <w:t>Synthetic</w:t>
            </w:r>
          </w:p>
        </w:tc>
        <w:tc>
          <w:tcPr>
            <w:tcW w:type="dxa" w:w="2436"/>
          </w:tcPr>
          <w:p>
            <w:pPr>
              <w:spacing w:before="40" w:after="40"/>
            </w:pPr>
            <w:r>
              <w:rPr>
                <w:rFonts w:ascii="Calibri" w:hAnsi="Calibri"/>
                <w:b w:val="0"/>
                <w:i w:val="0"/>
                <w:color w:val="333333"/>
                <w:sz w:val="17"/>
              </w:rPr>
              <w:t>Delivery team</w:t>
            </w:r>
          </w:p>
        </w:tc>
      </w:tr>
      <w:tr>
        <w:tc>
          <w:tcPr>
            <w:tcW w:type="dxa" w:w="2436"/>
            <w:shd w:val="clear" w:fill="F2F6FA"/>
          </w:tcPr>
          <w:p>
            <w:pPr>
              <w:spacing w:before="40" w:after="40"/>
            </w:pPr>
            <w:r>
              <w:rPr>
                <w:rFonts w:ascii="Calibri" w:hAnsi="Calibri"/>
                <w:b/>
                <w:i w:val="0"/>
                <w:color w:val="333333"/>
                <w:sz w:val="17"/>
              </w:rPr>
              <w:t>UAT / Recette</w:t>
            </w:r>
          </w:p>
        </w:tc>
        <w:tc>
          <w:tcPr>
            <w:tcW w:type="dxa" w:w="2436"/>
            <w:shd w:val="clear" w:fill="F2F6FA"/>
          </w:tcPr>
          <w:p>
            <w:pPr>
              <w:spacing w:before="40" w:after="40"/>
            </w:pPr>
            <w:r>
              <w:rPr>
                <w:rFonts w:ascii="Calibri" w:hAnsi="Calibri"/>
                <w:b w:val="0"/>
                <w:i w:val="0"/>
                <w:color w:val="333333"/>
                <w:sz w:val="17"/>
              </w:rPr>
              <w:t>SUNU acceptance testing, training</w:t>
            </w:r>
          </w:p>
        </w:tc>
        <w:tc>
          <w:tcPr>
            <w:tcW w:type="dxa" w:w="2436"/>
            <w:shd w:val="clear" w:fill="F2F6FA"/>
          </w:tcPr>
          <w:p>
            <w:pPr>
              <w:spacing w:before="40" w:after="40"/>
            </w:pPr>
            <w:r>
              <w:rPr>
                <w:rFonts w:ascii="Calibri" w:hAnsi="Calibri"/>
                <w:b w:val="0"/>
                <w:i w:val="0"/>
                <w:color w:val="333333"/>
                <w:sz w:val="17"/>
              </w:rPr>
              <w:t>Anonymised or synthetic</w:t>
            </w:r>
          </w:p>
        </w:tc>
        <w:tc>
          <w:tcPr>
            <w:tcW w:type="dxa" w:w="2436"/>
            <w:shd w:val="clear" w:fill="F2F6FA"/>
          </w:tcPr>
          <w:p>
            <w:pPr>
              <w:spacing w:before="40" w:after="40"/>
            </w:pPr>
            <w:r>
              <w:rPr>
                <w:rFonts w:ascii="Calibri" w:hAnsi="Calibri"/>
                <w:b w:val="0"/>
                <w:i w:val="0"/>
                <w:color w:val="333333"/>
                <w:sz w:val="17"/>
              </w:rPr>
              <w:t>SUNU testers, trainers, delivery team</w:t>
            </w:r>
          </w:p>
        </w:tc>
      </w:tr>
      <w:tr>
        <w:tc>
          <w:tcPr>
            <w:tcW w:type="dxa" w:w="2436"/>
          </w:tcPr>
          <w:p>
            <w:pPr>
              <w:spacing w:before="40" w:after="40"/>
            </w:pPr>
            <w:r>
              <w:rPr>
                <w:rFonts w:ascii="Calibri" w:hAnsi="Calibri"/>
                <w:b/>
                <w:i w:val="0"/>
                <w:color w:val="333333"/>
                <w:sz w:val="17"/>
              </w:rPr>
              <w:t>Production</w:t>
            </w:r>
          </w:p>
        </w:tc>
        <w:tc>
          <w:tcPr>
            <w:tcW w:type="dxa" w:w="2436"/>
          </w:tcPr>
          <w:p>
            <w:pPr>
              <w:spacing w:before="40" w:after="40"/>
            </w:pPr>
            <w:r>
              <w:rPr>
                <w:rFonts w:ascii="Calibri" w:hAnsi="Calibri"/>
                <w:b w:val="0"/>
                <w:i w:val="0"/>
                <w:color w:val="333333"/>
                <w:sz w:val="17"/>
              </w:rPr>
              <w:t>Live collection</w:t>
            </w:r>
          </w:p>
        </w:tc>
        <w:tc>
          <w:tcPr>
            <w:tcW w:type="dxa" w:w="2436"/>
          </w:tcPr>
          <w:p>
            <w:pPr>
              <w:spacing w:before="40" w:after="40"/>
            </w:pPr>
            <w:r>
              <w:rPr>
                <w:rFonts w:ascii="Calibri" w:hAnsi="Calibri"/>
                <w:b w:val="0"/>
                <w:i w:val="0"/>
                <w:color w:val="333333"/>
                <w:sz w:val="17"/>
              </w:rPr>
              <w:t>Real</w:t>
            </w:r>
          </w:p>
        </w:tc>
        <w:tc>
          <w:tcPr>
            <w:tcW w:type="dxa" w:w="2436"/>
          </w:tcPr>
          <w:p>
            <w:pPr>
              <w:spacing w:before="40" w:after="40"/>
            </w:pPr>
            <w:r>
              <w:rPr>
                <w:rFonts w:ascii="Calibri" w:hAnsi="Calibri"/>
                <w:b w:val="0"/>
                <w:i w:val="0"/>
                <w:color w:val="333333"/>
                <w:sz w:val="17"/>
              </w:rPr>
              <w:t>Restricted, audited</w:t>
            </w:r>
          </w:p>
        </w:tc>
      </w:tr>
    </w:tbl>
    <w:p>
      <w:pPr>
        <w:spacing w:after="40"/>
      </w:pPr>
    </w:p>
    <w:p>
      <w:r>
        <w:rPr>
          <w:rFonts w:ascii="Calibri" w:hAnsi="Calibri"/>
          <w:b w:val="0"/>
          <w:i w:val="0"/>
          <w:color w:val="333333"/>
          <w:sz w:val="20"/>
        </w:rPr>
        <w:t>A UAT environment available to SUNU testers is a prerequisite for the end-September pilot; it is the environment on which training in Document 3 is delivered.</w:t>
      </w:r>
    </w:p>
    <w:p>
      <w:pPr>
        <w:pStyle w:val="Heading2"/>
        <w:spacing w:before="280" w:after="80"/>
        <w:keepNext/>
      </w:pPr>
      <w:bookmarkStart w:id="143" w:name="_Toc_s042"/>
      <w:r>
        <w:rPr>
          <w:rFonts w:ascii="Calibri" w:hAnsi="Calibri"/>
          <w:b/>
          <w:color w:val="1B3A5C"/>
          <w:sz w:val="24"/>
        </w:rPr>
        <w:t>10.2 Production topology</w:t>
      </w:r>
      <w:bookmarkEnd w:id="143"/>
    </w:p>
    <w:p>
      <w:pPr>
        <w:spacing w:before="200" w:after="80"/>
        <w:jc w:val="center"/>
      </w:pPr>
      <w:r>
        <w:drawing>
          <wp:inline xmlns:a="http://schemas.openxmlformats.org/drawingml/2006/main" xmlns:pic="http://schemas.openxmlformats.org/drawingml/2006/picture">
            <wp:extent cx="5903999" cy="4247999"/>
            <wp:docPr id="5" name="Picture 5"/>
            <wp:cNvGraphicFramePr>
              <a:graphicFrameLocks noChangeAspect="1"/>
            </wp:cNvGraphicFramePr>
            <a:graphic>
              <a:graphicData uri="http://schemas.openxmlformats.org/drawingml/2006/picture">
                <pic:pic>
                  <pic:nvPicPr>
                    <pic:cNvPr id="0" name="04-deployment-topology.png"/>
                    <pic:cNvPicPr/>
                  </pic:nvPicPr>
                  <pic:blipFill>
                    <a:blip r:embed="rId15"/>
                    <a:stretch>
                      <a:fillRect/>
                    </a:stretch>
                  </pic:blipFill>
                  <pic:spPr>
                    <a:xfrm>
                      <a:off x="0" y="0"/>
                      <a:ext cx="5903999" cy="4247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4 — Deployment topology. One TLS and rate-limiting boundary in front, the database reachable only from inside the trust boundary, and every outbound integration allow-listed.</w:t>
      </w:r>
    </w:p>
    <w:p>
      <w:pPr>
        <w:pStyle w:val="Heading2"/>
        <w:spacing w:before="280" w:after="80"/>
        <w:keepNext/>
      </w:pPr>
      <w:bookmarkStart w:id="144" w:name="_Toc_s043"/>
      <w:r>
        <w:rPr>
          <w:rFonts w:ascii="Calibri" w:hAnsi="Calibri"/>
          <w:b/>
          <w:color w:val="1B3A5C"/>
          <w:sz w:val="24"/>
        </w:rPr>
        <w:t>10.3 Sizing for the pilot and the first year</w:t>
      </w:r>
      <w:bookmarkEnd w:id="14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Parameter</w:t>
            </w:r>
          </w:p>
        </w:tc>
        <w:tc>
          <w:tcPr>
            <w:tcW w:type="dxa" w:w="3249"/>
            <w:shd w:val="clear" w:fill="1B3A5C"/>
          </w:tcPr>
          <w:p>
            <w:pPr>
              <w:spacing w:before="60" w:after="60"/>
            </w:pPr>
            <w:r>
              <w:rPr>
                <w:rFonts w:ascii="Calibri" w:hAnsi="Calibri"/>
                <w:b/>
                <w:color w:val="FFFFFF"/>
                <w:sz w:val="17"/>
              </w:rPr>
              <w:t>Pilot (Sept 2026)</w:t>
            </w:r>
          </w:p>
        </w:tc>
        <w:tc>
          <w:tcPr>
            <w:tcW w:type="dxa" w:w="3249"/>
            <w:shd w:val="clear" w:fill="1B3A5C"/>
          </w:tcPr>
          <w:p>
            <w:pPr>
              <w:spacing w:before="60" w:after="60"/>
            </w:pPr>
            <w:r>
              <w:rPr>
                <w:rFonts w:ascii="Calibri" w:hAnsi="Calibri"/>
                <w:b/>
                <w:color w:val="FFFFFF"/>
                <w:sz w:val="17"/>
              </w:rPr>
              <w:t>Year 1</w:t>
            </w:r>
          </w:p>
        </w:tc>
      </w:tr>
      <w:tr>
        <w:tc>
          <w:tcPr>
            <w:tcW w:type="dxa" w:w="3249"/>
          </w:tcPr>
          <w:p>
            <w:pPr>
              <w:spacing w:before="40" w:after="40"/>
            </w:pPr>
            <w:r>
              <w:rPr>
                <w:rFonts w:ascii="Calibri" w:hAnsi="Calibri"/>
                <w:b w:val="0"/>
                <w:i w:val="0"/>
                <w:color w:val="333333"/>
                <w:sz w:val="17"/>
              </w:rPr>
              <w:t>Terminals</w:t>
            </w:r>
          </w:p>
        </w:tc>
        <w:tc>
          <w:tcPr>
            <w:tcW w:type="dxa" w:w="3249"/>
          </w:tcPr>
          <w:p>
            <w:pPr>
              <w:spacing w:before="40" w:after="40"/>
            </w:pPr>
            <w:r>
              <w:rPr>
                <w:rFonts w:ascii="Calibri" w:hAnsi="Calibri"/>
                <w:b w:val="0"/>
                <w:i w:val="0"/>
                <w:color w:val="333333"/>
                <w:sz w:val="17"/>
              </w:rPr>
              <w:t>15</w:t>
            </w:r>
          </w:p>
        </w:tc>
        <w:tc>
          <w:tcPr>
            <w:tcW w:type="dxa" w:w="3249"/>
          </w:tcPr>
          <w:p>
            <w:pPr>
              <w:spacing w:before="40" w:after="40"/>
            </w:pPr>
            <w:r>
              <w:rPr>
                <w:rFonts w:ascii="Calibri" w:hAnsi="Calibri"/>
                <w:b w:val="0"/>
                <w:i w:val="0"/>
                <w:color w:val="333333"/>
                <w:sz w:val="17"/>
              </w:rPr>
              <w:t>50–100</w:t>
            </w:r>
          </w:p>
        </w:tc>
      </w:tr>
      <w:tr>
        <w:tc>
          <w:tcPr>
            <w:tcW w:type="dxa" w:w="3249"/>
            <w:shd w:val="clear" w:fill="F2F6FA"/>
          </w:tcPr>
          <w:p>
            <w:pPr>
              <w:spacing w:before="40" w:after="40"/>
            </w:pPr>
            <w:r>
              <w:rPr>
                <w:rFonts w:ascii="Calibri" w:hAnsi="Calibri"/>
                <w:b w:val="0"/>
                <w:i w:val="0"/>
                <w:color w:val="333333"/>
                <w:sz w:val="17"/>
              </w:rPr>
              <w:t>Collectors</w:t>
            </w:r>
          </w:p>
        </w:tc>
        <w:tc>
          <w:tcPr>
            <w:tcW w:type="dxa" w:w="3249"/>
            <w:shd w:val="clear" w:fill="F2F6FA"/>
          </w:tcPr>
          <w:p>
            <w:pPr>
              <w:spacing w:before="40" w:after="40"/>
            </w:pPr>
            <w:r>
              <w:rPr>
                <w:rFonts w:ascii="Calibri" w:hAnsi="Calibri"/>
                <w:b w:val="0"/>
                <w:i w:val="0"/>
                <w:color w:val="333333"/>
                <w:sz w:val="17"/>
              </w:rPr>
              <w:t>~15</w:t>
            </w:r>
          </w:p>
        </w:tc>
        <w:tc>
          <w:tcPr>
            <w:tcW w:type="dxa" w:w="3249"/>
            <w:shd w:val="clear" w:fill="F2F6FA"/>
          </w:tcPr>
          <w:p>
            <w:pPr>
              <w:spacing w:before="40" w:after="40"/>
            </w:pPr>
            <w:r>
              <w:rPr>
                <w:rFonts w:ascii="Calibri" w:hAnsi="Calibri"/>
                <w:b w:val="0"/>
                <w:i w:val="0"/>
                <w:color w:val="333333"/>
                <w:sz w:val="17"/>
              </w:rPr>
              <w:t>~100</w:t>
            </w:r>
          </w:p>
        </w:tc>
      </w:tr>
      <w:tr>
        <w:tc>
          <w:tcPr>
            <w:tcW w:type="dxa" w:w="3249"/>
          </w:tcPr>
          <w:p>
            <w:pPr>
              <w:spacing w:before="40" w:after="40"/>
            </w:pPr>
            <w:r>
              <w:rPr>
                <w:rFonts w:ascii="Calibri" w:hAnsi="Calibri"/>
                <w:b w:val="0"/>
                <w:i w:val="0"/>
                <w:color w:val="333333"/>
                <w:sz w:val="17"/>
              </w:rPr>
              <w:t>Back-office users</w:t>
            </w:r>
          </w:p>
        </w:tc>
        <w:tc>
          <w:tcPr>
            <w:tcW w:type="dxa" w:w="3249"/>
          </w:tcPr>
          <w:p>
            <w:pPr>
              <w:spacing w:before="40" w:after="40"/>
            </w:pPr>
            <w:r>
              <w:rPr>
                <w:rFonts w:ascii="Calibri" w:hAnsi="Calibri"/>
                <w:b w:val="0"/>
                <w:i w:val="0"/>
                <w:color w:val="333333"/>
                <w:sz w:val="17"/>
              </w:rPr>
              <w:t>5–10</w:t>
            </w:r>
          </w:p>
        </w:tc>
        <w:tc>
          <w:tcPr>
            <w:tcW w:type="dxa" w:w="3249"/>
          </w:tcPr>
          <w:p>
            <w:pPr>
              <w:spacing w:before="40" w:after="40"/>
            </w:pPr>
            <w:r>
              <w:rPr>
                <w:rFonts w:ascii="Calibri" w:hAnsi="Calibri"/>
                <w:b w:val="0"/>
                <w:i w:val="0"/>
                <w:color w:val="333333"/>
                <w:sz w:val="17"/>
              </w:rPr>
              <w:t>20–30</w:t>
            </w:r>
          </w:p>
        </w:tc>
      </w:tr>
      <w:tr>
        <w:tc>
          <w:tcPr>
            <w:tcW w:type="dxa" w:w="3249"/>
            <w:shd w:val="clear" w:fill="F2F6FA"/>
          </w:tcPr>
          <w:p>
            <w:pPr>
              <w:spacing w:before="40" w:after="40"/>
            </w:pPr>
            <w:r>
              <w:rPr>
                <w:rFonts w:ascii="Calibri" w:hAnsi="Calibri"/>
                <w:b w:val="0"/>
                <w:i w:val="0"/>
                <w:color w:val="333333"/>
                <w:sz w:val="17"/>
              </w:rPr>
              <w:t>Collections/day</w:t>
            </w:r>
          </w:p>
        </w:tc>
        <w:tc>
          <w:tcPr>
            <w:tcW w:type="dxa" w:w="3249"/>
            <w:shd w:val="clear" w:fill="F2F6FA"/>
          </w:tcPr>
          <w:p>
            <w:pPr>
              <w:spacing w:before="40" w:after="40"/>
            </w:pPr>
            <w:r>
              <w:rPr>
                <w:rFonts w:ascii="Calibri" w:hAnsi="Calibri"/>
                <w:b w:val="0"/>
                <w:i w:val="0"/>
                <w:color w:val="333333"/>
                <w:sz w:val="17"/>
              </w:rPr>
              <w:t>300–1 500</w:t>
            </w:r>
          </w:p>
        </w:tc>
        <w:tc>
          <w:tcPr>
            <w:tcW w:type="dxa" w:w="3249"/>
            <w:shd w:val="clear" w:fill="F2F6FA"/>
          </w:tcPr>
          <w:p>
            <w:pPr>
              <w:spacing w:before="40" w:after="40"/>
            </w:pPr>
            <w:r>
              <w:rPr>
                <w:rFonts w:ascii="Calibri" w:hAnsi="Calibri"/>
                <w:b w:val="0"/>
                <w:i w:val="0"/>
                <w:color w:val="333333"/>
                <w:sz w:val="17"/>
              </w:rPr>
              <w:t>up to 10 000</w:t>
            </w:r>
          </w:p>
        </w:tc>
      </w:tr>
      <w:tr>
        <w:tc>
          <w:tcPr>
            <w:tcW w:type="dxa" w:w="3249"/>
          </w:tcPr>
          <w:p>
            <w:pPr>
              <w:spacing w:before="40" w:after="40"/>
            </w:pPr>
            <w:r>
              <w:rPr>
                <w:rFonts w:ascii="Calibri" w:hAnsi="Calibri"/>
                <w:b w:val="0"/>
                <w:i w:val="0"/>
                <w:color w:val="333333"/>
                <w:sz w:val="17"/>
              </w:rPr>
              <w:t>Cards</w:t>
            </w:r>
          </w:p>
        </w:tc>
        <w:tc>
          <w:tcPr>
            <w:tcW w:type="dxa" w:w="3249"/>
          </w:tcPr>
          <w:p>
            <w:pPr>
              <w:spacing w:before="40" w:after="40"/>
            </w:pPr>
            <w:r>
              <w:rPr>
                <w:rFonts w:ascii="Calibri" w:hAnsi="Calibri"/>
                <w:b w:val="0"/>
                <w:i w:val="0"/>
                <w:color w:val="333333"/>
                <w:sz w:val="17"/>
              </w:rPr>
              <w:t>5 000</w:t>
            </w:r>
          </w:p>
        </w:tc>
        <w:tc>
          <w:tcPr>
            <w:tcW w:type="dxa" w:w="3249"/>
          </w:tcPr>
          <w:p>
            <w:pPr>
              <w:spacing w:before="40" w:after="40"/>
            </w:pPr>
            <w:r>
              <w:rPr>
                <w:rFonts w:ascii="Calibri" w:hAnsi="Calibri"/>
                <w:b w:val="0"/>
                <w:i w:val="0"/>
                <w:color w:val="333333"/>
                <w:sz w:val="17"/>
              </w:rPr>
              <w:t>20 000+</w:t>
            </w:r>
          </w:p>
        </w:tc>
      </w:tr>
      <w:tr>
        <w:tc>
          <w:tcPr>
            <w:tcW w:type="dxa" w:w="3249"/>
            <w:shd w:val="clear" w:fill="F2F6FA"/>
          </w:tcPr>
          <w:p>
            <w:pPr>
              <w:spacing w:before="40" w:after="40"/>
            </w:pPr>
            <w:r>
              <w:rPr>
                <w:rFonts w:ascii="Calibri" w:hAnsi="Calibri"/>
                <w:b w:val="0"/>
                <w:i w:val="0"/>
                <w:color w:val="333333"/>
                <w:sz w:val="17"/>
              </w:rPr>
              <w:t>Images stored/day</w:t>
            </w:r>
          </w:p>
        </w:tc>
        <w:tc>
          <w:tcPr>
            <w:tcW w:type="dxa" w:w="3249"/>
            <w:shd w:val="clear" w:fill="F2F6FA"/>
          </w:tcPr>
          <w:p>
            <w:pPr>
              <w:spacing w:before="40" w:after="40"/>
            </w:pPr>
            <w:r>
              <w:rPr>
                <w:rFonts w:ascii="Calibri" w:hAnsi="Calibri"/>
                <w:b w:val="0"/>
                <w:i w:val="0"/>
                <w:color w:val="333333"/>
                <w:sz w:val="17"/>
              </w:rPr>
              <w:t>~50 subscriptions × 3 images</w:t>
            </w:r>
          </w:p>
        </w:tc>
        <w:tc>
          <w:tcPr>
            <w:tcW w:type="dxa" w:w="3249"/>
            <w:shd w:val="clear" w:fill="F2F6FA"/>
          </w:tcPr>
          <w:p>
            <w:pPr>
              <w:spacing w:before="40" w:after="40"/>
            </w:pPr>
            <w:r>
              <w:rPr>
                <w:rFonts w:ascii="Calibri" w:hAnsi="Calibri"/>
                <w:b w:val="0"/>
                <w:i w:val="0"/>
                <w:color w:val="333333"/>
                <w:sz w:val="17"/>
              </w:rPr>
              <w:t>~500 × 3</w:t>
            </w:r>
          </w:p>
        </w:tc>
      </w:tr>
    </w:tbl>
    <w:p>
      <w:pPr>
        <w:spacing w:after="40"/>
      </w:pPr>
    </w:p>
    <w:p>
      <w:r>
        <w:rPr>
          <w:rFonts w:ascii="Calibri" w:hAnsi="Calibri"/>
          <w:b w:val="0"/>
          <w:i w:val="0"/>
          <w:color w:val="333333"/>
          <w:sz w:val="20"/>
        </w:rPr>
        <w:t>The pilot runs comfortably on a single application server (4 vCPU / 8 GB) with a separate database server (4 vCPU / 16 GB) and ~500 GB of storage. The topology above scales horizontally by adding application and worker nodes behind the TLS layer without architectural change.</w:t>
      </w:r>
    </w:p>
    <w:p>
      <w:pPr>
        <w:pStyle w:val="Heading2"/>
        <w:spacing w:before="280" w:after="80"/>
        <w:keepNext/>
      </w:pPr>
      <w:bookmarkStart w:id="145" w:name="_Toc_s044"/>
      <w:r>
        <w:rPr>
          <w:rFonts w:ascii="Calibri" w:hAnsi="Calibri"/>
          <w:b/>
          <w:color w:val="1B3A5C"/>
          <w:sz w:val="24"/>
        </w:rPr>
        <w:t>10.4 Hosting location (open point OP-5)</w:t>
      </w:r>
      <w:bookmarkEnd w:id="145"/>
    </w:p>
    <w:p>
      <w:r>
        <w:rPr>
          <w:rFonts w:ascii="Calibri" w:hAnsi="Calibri"/>
          <w:b w:val="0"/>
          <w:i w:val="0"/>
          <w:color w:val="333333"/>
          <w:sz w:val="20"/>
        </w:rPr>
        <w:t>Decision required from SUNU: hosting in Burkina Faso, elsewhere in the UEMOA zone, or in Europe. This affects latency for the POS fleet, data-residency obligations, the network path to SUNULIFE, and the Mobile Money providers' willingness to allow-list the environment. Analysed in Document 2, section on data residency.</w:t>
      </w:r>
    </w:p>
    <w:p>
      <w:pPr>
        <w:pStyle w:val="Heading2"/>
        <w:spacing w:before="280" w:after="80"/>
        <w:keepNext/>
      </w:pPr>
      <w:bookmarkStart w:id="146" w:name="_Toc_s045"/>
      <w:r>
        <w:rPr>
          <w:rFonts w:ascii="Calibri" w:hAnsi="Calibri"/>
          <w:b/>
          <w:color w:val="1B3A5C"/>
          <w:sz w:val="24"/>
        </w:rPr>
        <w:t>10.5 Availability, backup and continuity</w:t>
      </w:r>
      <w:bookmarkEnd w:id="14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Target</w:t>
            </w:r>
          </w:p>
        </w:tc>
        <w:tc>
          <w:tcPr>
            <w:tcW w:type="dxa" w:w="4873"/>
            <w:shd w:val="clear" w:fill="1B3A5C"/>
          </w:tcPr>
          <w:p>
            <w:pPr>
              <w:spacing w:before="60" w:after="60"/>
            </w:pPr>
            <w:r>
              <w:rPr>
                <w:rFonts w:ascii="Calibri" w:hAnsi="Calibri"/>
                <w:b/>
                <w:color w:val="FFFFFF"/>
                <w:sz w:val="17"/>
              </w:rPr>
              <w:t>Value</w:t>
            </w:r>
          </w:p>
        </w:tc>
      </w:tr>
      <w:tr>
        <w:tc>
          <w:tcPr>
            <w:tcW w:type="dxa" w:w="4873"/>
          </w:tcPr>
          <w:p>
            <w:pPr>
              <w:spacing w:before="40" w:after="40"/>
            </w:pPr>
            <w:r>
              <w:rPr>
                <w:rFonts w:ascii="Calibri" w:hAnsi="Calibri"/>
                <w:b w:val="0"/>
                <w:i w:val="0"/>
                <w:color w:val="333333"/>
                <w:sz w:val="17"/>
              </w:rPr>
              <w:t>Service availability (back office)</w:t>
            </w:r>
          </w:p>
        </w:tc>
        <w:tc>
          <w:tcPr>
            <w:tcW w:type="dxa" w:w="4873"/>
          </w:tcPr>
          <w:p>
            <w:pPr>
              <w:spacing w:before="40" w:after="40"/>
            </w:pPr>
            <w:r>
              <w:rPr>
                <w:rFonts w:ascii="Calibri" w:hAnsi="Calibri"/>
                <w:b w:val="0"/>
                <w:i w:val="0"/>
                <w:color w:val="333333"/>
                <w:sz w:val="17"/>
              </w:rPr>
              <w:t>99.5% monthly, excluding announced maintenance</w:t>
            </w:r>
          </w:p>
        </w:tc>
      </w:tr>
      <w:tr>
        <w:tc>
          <w:tcPr>
            <w:tcW w:type="dxa" w:w="4873"/>
            <w:shd w:val="clear" w:fill="F2F6FA"/>
          </w:tcPr>
          <w:p>
            <w:pPr>
              <w:spacing w:before="40" w:after="40"/>
            </w:pPr>
            <w:r>
              <w:rPr>
                <w:rFonts w:ascii="Calibri" w:hAnsi="Calibri"/>
                <w:b w:val="0"/>
                <w:i w:val="0"/>
                <w:color w:val="333333"/>
                <w:sz w:val="17"/>
              </w:rPr>
              <w:t>Field availability (collection possible)</w:t>
            </w:r>
          </w:p>
        </w:tc>
        <w:tc>
          <w:tcPr>
            <w:tcW w:type="dxa" w:w="4873"/>
            <w:shd w:val="clear" w:fill="F2F6FA"/>
          </w:tcPr>
          <w:p>
            <w:pPr>
              <w:spacing w:before="40" w:after="40"/>
            </w:pPr>
            <w:r>
              <w:rPr>
                <w:rFonts w:ascii="Calibri" w:hAnsi="Calibri"/>
                <w:b w:val="0"/>
                <w:i w:val="0"/>
                <w:color w:val="333333"/>
                <w:sz w:val="17"/>
              </w:rPr>
              <w:t>~100% — offline mode makes collection independent of the back office</w:t>
            </w:r>
          </w:p>
        </w:tc>
      </w:tr>
      <w:tr>
        <w:tc>
          <w:tcPr>
            <w:tcW w:type="dxa" w:w="4873"/>
          </w:tcPr>
          <w:p>
            <w:pPr>
              <w:spacing w:before="40" w:after="40"/>
            </w:pPr>
            <w:r>
              <w:rPr>
                <w:rFonts w:ascii="Calibri" w:hAnsi="Calibri"/>
                <w:b w:val="0"/>
                <w:i w:val="0"/>
                <w:color w:val="333333"/>
                <w:sz w:val="17"/>
              </w:rPr>
              <w:t>RPO (max data loss)</w:t>
            </w:r>
          </w:p>
        </w:tc>
        <w:tc>
          <w:tcPr>
            <w:tcW w:type="dxa" w:w="4873"/>
          </w:tcPr>
          <w:p>
            <w:pPr>
              <w:spacing w:before="40" w:after="40"/>
            </w:pPr>
            <w:r>
              <w:rPr>
                <w:rFonts w:ascii="Calibri" w:hAnsi="Calibri"/>
                <w:b w:val="0"/>
                <w:i w:val="0"/>
                <w:color w:val="333333"/>
                <w:sz w:val="17"/>
              </w:rPr>
              <w:t>15 minutes on the database (binlog shipping); 0 for field collections, which are held on the device until acknowledged</w:t>
            </w:r>
          </w:p>
        </w:tc>
      </w:tr>
      <w:tr>
        <w:tc>
          <w:tcPr>
            <w:tcW w:type="dxa" w:w="4873"/>
            <w:shd w:val="clear" w:fill="F2F6FA"/>
          </w:tcPr>
          <w:p>
            <w:pPr>
              <w:spacing w:before="40" w:after="40"/>
            </w:pPr>
            <w:r>
              <w:rPr>
                <w:rFonts w:ascii="Calibri" w:hAnsi="Calibri"/>
                <w:b w:val="0"/>
                <w:i w:val="0"/>
                <w:color w:val="333333"/>
                <w:sz w:val="17"/>
              </w:rPr>
              <w:t>RTO (max restoration time)</w:t>
            </w:r>
          </w:p>
        </w:tc>
        <w:tc>
          <w:tcPr>
            <w:tcW w:type="dxa" w:w="4873"/>
            <w:shd w:val="clear" w:fill="F2F6FA"/>
          </w:tcPr>
          <w:p>
            <w:pPr>
              <w:spacing w:before="40" w:after="40"/>
            </w:pPr>
            <w:r>
              <w:rPr>
                <w:rFonts w:ascii="Calibri" w:hAnsi="Calibri"/>
                <w:b w:val="0"/>
                <w:i w:val="0"/>
                <w:color w:val="333333"/>
                <w:sz w:val="17"/>
              </w:rPr>
              <w:t>4 hours</w:t>
            </w:r>
          </w:p>
        </w:tc>
      </w:tr>
      <w:tr>
        <w:tc>
          <w:tcPr>
            <w:tcW w:type="dxa" w:w="4873"/>
          </w:tcPr>
          <w:p>
            <w:pPr>
              <w:spacing w:before="40" w:after="40"/>
            </w:pPr>
            <w:r>
              <w:rPr>
                <w:rFonts w:ascii="Calibri" w:hAnsi="Calibri"/>
                <w:b w:val="0"/>
                <w:i w:val="0"/>
                <w:color w:val="333333"/>
                <w:sz w:val="17"/>
              </w:rPr>
              <w:t>Backups</w:t>
            </w:r>
          </w:p>
        </w:tc>
        <w:tc>
          <w:tcPr>
            <w:tcW w:type="dxa" w:w="4873"/>
          </w:tcPr>
          <w:p>
            <w:pPr>
              <w:spacing w:before="40" w:after="40"/>
            </w:pPr>
            <w:r>
              <w:rPr>
                <w:rFonts w:ascii="Calibri" w:hAnsi="Calibri"/>
                <w:b w:val="0"/>
                <w:i w:val="0"/>
                <w:color w:val="333333"/>
                <w:sz w:val="17"/>
              </w:rPr>
              <w:t xml:space="preserve">Full daily + continuous binlog; encrypted; retained 30 days; monthly archive retained 12 months; </w:t>
            </w:r>
            <w:r>
              <w:rPr>
                <w:rFonts w:ascii="Calibri" w:hAnsi="Calibri"/>
                <w:b/>
                <w:i w:val="0"/>
                <w:color w:val="333333"/>
                <w:sz w:val="17"/>
              </w:rPr>
              <w:t>restore test every quarter</w:t>
            </w:r>
          </w:p>
        </w:tc>
      </w:tr>
    </w:tbl>
    <w:p>
      <w:pPr>
        <w:spacing w:after="40"/>
      </w:pPr>
    </w:p>
    <w:p>
      <w:pPr>
        <w:pStyle w:val="Heading1"/>
        <w:pageBreakBefore/>
        <w:spacing w:before="360" w:after="80"/>
        <w:keepNext/>
        <w:pBdr>
          <w:bottom w:val="single" w:sz="8" w:space="6" w:color="1B3A5C"/>
        </w:pBdr>
      </w:pPr>
      <w:bookmarkStart w:id="147" w:name="_Toc_s046"/>
      <w:r>
        <w:rPr>
          <w:rFonts w:ascii="Calibri" w:hAnsi="Calibri"/>
          <w:b/>
          <w:color w:val="1B3A5C"/>
          <w:sz w:val="30"/>
        </w:rPr>
        <w:t>11. Non-Functional Requirements</w:t>
      </w:r>
      <w:bookmarkEnd w:id="14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Domain</w:t>
            </w:r>
          </w:p>
        </w:tc>
        <w:tc>
          <w:tcPr>
            <w:tcW w:type="dxa" w:w="4873"/>
            <w:shd w:val="clear" w:fill="1B3A5C"/>
          </w:tcPr>
          <w:p>
            <w:pPr>
              <w:spacing w:before="60" w:after="60"/>
            </w:pPr>
            <w:r>
              <w:rPr>
                <w:rFonts w:ascii="Calibri" w:hAnsi="Calibri"/>
                <w:b/>
                <w:color w:val="FFFFFF"/>
                <w:sz w:val="17"/>
              </w:rPr>
              <w:t>Requirement</w:t>
            </w:r>
          </w:p>
        </w:tc>
      </w:tr>
      <w:tr>
        <w:tc>
          <w:tcPr>
            <w:tcW w:type="dxa" w:w="4873"/>
          </w:tcPr>
          <w:p>
            <w:pPr>
              <w:spacing w:before="40" w:after="40"/>
            </w:pPr>
            <w:r>
              <w:rPr>
                <w:rFonts w:ascii="Calibri" w:hAnsi="Calibri"/>
                <w:b/>
                <w:i w:val="0"/>
                <w:color w:val="333333"/>
                <w:sz w:val="17"/>
              </w:rPr>
              <w:t>Offline operation</w:t>
            </w:r>
          </w:p>
        </w:tc>
        <w:tc>
          <w:tcPr>
            <w:tcW w:type="dxa" w:w="4873"/>
          </w:tcPr>
          <w:p>
            <w:pPr>
              <w:spacing w:before="40" w:after="40"/>
            </w:pPr>
            <w:r>
              <w:rPr>
                <w:rFonts w:ascii="Calibri" w:hAnsi="Calibri"/>
                <w:b w:val="0"/>
                <w:i w:val="0"/>
                <w:color w:val="333333"/>
                <w:sz w:val="17"/>
              </w:rPr>
              <w:t>Full subscription capture and premium collection without network; automatic synchronisation on reconnection; no data loss; no duplicate posting</w:t>
            </w:r>
          </w:p>
        </w:tc>
      </w:tr>
      <w:tr>
        <w:tc>
          <w:tcPr>
            <w:tcW w:type="dxa" w:w="4873"/>
            <w:shd w:val="clear" w:fill="F2F6FA"/>
          </w:tcPr>
          <w:p>
            <w:pPr>
              <w:spacing w:before="40" w:after="40"/>
            </w:pPr>
            <w:r>
              <w:rPr>
                <w:rFonts w:ascii="Calibri" w:hAnsi="Calibri"/>
                <w:b/>
                <w:i w:val="0"/>
                <w:color w:val="333333"/>
                <w:sz w:val="17"/>
              </w:rPr>
              <w:t>Performance</w:t>
            </w:r>
          </w:p>
        </w:tc>
        <w:tc>
          <w:tcPr>
            <w:tcW w:type="dxa" w:w="4873"/>
            <w:shd w:val="clear" w:fill="F2F6FA"/>
          </w:tcPr>
          <w:p>
            <w:pPr>
              <w:spacing w:before="40" w:after="40"/>
            </w:pPr>
            <w:r>
              <w:rPr>
                <w:rFonts w:ascii="Calibri" w:hAnsi="Calibri"/>
                <w:b w:val="0"/>
                <w:i w:val="0"/>
                <w:color w:val="333333"/>
                <w:sz w:val="17"/>
              </w:rPr>
              <w:t>POS screen transition &lt; 1 s; card read → policy list displayed &lt; 2 s online, &lt; 500 ms from cache; back-office list pages &lt; 2 s at 100 000 collections; Excel export of one month generated asynchronously and downloadable</w:t>
            </w:r>
          </w:p>
        </w:tc>
      </w:tr>
      <w:tr>
        <w:tc>
          <w:tcPr>
            <w:tcW w:type="dxa" w:w="4873"/>
          </w:tcPr>
          <w:p>
            <w:pPr>
              <w:spacing w:before="40" w:after="40"/>
            </w:pPr>
            <w:r>
              <w:rPr>
                <w:rFonts w:ascii="Calibri" w:hAnsi="Calibri"/>
                <w:b/>
                <w:i w:val="0"/>
                <w:color w:val="333333"/>
                <w:sz w:val="17"/>
              </w:rPr>
              <w:t>Languages</w:t>
            </w:r>
          </w:p>
        </w:tc>
        <w:tc>
          <w:tcPr>
            <w:tcW w:type="dxa" w:w="4873"/>
          </w:tcPr>
          <w:p>
            <w:pPr>
              <w:spacing w:before="40" w:after="40"/>
            </w:pPr>
            <w:r>
              <w:rPr>
                <w:rFonts w:ascii="Calibri" w:hAnsi="Calibri"/>
                <w:b w:val="0"/>
                <w:i w:val="0"/>
                <w:color w:val="333333"/>
                <w:sz w:val="17"/>
              </w:rPr>
              <w:t>French (primary) and English throughout POS and back office</w:t>
            </w:r>
          </w:p>
        </w:tc>
      </w:tr>
      <w:tr>
        <w:tc>
          <w:tcPr>
            <w:tcW w:type="dxa" w:w="4873"/>
            <w:shd w:val="clear" w:fill="F2F6FA"/>
          </w:tcPr>
          <w:p>
            <w:pPr>
              <w:spacing w:before="40" w:after="40"/>
            </w:pPr>
            <w:r>
              <w:rPr>
                <w:rFonts w:ascii="Calibri" w:hAnsi="Calibri"/>
                <w:b/>
                <w:i w:val="0"/>
                <w:color w:val="333333"/>
                <w:sz w:val="17"/>
              </w:rPr>
              <w:t>Currency</w:t>
            </w:r>
          </w:p>
        </w:tc>
        <w:tc>
          <w:tcPr>
            <w:tcW w:type="dxa" w:w="4873"/>
            <w:shd w:val="clear" w:fill="F2F6FA"/>
          </w:tcPr>
          <w:p>
            <w:pPr>
              <w:spacing w:before="40" w:after="40"/>
            </w:pPr>
            <w:r>
              <w:rPr>
                <w:rFonts w:ascii="Calibri" w:hAnsi="Calibri"/>
                <w:b w:val="0"/>
                <w:i w:val="0"/>
                <w:color w:val="333333"/>
                <w:sz w:val="17"/>
              </w:rPr>
              <w:t>XOF, no decimals in display; amounts stored with 2 decimals</w:t>
            </w:r>
          </w:p>
        </w:tc>
      </w:tr>
      <w:tr>
        <w:tc>
          <w:tcPr>
            <w:tcW w:type="dxa" w:w="4873"/>
          </w:tcPr>
          <w:p>
            <w:pPr>
              <w:spacing w:before="40" w:after="40"/>
            </w:pPr>
            <w:r>
              <w:rPr>
                <w:rFonts w:ascii="Calibri" w:hAnsi="Calibri"/>
                <w:b/>
                <w:i w:val="0"/>
                <w:color w:val="333333"/>
                <w:sz w:val="17"/>
              </w:rPr>
              <w:t>Accessibility in the field</w:t>
            </w:r>
          </w:p>
        </w:tc>
        <w:tc>
          <w:tcPr>
            <w:tcW w:type="dxa" w:w="4873"/>
          </w:tcPr>
          <w:p>
            <w:pPr>
              <w:spacing w:before="40" w:after="40"/>
            </w:pPr>
            <w:r>
              <w:rPr>
                <w:rFonts w:ascii="Calibri" w:hAnsi="Calibri"/>
                <w:b w:val="0"/>
                <w:i w:val="0"/>
                <w:color w:val="333333"/>
                <w:sz w:val="17"/>
              </w:rPr>
              <w:t>Large touch targets, high-contrast, usable in sunlight, low literacy tolerant (icons + French labels)</w:t>
            </w:r>
          </w:p>
        </w:tc>
      </w:tr>
      <w:tr>
        <w:tc>
          <w:tcPr>
            <w:tcW w:type="dxa" w:w="4873"/>
            <w:shd w:val="clear" w:fill="F2F6FA"/>
          </w:tcPr>
          <w:p>
            <w:pPr>
              <w:spacing w:before="40" w:after="40"/>
            </w:pPr>
            <w:r>
              <w:rPr>
                <w:rFonts w:ascii="Calibri" w:hAnsi="Calibri"/>
                <w:b/>
                <w:i w:val="0"/>
                <w:color w:val="333333"/>
                <w:sz w:val="17"/>
              </w:rPr>
              <w:t>Battery</w:t>
            </w:r>
          </w:p>
        </w:tc>
        <w:tc>
          <w:tcPr>
            <w:tcW w:type="dxa" w:w="4873"/>
            <w:shd w:val="clear" w:fill="F2F6FA"/>
          </w:tcPr>
          <w:p>
            <w:pPr>
              <w:spacing w:before="40" w:after="40"/>
            </w:pPr>
            <w:r>
              <w:rPr>
                <w:rFonts w:ascii="Calibri" w:hAnsi="Calibri"/>
                <w:b w:val="0"/>
                <w:i w:val="0"/>
                <w:color w:val="333333"/>
                <w:sz w:val="17"/>
              </w:rPr>
              <w:t>A full working day of collection on one charge under normal use</w:t>
            </w:r>
          </w:p>
        </w:tc>
      </w:tr>
      <w:tr>
        <w:tc>
          <w:tcPr>
            <w:tcW w:type="dxa" w:w="4873"/>
          </w:tcPr>
          <w:p>
            <w:pPr>
              <w:spacing w:before="40" w:after="40"/>
            </w:pPr>
            <w:r>
              <w:rPr>
                <w:rFonts w:ascii="Calibri" w:hAnsi="Calibri"/>
                <w:b/>
                <w:i w:val="0"/>
                <w:color w:val="333333"/>
                <w:sz w:val="17"/>
              </w:rPr>
              <w:t>Printing</w:t>
            </w:r>
          </w:p>
        </w:tc>
        <w:tc>
          <w:tcPr>
            <w:tcW w:type="dxa" w:w="4873"/>
          </w:tcPr>
          <w:p>
            <w:pPr>
              <w:spacing w:before="40" w:after="40"/>
            </w:pPr>
            <w:r>
              <w:rPr>
                <w:rFonts w:ascii="Calibri" w:hAnsi="Calibri"/>
                <w:b w:val="0"/>
                <w:i w:val="0"/>
                <w:color w:val="333333"/>
                <w:sz w:val="17"/>
              </w:rPr>
              <w:t>Every financial operation produces a printed receipt; any receipt can be reprinted within the working day with a clear "DUPLICATA" marking</w:t>
            </w:r>
          </w:p>
        </w:tc>
      </w:tr>
      <w:tr>
        <w:tc>
          <w:tcPr>
            <w:tcW w:type="dxa" w:w="4873"/>
            <w:shd w:val="clear" w:fill="F2F6FA"/>
          </w:tcPr>
          <w:p>
            <w:pPr>
              <w:spacing w:before="40" w:after="40"/>
            </w:pPr>
            <w:r>
              <w:rPr>
                <w:rFonts w:ascii="Calibri" w:hAnsi="Calibri"/>
                <w:b/>
                <w:i w:val="0"/>
                <w:color w:val="333333"/>
                <w:sz w:val="17"/>
              </w:rPr>
              <w:t>Auditability</w:t>
            </w:r>
          </w:p>
        </w:tc>
        <w:tc>
          <w:tcPr>
            <w:tcW w:type="dxa" w:w="4873"/>
            <w:shd w:val="clear" w:fill="F2F6FA"/>
          </w:tcPr>
          <w:p>
            <w:pPr>
              <w:spacing w:before="40" w:after="40"/>
            </w:pPr>
            <w:r>
              <w:rPr>
                <w:rFonts w:ascii="Calibri" w:hAnsi="Calibri"/>
                <w:b w:val="0"/>
                <w:i w:val="0"/>
                <w:color w:val="333333"/>
                <w:sz w:val="17"/>
              </w:rPr>
              <w:t>Every create/update/delete on a sensitive entity recorded with actor, timestamp, before/after values</w:t>
            </w:r>
          </w:p>
        </w:tc>
      </w:tr>
      <w:tr>
        <w:tc>
          <w:tcPr>
            <w:tcW w:type="dxa" w:w="4873"/>
          </w:tcPr>
          <w:p>
            <w:pPr>
              <w:spacing w:before="40" w:after="40"/>
            </w:pPr>
            <w:r>
              <w:rPr>
                <w:rFonts w:ascii="Calibri" w:hAnsi="Calibri"/>
                <w:b/>
                <w:i w:val="0"/>
                <w:color w:val="333333"/>
                <w:sz w:val="17"/>
              </w:rPr>
              <w:t>Maintainability</w:t>
            </w:r>
          </w:p>
        </w:tc>
        <w:tc>
          <w:tcPr>
            <w:tcW w:type="dxa" w:w="4873"/>
          </w:tcPr>
          <w:p>
            <w:pPr>
              <w:spacing w:before="40" w:after="40"/>
            </w:pPr>
            <w:r>
              <w:rPr>
                <w:rFonts w:ascii="Calibri" w:hAnsi="Calibri"/>
                <w:b w:val="0"/>
                <w:i w:val="0"/>
                <w:color w:val="333333"/>
                <w:sz w:val="17"/>
              </w:rPr>
              <w:t>Configuration over code: products, caps, fees, receipt templates, field mappings and permissions are configurable by an administrator without a release</w:t>
            </w:r>
          </w:p>
        </w:tc>
      </w:tr>
    </w:tbl>
    <w:p>
      <w:pPr>
        <w:spacing w:after="40"/>
      </w:pPr>
    </w:p>
    <w:p>
      <w:pPr>
        <w:pStyle w:val="Heading1"/>
        <w:pageBreakBefore/>
        <w:spacing w:before="360" w:after="80"/>
        <w:keepNext/>
        <w:pBdr>
          <w:bottom w:val="single" w:sz="8" w:space="6" w:color="1B3A5C"/>
        </w:pBdr>
      </w:pPr>
      <w:bookmarkStart w:id="148" w:name="_Toc_s047"/>
      <w:r>
        <w:rPr>
          <w:rFonts w:ascii="Calibri" w:hAnsi="Calibri"/>
          <w:b/>
          <w:color w:val="1B3A5C"/>
          <w:sz w:val="30"/>
        </w:rPr>
        <w:t>12. Assumptions, Open Points and Decisions Required</w:t>
      </w:r>
      <w:bookmarkEnd w:id="148"/>
    </w:p>
    <w:p>
      <w:pPr>
        <w:pStyle w:val="Heading2"/>
        <w:spacing w:before="280" w:after="80"/>
        <w:keepNext/>
      </w:pPr>
      <w:bookmarkStart w:id="149" w:name="_Toc_s048"/>
      <w:r>
        <w:rPr>
          <w:rFonts w:ascii="Calibri" w:hAnsi="Calibri"/>
          <w:b/>
          <w:color w:val="1B3A5C"/>
          <w:sz w:val="24"/>
        </w:rPr>
        <w:t>12.1 Assumptions</w:t>
      </w:r>
      <w:bookmarkEnd w:id="14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w:t>
            </w:r>
          </w:p>
        </w:tc>
        <w:tc>
          <w:tcPr>
            <w:tcW w:type="dxa" w:w="8504"/>
            <w:shd w:val="clear" w:fill="1B3A5C"/>
          </w:tcPr>
          <w:p>
            <w:pPr>
              <w:spacing w:before="60" w:after="60"/>
            </w:pPr>
            <w:r>
              <w:rPr>
                <w:rFonts w:ascii="Calibri" w:hAnsi="Calibri"/>
                <w:b/>
                <w:color w:val="FFFFFF"/>
                <w:sz w:val="17"/>
              </w:rPr>
              <w:t>Assumption</w:t>
            </w:r>
          </w:p>
        </w:tc>
      </w:tr>
      <w:tr>
        <w:tc>
          <w:tcPr>
            <w:tcW w:type="dxa" w:w="907"/>
          </w:tcPr>
          <w:p>
            <w:pPr>
              <w:spacing w:before="40" w:after="40"/>
            </w:pPr>
            <w:r>
              <w:rPr>
                <w:rFonts w:ascii="Calibri" w:hAnsi="Calibri"/>
                <w:b w:val="0"/>
                <w:i w:val="0"/>
                <w:color w:val="333333"/>
                <w:sz w:val="17"/>
              </w:rPr>
              <w:t>A1</w:t>
            </w:r>
          </w:p>
        </w:tc>
        <w:tc>
          <w:tcPr>
            <w:tcW w:type="dxa" w:w="8504"/>
          </w:tcPr>
          <w:p>
            <w:pPr>
              <w:spacing w:before="40" w:after="40"/>
            </w:pPr>
            <w:r>
              <w:rPr>
                <w:rFonts w:ascii="Calibri" w:hAnsi="Calibri"/>
                <w:b w:val="0"/>
                <w:i w:val="0"/>
                <w:color w:val="333333"/>
                <w:sz w:val="17"/>
              </w:rPr>
              <w:t>The POS terminals are Android devices of the Telpo/Feitian family already supported by the existing application (NFC reader, thermal printer, camera, GPS, 4G)</w:t>
            </w:r>
          </w:p>
        </w:tc>
      </w:tr>
      <w:tr>
        <w:tc>
          <w:tcPr>
            <w:tcW w:type="dxa" w:w="907"/>
            <w:shd w:val="clear" w:fill="F2F6FA"/>
          </w:tcPr>
          <w:p>
            <w:pPr>
              <w:spacing w:before="40" w:after="40"/>
            </w:pPr>
            <w:r>
              <w:rPr>
                <w:rFonts w:ascii="Calibri" w:hAnsi="Calibri"/>
                <w:b w:val="0"/>
                <w:i w:val="0"/>
                <w:color w:val="333333"/>
                <w:sz w:val="17"/>
              </w:rPr>
              <w:t>A2</w:t>
            </w:r>
          </w:p>
        </w:tc>
        <w:tc>
          <w:tcPr>
            <w:tcW w:type="dxa" w:w="8504"/>
            <w:shd w:val="clear" w:fill="F2F6FA"/>
          </w:tcPr>
          <w:p>
            <w:pPr>
              <w:spacing w:before="40" w:after="40"/>
            </w:pPr>
            <w:r>
              <w:rPr>
                <w:rFonts w:ascii="Calibri" w:hAnsi="Calibri"/>
                <w:b w:val="0"/>
                <w:i w:val="0"/>
                <w:color w:val="333333"/>
                <w:sz w:val="17"/>
              </w:rPr>
              <w:t>SUNU provides the SIM cards and the data plan for the 15 terminals</w:t>
            </w:r>
          </w:p>
        </w:tc>
      </w:tr>
      <w:tr>
        <w:tc>
          <w:tcPr>
            <w:tcW w:type="dxa" w:w="907"/>
          </w:tcPr>
          <w:p>
            <w:pPr>
              <w:spacing w:before="40" w:after="40"/>
            </w:pPr>
            <w:r>
              <w:rPr>
                <w:rFonts w:ascii="Calibri" w:hAnsi="Calibri"/>
                <w:b w:val="0"/>
                <w:i w:val="0"/>
                <w:color w:val="333333"/>
                <w:sz w:val="17"/>
              </w:rPr>
              <w:t>A3</w:t>
            </w:r>
          </w:p>
        </w:tc>
        <w:tc>
          <w:tcPr>
            <w:tcW w:type="dxa" w:w="8504"/>
          </w:tcPr>
          <w:p>
            <w:pPr>
              <w:spacing w:before="40" w:after="40"/>
            </w:pPr>
            <w:r>
              <w:rPr>
                <w:rFonts w:ascii="Calibri" w:hAnsi="Calibri"/>
                <w:b w:val="0"/>
                <w:i w:val="0"/>
                <w:color w:val="333333"/>
                <w:sz w:val="17"/>
              </w:rPr>
              <w:t>Collectors are SUNU employees or mandated agents, individually identified, and each is assigned a specific terminal</w:t>
            </w:r>
          </w:p>
        </w:tc>
      </w:tr>
      <w:tr>
        <w:tc>
          <w:tcPr>
            <w:tcW w:type="dxa" w:w="907"/>
            <w:shd w:val="clear" w:fill="F2F6FA"/>
          </w:tcPr>
          <w:p>
            <w:pPr>
              <w:spacing w:before="40" w:after="40"/>
            </w:pPr>
            <w:r>
              <w:rPr>
                <w:rFonts w:ascii="Calibri" w:hAnsi="Calibri"/>
                <w:b w:val="0"/>
                <w:i w:val="0"/>
                <w:color w:val="333333"/>
                <w:sz w:val="17"/>
              </w:rPr>
              <w:t>A4</w:t>
            </w:r>
          </w:p>
        </w:tc>
        <w:tc>
          <w:tcPr>
            <w:tcW w:type="dxa" w:w="8504"/>
            <w:shd w:val="clear" w:fill="F2F6FA"/>
          </w:tcPr>
          <w:p>
            <w:pPr>
              <w:spacing w:before="40" w:after="40"/>
            </w:pPr>
            <w:r>
              <w:rPr>
                <w:rFonts w:ascii="Calibri" w:hAnsi="Calibri"/>
                <w:b w:val="0"/>
                <w:i w:val="0"/>
                <w:color w:val="333333"/>
                <w:sz w:val="17"/>
              </w:rPr>
              <w:t>The paper insurance proposal remains the legal document during the pilot; the solution captures and transmits it, it does not replace the signature</w:t>
            </w:r>
          </w:p>
        </w:tc>
      </w:tr>
      <w:tr>
        <w:tc>
          <w:tcPr>
            <w:tcW w:type="dxa" w:w="907"/>
          </w:tcPr>
          <w:p>
            <w:pPr>
              <w:spacing w:before="40" w:after="40"/>
            </w:pPr>
            <w:r>
              <w:rPr>
                <w:rFonts w:ascii="Calibri" w:hAnsi="Calibri"/>
                <w:b w:val="0"/>
                <w:i w:val="0"/>
                <w:color w:val="333333"/>
                <w:sz w:val="17"/>
              </w:rPr>
              <w:t>A5</w:t>
            </w:r>
          </w:p>
        </w:tc>
        <w:tc>
          <w:tcPr>
            <w:tcW w:type="dxa" w:w="8504"/>
          </w:tcPr>
          <w:p>
            <w:pPr>
              <w:spacing w:before="40" w:after="40"/>
            </w:pPr>
            <w:r>
              <w:rPr>
                <w:rFonts w:ascii="Calibri" w:hAnsi="Calibri"/>
                <w:b w:val="0"/>
                <w:i w:val="0"/>
                <w:color w:val="333333"/>
                <w:sz w:val="17"/>
              </w:rPr>
              <w:t>The card personalisation station is supplied with a documented interface or accepts a standard file/CSV input for printing and encoding</w:t>
            </w:r>
          </w:p>
        </w:tc>
      </w:tr>
      <w:tr>
        <w:tc>
          <w:tcPr>
            <w:tcW w:type="dxa" w:w="907"/>
            <w:shd w:val="clear" w:fill="F2F6FA"/>
          </w:tcPr>
          <w:p>
            <w:pPr>
              <w:spacing w:before="40" w:after="40"/>
            </w:pPr>
            <w:r>
              <w:rPr>
                <w:rFonts w:ascii="Calibri" w:hAnsi="Calibri"/>
                <w:b w:val="0"/>
                <w:i w:val="0"/>
                <w:color w:val="333333"/>
                <w:sz w:val="17"/>
              </w:rPr>
              <w:t>A6</w:t>
            </w:r>
          </w:p>
        </w:tc>
        <w:tc>
          <w:tcPr>
            <w:tcW w:type="dxa" w:w="8504"/>
            <w:shd w:val="clear" w:fill="F2F6FA"/>
          </w:tcPr>
          <w:p>
            <w:pPr>
              <w:spacing w:before="40" w:after="40"/>
            </w:pPr>
            <w:r>
              <w:rPr>
                <w:rFonts w:ascii="Calibri" w:hAnsi="Calibri"/>
                <w:b w:val="0"/>
                <w:i w:val="0"/>
                <w:color w:val="333333"/>
                <w:sz w:val="17"/>
              </w:rPr>
              <w:t>SUNU provides an extract of existing customers and policies for the Phase 0 import</w:t>
            </w:r>
          </w:p>
        </w:tc>
      </w:tr>
      <w:tr>
        <w:tc>
          <w:tcPr>
            <w:tcW w:type="dxa" w:w="907"/>
          </w:tcPr>
          <w:p>
            <w:pPr>
              <w:spacing w:before="40" w:after="40"/>
            </w:pPr>
            <w:r>
              <w:rPr>
                <w:rFonts w:ascii="Calibri" w:hAnsi="Calibri"/>
                <w:b w:val="0"/>
                <w:i w:val="0"/>
                <w:color w:val="333333"/>
                <w:sz w:val="17"/>
              </w:rPr>
              <w:t>A7</w:t>
            </w:r>
          </w:p>
        </w:tc>
        <w:tc>
          <w:tcPr>
            <w:tcW w:type="dxa" w:w="8504"/>
          </w:tcPr>
          <w:p>
            <w:pPr>
              <w:spacing w:before="40" w:after="40"/>
            </w:pPr>
            <w:r>
              <w:rPr>
                <w:rFonts w:ascii="Calibri" w:hAnsi="Calibri"/>
                <w:b w:val="0"/>
                <w:i w:val="0"/>
                <w:color w:val="333333"/>
                <w:sz w:val="17"/>
              </w:rPr>
              <w:t>Amounts are in XOF</w:t>
            </w:r>
          </w:p>
        </w:tc>
      </w:tr>
    </w:tbl>
    <w:p>
      <w:pPr>
        <w:spacing w:after="40"/>
      </w:pPr>
    </w:p>
    <w:p>
      <w:pPr>
        <w:pStyle w:val="Heading2"/>
        <w:spacing w:before="280" w:after="80"/>
        <w:keepNext/>
      </w:pPr>
      <w:bookmarkStart w:id="150" w:name="_Toc_s049"/>
      <w:r>
        <w:rPr>
          <w:rFonts w:ascii="Calibri" w:hAnsi="Calibri"/>
          <w:b/>
          <w:color w:val="1B3A5C"/>
          <w:sz w:val="24"/>
        </w:rPr>
        <w:t>12.2 Open points requiring a SUNU decision</w:t>
      </w:r>
      <w:bookmarkEnd w:id="15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w:t>
            </w:r>
          </w:p>
        </w:tc>
        <w:tc>
          <w:tcPr>
            <w:tcW w:type="dxa" w:w="2436"/>
            <w:shd w:val="clear" w:fill="1B3A5C"/>
          </w:tcPr>
          <w:p>
            <w:pPr>
              <w:spacing w:before="60" w:after="60"/>
            </w:pPr>
            <w:r>
              <w:rPr>
                <w:rFonts w:ascii="Calibri" w:hAnsi="Calibri"/>
                <w:b/>
                <w:color w:val="FFFFFF"/>
                <w:sz w:val="17"/>
              </w:rPr>
              <w:t>Open point</w:t>
            </w:r>
          </w:p>
        </w:tc>
        <w:tc>
          <w:tcPr>
            <w:tcW w:type="dxa" w:w="2436"/>
            <w:shd w:val="clear" w:fill="1B3A5C"/>
          </w:tcPr>
          <w:p>
            <w:pPr>
              <w:spacing w:before="60" w:after="60"/>
            </w:pPr>
            <w:r>
              <w:rPr>
                <w:rFonts w:ascii="Calibri" w:hAnsi="Calibri"/>
                <w:b/>
                <w:color w:val="FFFFFF"/>
                <w:sz w:val="17"/>
              </w:rPr>
              <w:t>Impact if unresolved</w:t>
            </w:r>
          </w:p>
        </w:tc>
        <w:tc>
          <w:tcPr>
            <w:tcW w:type="dxa" w:w="2436"/>
            <w:shd w:val="clear" w:fill="1B3A5C"/>
          </w:tcPr>
          <w:p>
            <w:pPr>
              <w:spacing w:before="60" w:after="60"/>
            </w:pPr>
            <w:r>
              <w:rPr>
                <w:rFonts w:ascii="Calibri" w:hAnsi="Calibri"/>
                <w:b/>
                <w:color w:val="FFFFFF"/>
                <w:sz w:val="17"/>
              </w:rPr>
              <w:t>Needed by</w:t>
            </w:r>
          </w:p>
        </w:tc>
      </w:tr>
      <w:tr>
        <w:tc>
          <w:tcPr>
            <w:tcW w:type="dxa" w:w="2436"/>
          </w:tcPr>
          <w:p>
            <w:pPr>
              <w:spacing w:before="40" w:after="40"/>
            </w:pPr>
            <w:r>
              <w:rPr>
                <w:rFonts w:ascii="Calibri" w:hAnsi="Calibri"/>
                <w:b/>
                <w:i w:val="0"/>
                <w:color w:val="333333"/>
                <w:sz w:val="17"/>
              </w:rPr>
              <w:t>OP-1</w:t>
            </w:r>
          </w:p>
        </w:tc>
        <w:tc>
          <w:tcPr>
            <w:tcW w:type="dxa" w:w="2436"/>
          </w:tcPr>
          <w:p>
            <w:pPr>
              <w:spacing w:before="40" w:after="40"/>
            </w:pPr>
            <w:r>
              <w:rPr>
                <w:rFonts w:ascii="Calibri" w:hAnsi="Calibri"/>
                <w:b w:val="0"/>
                <w:i w:val="0"/>
                <w:color w:val="333333"/>
                <w:sz w:val="17"/>
              </w:rPr>
              <w:t>SUNULIFE API existence, documentation and test access (section 8.5)</w:t>
            </w:r>
          </w:p>
        </w:tc>
        <w:tc>
          <w:tcPr>
            <w:tcW w:type="dxa" w:w="2436"/>
          </w:tcPr>
          <w:p>
            <w:pPr>
              <w:spacing w:before="40" w:after="40"/>
            </w:pPr>
            <w:r>
              <w:rPr>
                <w:rFonts w:ascii="Calibri" w:hAnsi="Calibri"/>
                <w:b w:val="0"/>
                <w:i w:val="0"/>
                <w:color w:val="333333"/>
                <w:sz w:val="17"/>
              </w:rPr>
              <w:t>Determines whether Phase 1 is possible for November or the file-based fallback applies</w:t>
            </w:r>
          </w:p>
        </w:tc>
        <w:tc>
          <w:tcPr>
            <w:tcW w:type="dxa" w:w="2436"/>
          </w:tcPr>
          <w:p>
            <w:pPr>
              <w:spacing w:before="40" w:after="40"/>
            </w:pPr>
            <w:r>
              <w:rPr>
                <w:rFonts w:ascii="Calibri" w:hAnsi="Calibri"/>
                <w:b w:val="0"/>
                <w:i w:val="0"/>
                <w:color w:val="333333"/>
                <w:sz w:val="17"/>
              </w:rPr>
              <w:t>15 September 2026</w:t>
            </w:r>
          </w:p>
        </w:tc>
      </w:tr>
      <w:tr>
        <w:tc>
          <w:tcPr>
            <w:tcW w:type="dxa" w:w="2436"/>
            <w:shd w:val="clear" w:fill="F2F6FA"/>
          </w:tcPr>
          <w:p>
            <w:pPr>
              <w:spacing w:before="40" w:after="40"/>
            </w:pPr>
            <w:r>
              <w:rPr>
                <w:rFonts w:ascii="Calibri" w:hAnsi="Calibri"/>
                <w:b/>
                <w:i w:val="0"/>
                <w:color w:val="333333"/>
                <w:sz w:val="17"/>
              </w:rPr>
              <w:t>OP-2</w:t>
            </w:r>
          </w:p>
        </w:tc>
        <w:tc>
          <w:tcPr>
            <w:tcW w:type="dxa" w:w="2436"/>
            <w:shd w:val="clear" w:fill="F2F6FA"/>
          </w:tcPr>
          <w:p>
            <w:pPr>
              <w:spacing w:before="40" w:after="40"/>
            </w:pPr>
            <w:r>
              <w:rPr>
                <w:rFonts w:ascii="Calibri" w:hAnsi="Calibri"/>
                <w:b w:val="0"/>
                <w:i w:val="0"/>
                <w:color w:val="333333"/>
                <w:sz w:val="17"/>
              </w:rPr>
              <w:t>Provision of the customer/policy extract for the Phase 0 import</w:t>
            </w:r>
          </w:p>
        </w:tc>
        <w:tc>
          <w:tcPr>
            <w:tcW w:type="dxa" w:w="2436"/>
            <w:shd w:val="clear" w:fill="F2F6FA"/>
          </w:tcPr>
          <w:p>
            <w:pPr>
              <w:spacing w:before="40" w:after="40"/>
            </w:pPr>
            <w:r>
              <w:rPr>
                <w:rFonts w:ascii="Calibri" w:hAnsi="Calibri"/>
                <w:b w:val="0"/>
                <w:i w:val="0"/>
                <w:color w:val="333333"/>
                <w:sz w:val="17"/>
              </w:rPr>
              <w:t>Field agents would not see existing customers at the pilot</w:t>
            </w:r>
          </w:p>
        </w:tc>
        <w:tc>
          <w:tcPr>
            <w:tcW w:type="dxa" w:w="2436"/>
            <w:shd w:val="clear" w:fill="F2F6FA"/>
          </w:tcPr>
          <w:p>
            <w:pPr>
              <w:spacing w:before="40" w:after="40"/>
            </w:pPr>
            <w:r>
              <w:rPr>
                <w:rFonts w:ascii="Calibri" w:hAnsi="Calibri"/>
                <w:b w:val="0"/>
                <w:i w:val="0"/>
                <w:color w:val="333333"/>
                <w:sz w:val="17"/>
              </w:rPr>
              <w:t>10 September 2026</w:t>
            </w:r>
          </w:p>
        </w:tc>
      </w:tr>
      <w:tr>
        <w:tc>
          <w:tcPr>
            <w:tcW w:type="dxa" w:w="2436"/>
          </w:tcPr>
          <w:p>
            <w:pPr>
              <w:spacing w:before="40" w:after="40"/>
            </w:pPr>
            <w:r>
              <w:rPr>
                <w:rFonts w:ascii="Calibri" w:hAnsi="Calibri"/>
                <w:b/>
                <w:i w:val="0"/>
                <w:color w:val="333333"/>
                <w:sz w:val="17"/>
              </w:rPr>
              <w:t>OP-3</w:t>
            </w:r>
          </w:p>
        </w:tc>
        <w:tc>
          <w:tcPr>
            <w:tcW w:type="dxa" w:w="2436"/>
          </w:tcPr>
          <w:p>
            <w:pPr>
              <w:spacing w:before="40" w:after="40"/>
            </w:pPr>
            <w:r>
              <w:rPr>
                <w:rFonts w:ascii="Calibri" w:hAnsi="Calibri"/>
                <w:b w:val="0"/>
                <w:i w:val="0"/>
                <w:color w:val="333333"/>
                <w:sz w:val="17"/>
              </w:rPr>
              <w:t>Card technology: magnetic stripe as written in the TdR, or contactless as recommended</w:t>
            </w:r>
          </w:p>
        </w:tc>
        <w:tc>
          <w:tcPr>
            <w:tcW w:type="dxa" w:w="2436"/>
          </w:tcPr>
          <w:p>
            <w:pPr>
              <w:spacing w:before="40" w:after="40"/>
            </w:pPr>
            <w:r>
              <w:rPr>
                <w:rFonts w:ascii="Calibri" w:hAnsi="Calibri"/>
                <w:b w:val="0"/>
                <w:i w:val="0"/>
                <w:color w:val="333333"/>
                <w:sz w:val="17"/>
              </w:rPr>
              <w:t>Card procurement lead time; multi-policy capability; clone resistance</w:t>
            </w:r>
          </w:p>
        </w:tc>
        <w:tc>
          <w:tcPr>
            <w:tcW w:type="dxa" w:w="2436"/>
          </w:tcPr>
          <w:p>
            <w:pPr>
              <w:spacing w:before="40" w:after="40"/>
            </w:pPr>
            <w:r>
              <w:rPr>
                <w:rFonts w:ascii="Calibri" w:hAnsi="Calibri"/>
                <w:b w:val="0"/>
                <w:i w:val="0"/>
                <w:color w:val="333333"/>
                <w:sz w:val="17"/>
              </w:rPr>
              <w:t>8 September 2026</w:t>
            </w:r>
          </w:p>
        </w:tc>
      </w:tr>
      <w:tr>
        <w:tc>
          <w:tcPr>
            <w:tcW w:type="dxa" w:w="2436"/>
            <w:shd w:val="clear" w:fill="F2F6FA"/>
          </w:tcPr>
          <w:p>
            <w:pPr>
              <w:spacing w:before="40" w:after="40"/>
            </w:pPr>
            <w:r>
              <w:rPr>
                <w:rFonts w:ascii="Calibri" w:hAnsi="Calibri"/>
                <w:b/>
                <w:i w:val="0"/>
                <w:color w:val="333333"/>
                <w:sz w:val="17"/>
              </w:rPr>
              <w:t>OP-4</w:t>
            </w:r>
          </w:p>
        </w:tc>
        <w:tc>
          <w:tcPr>
            <w:tcW w:type="dxa" w:w="2436"/>
            <w:shd w:val="clear" w:fill="F2F6FA"/>
          </w:tcPr>
          <w:p>
            <w:pPr>
              <w:spacing w:before="40" w:after="40"/>
            </w:pPr>
            <w:r>
              <w:rPr>
                <w:rFonts w:ascii="Calibri" w:hAnsi="Calibri"/>
                <w:b w:val="0"/>
                <w:i w:val="0"/>
                <w:color w:val="333333"/>
                <w:sz w:val="17"/>
              </w:rPr>
              <w:t>Mobile Money route (aggregator or direct) and which entity holds the merchant account</w:t>
            </w:r>
          </w:p>
        </w:tc>
        <w:tc>
          <w:tcPr>
            <w:tcW w:type="dxa" w:w="2436"/>
            <w:shd w:val="clear" w:fill="F2F6FA"/>
          </w:tcPr>
          <w:p>
            <w:pPr>
              <w:spacing w:before="40" w:after="40"/>
            </w:pPr>
            <w:r>
              <w:rPr>
                <w:rFonts w:ascii="Calibri" w:hAnsi="Calibri"/>
                <w:b w:val="0"/>
                <w:i w:val="0"/>
                <w:color w:val="333333"/>
                <w:sz w:val="17"/>
              </w:rPr>
              <w:t>Operator onboarding is the longest external lead time before November</w:t>
            </w:r>
          </w:p>
        </w:tc>
        <w:tc>
          <w:tcPr>
            <w:tcW w:type="dxa" w:w="2436"/>
            <w:shd w:val="clear" w:fill="F2F6FA"/>
          </w:tcPr>
          <w:p>
            <w:pPr>
              <w:spacing w:before="40" w:after="40"/>
            </w:pPr>
            <w:r>
              <w:rPr>
                <w:rFonts w:ascii="Calibri" w:hAnsi="Calibri"/>
                <w:b w:val="0"/>
                <w:i w:val="0"/>
                <w:color w:val="333333"/>
                <w:sz w:val="17"/>
              </w:rPr>
              <w:t>8 September 2026</w:t>
            </w:r>
          </w:p>
        </w:tc>
      </w:tr>
      <w:tr>
        <w:tc>
          <w:tcPr>
            <w:tcW w:type="dxa" w:w="2436"/>
          </w:tcPr>
          <w:p>
            <w:pPr>
              <w:spacing w:before="40" w:after="40"/>
            </w:pPr>
            <w:r>
              <w:rPr>
                <w:rFonts w:ascii="Calibri" w:hAnsi="Calibri"/>
                <w:b/>
                <w:i w:val="0"/>
                <w:color w:val="333333"/>
                <w:sz w:val="17"/>
              </w:rPr>
              <w:t>OP-5</w:t>
            </w:r>
          </w:p>
        </w:tc>
        <w:tc>
          <w:tcPr>
            <w:tcW w:type="dxa" w:w="2436"/>
          </w:tcPr>
          <w:p>
            <w:pPr>
              <w:spacing w:before="40" w:after="40"/>
            </w:pPr>
            <w:r>
              <w:rPr>
                <w:rFonts w:ascii="Calibri" w:hAnsi="Calibri"/>
                <w:b w:val="0"/>
                <w:i w:val="0"/>
                <w:color w:val="333333"/>
                <w:sz w:val="17"/>
              </w:rPr>
              <w:t>Hosting location and who provides the infrastructure</w:t>
            </w:r>
          </w:p>
        </w:tc>
        <w:tc>
          <w:tcPr>
            <w:tcW w:type="dxa" w:w="2436"/>
          </w:tcPr>
          <w:p>
            <w:pPr>
              <w:spacing w:before="40" w:after="40"/>
            </w:pPr>
            <w:r>
              <w:rPr>
                <w:rFonts w:ascii="Calibri" w:hAnsi="Calibri"/>
                <w:b w:val="0"/>
                <w:i w:val="0"/>
                <w:color w:val="333333"/>
                <w:sz w:val="17"/>
              </w:rPr>
              <w:t>Environment provisioning blocks UAT</w:t>
            </w:r>
          </w:p>
        </w:tc>
        <w:tc>
          <w:tcPr>
            <w:tcW w:type="dxa" w:w="2436"/>
          </w:tcPr>
          <w:p>
            <w:pPr>
              <w:spacing w:before="40" w:after="40"/>
            </w:pPr>
            <w:r>
              <w:rPr>
                <w:rFonts w:ascii="Calibri" w:hAnsi="Calibri"/>
                <w:b w:val="0"/>
                <w:i w:val="0"/>
                <w:color w:val="333333"/>
                <w:sz w:val="17"/>
              </w:rPr>
              <w:t>5 September 2026</w:t>
            </w:r>
          </w:p>
        </w:tc>
      </w:tr>
      <w:tr>
        <w:tc>
          <w:tcPr>
            <w:tcW w:type="dxa" w:w="2436"/>
            <w:shd w:val="clear" w:fill="F2F6FA"/>
          </w:tcPr>
          <w:p>
            <w:pPr>
              <w:spacing w:before="40" w:after="40"/>
            </w:pPr>
            <w:r>
              <w:rPr>
                <w:rFonts w:ascii="Calibri" w:hAnsi="Calibri"/>
                <w:b/>
                <w:i w:val="0"/>
                <w:color w:val="333333"/>
                <w:sz w:val="17"/>
              </w:rPr>
              <w:t>OP-6</w:t>
            </w:r>
          </w:p>
        </w:tc>
        <w:tc>
          <w:tcPr>
            <w:tcW w:type="dxa" w:w="2436"/>
            <w:shd w:val="clear" w:fill="F2F6FA"/>
          </w:tcPr>
          <w:p>
            <w:pPr>
              <w:spacing w:before="40" w:after="40"/>
            </w:pPr>
            <w:r>
              <w:rPr>
                <w:rFonts w:ascii="Calibri" w:hAnsi="Calibri"/>
                <w:b w:val="0"/>
                <w:i w:val="0"/>
                <w:color w:val="333333"/>
                <w:sz w:val="17"/>
              </w:rPr>
              <w:t>Collector cap amount(s) and whether the cap is uniform or per collector</w:t>
            </w:r>
          </w:p>
        </w:tc>
        <w:tc>
          <w:tcPr>
            <w:tcW w:type="dxa" w:w="2436"/>
            <w:shd w:val="clear" w:fill="F2F6FA"/>
          </w:tcPr>
          <w:p>
            <w:pPr>
              <w:spacing w:before="40" w:after="40"/>
            </w:pPr>
            <w:r>
              <w:rPr>
                <w:rFonts w:ascii="Calibri" w:hAnsi="Calibri"/>
                <w:b w:val="0"/>
                <w:i w:val="0"/>
                <w:color w:val="333333"/>
                <w:sz w:val="17"/>
              </w:rPr>
              <w:t>Configuration only, but needed for UAT scenarios</w:t>
            </w:r>
          </w:p>
        </w:tc>
        <w:tc>
          <w:tcPr>
            <w:tcW w:type="dxa" w:w="2436"/>
            <w:shd w:val="clear" w:fill="F2F6FA"/>
          </w:tcPr>
          <w:p>
            <w:pPr>
              <w:spacing w:before="40" w:after="40"/>
            </w:pPr>
            <w:r>
              <w:rPr>
                <w:rFonts w:ascii="Calibri" w:hAnsi="Calibri"/>
                <w:b w:val="0"/>
                <w:i w:val="0"/>
                <w:color w:val="333333"/>
                <w:sz w:val="17"/>
              </w:rPr>
              <w:t>15 September 2026</w:t>
            </w:r>
          </w:p>
        </w:tc>
      </w:tr>
      <w:tr>
        <w:tc>
          <w:tcPr>
            <w:tcW w:type="dxa" w:w="2436"/>
          </w:tcPr>
          <w:p>
            <w:pPr>
              <w:spacing w:before="40" w:after="40"/>
            </w:pPr>
            <w:r>
              <w:rPr>
                <w:rFonts w:ascii="Calibri" w:hAnsi="Calibri"/>
                <w:b/>
                <w:i w:val="0"/>
                <w:color w:val="333333"/>
                <w:sz w:val="17"/>
              </w:rPr>
              <w:t>OP-7</w:t>
            </w:r>
          </w:p>
        </w:tc>
        <w:tc>
          <w:tcPr>
            <w:tcW w:type="dxa" w:w="2436"/>
          </w:tcPr>
          <w:p>
            <w:pPr>
              <w:spacing w:before="40" w:after="40"/>
            </w:pPr>
            <w:r>
              <w:rPr>
                <w:rFonts w:ascii="Calibri" w:hAnsi="Calibri"/>
                <w:b w:val="0"/>
                <w:i w:val="0"/>
                <w:color w:val="333333"/>
                <w:sz w:val="17"/>
              </w:rPr>
              <w:t>Definitive list of products for the pilot and their premium/policy-cost rules</w:t>
            </w:r>
          </w:p>
        </w:tc>
        <w:tc>
          <w:tcPr>
            <w:tcW w:type="dxa" w:w="2436"/>
          </w:tcPr>
          <w:p>
            <w:pPr>
              <w:spacing w:before="40" w:after="40"/>
            </w:pPr>
            <w:r>
              <w:rPr>
                <w:rFonts w:ascii="Calibri" w:hAnsi="Calibri"/>
                <w:b w:val="0"/>
                <w:i w:val="0"/>
                <w:color w:val="333333"/>
                <w:sz w:val="17"/>
              </w:rPr>
              <w:t>Product catalogue configuration</w:t>
            </w:r>
          </w:p>
        </w:tc>
        <w:tc>
          <w:tcPr>
            <w:tcW w:type="dxa" w:w="2436"/>
          </w:tcPr>
          <w:p>
            <w:pPr>
              <w:spacing w:before="40" w:after="40"/>
            </w:pPr>
            <w:r>
              <w:rPr>
                <w:rFonts w:ascii="Calibri" w:hAnsi="Calibri"/>
                <w:b w:val="0"/>
                <w:i w:val="0"/>
                <w:color w:val="333333"/>
                <w:sz w:val="17"/>
              </w:rPr>
              <w:t>10 September 2026</w:t>
            </w:r>
          </w:p>
        </w:tc>
      </w:tr>
      <w:tr>
        <w:tc>
          <w:tcPr>
            <w:tcW w:type="dxa" w:w="2436"/>
            <w:shd w:val="clear" w:fill="F2F6FA"/>
          </w:tcPr>
          <w:p>
            <w:pPr>
              <w:spacing w:before="40" w:after="40"/>
            </w:pPr>
            <w:r>
              <w:rPr>
                <w:rFonts w:ascii="Calibri" w:hAnsi="Calibri"/>
                <w:b/>
                <w:i w:val="0"/>
                <w:color w:val="333333"/>
                <w:sz w:val="17"/>
              </w:rPr>
              <w:t>OP-8</w:t>
            </w:r>
          </w:p>
        </w:tc>
        <w:tc>
          <w:tcPr>
            <w:tcW w:type="dxa" w:w="2436"/>
            <w:shd w:val="clear" w:fill="F2F6FA"/>
          </w:tcPr>
          <w:p>
            <w:pPr>
              <w:spacing w:before="40" w:after="40"/>
            </w:pPr>
            <w:r>
              <w:rPr>
                <w:rFonts w:ascii="Calibri" w:hAnsi="Calibri"/>
                <w:b w:val="0"/>
                <w:i w:val="0"/>
                <w:color w:val="333333"/>
                <w:sz w:val="17"/>
              </w:rPr>
              <w:t>Receipt content and layout, including legal mentions required in Burkina Faso</w:t>
            </w:r>
          </w:p>
        </w:tc>
        <w:tc>
          <w:tcPr>
            <w:tcW w:type="dxa" w:w="2436"/>
            <w:shd w:val="clear" w:fill="F2F6FA"/>
          </w:tcPr>
          <w:p>
            <w:pPr>
              <w:spacing w:before="40" w:after="40"/>
            </w:pPr>
            <w:r>
              <w:rPr>
                <w:rFonts w:ascii="Calibri" w:hAnsi="Calibri"/>
                <w:b w:val="0"/>
                <w:i w:val="0"/>
                <w:color w:val="333333"/>
                <w:sz w:val="17"/>
              </w:rPr>
              <w:t>Receipt template; printer testing</w:t>
            </w:r>
          </w:p>
        </w:tc>
        <w:tc>
          <w:tcPr>
            <w:tcW w:type="dxa" w:w="2436"/>
            <w:shd w:val="clear" w:fill="F2F6FA"/>
          </w:tcPr>
          <w:p>
            <w:pPr>
              <w:spacing w:before="40" w:after="40"/>
            </w:pPr>
            <w:r>
              <w:rPr>
                <w:rFonts w:ascii="Calibri" w:hAnsi="Calibri"/>
                <w:b w:val="0"/>
                <w:i w:val="0"/>
                <w:color w:val="333333"/>
                <w:sz w:val="17"/>
              </w:rPr>
              <w:t>10 September 2026</w:t>
            </w:r>
          </w:p>
        </w:tc>
      </w:tr>
      <w:tr>
        <w:tc>
          <w:tcPr>
            <w:tcW w:type="dxa" w:w="2436"/>
          </w:tcPr>
          <w:p>
            <w:pPr>
              <w:spacing w:before="40" w:after="40"/>
            </w:pPr>
            <w:r>
              <w:rPr>
                <w:rFonts w:ascii="Calibri" w:hAnsi="Calibri"/>
                <w:b/>
                <w:i w:val="0"/>
                <w:color w:val="333333"/>
                <w:sz w:val="17"/>
              </w:rPr>
              <w:t>OP-9</w:t>
            </w:r>
          </w:p>
        </w:tc>
        <w:tc>
          <w:tcPr>
            <w:tcW w:type="dxa" w:w="2436"/>
          </w:tcPr>
          <w:p>
            <w:pPr>
              <w:spacing w:before="40" w:after="40"/>
            </w:pPr>
            <w:r>
              <w:rPr>
                <w:rFonts w:ascii="Calibri" w:hAnsi="Calibri"/>
                <w:b w:val="0"/>
                <w:i w:val="0"/>
                <w:color w:val="333333"/>
                <w:sz w:val="17"/>
              </w:rPr>
              <w:t>Whether biometric identification of the insured is wanted (capability exists)</w:t>
            </w:r>
          </w:p>
        </w:tc>
        <w:tc>
          <w:tcPr>
            <w:tcW w:type="dxa" w:w="2436"/>
          </w:tcPr>
          <w:p>
            <w:pPr>
              <w:spacing w:before="40" w:after="40"/>
            </w:pPr>
            <w:r>
              <w:rPr>
                <w:rFonts w:ascii="Calibri" w:hAnsi="Calibri"/>
                <w:b w:val="0"/>
                <w:i w:val="0"/>
                <w:color w:val="333333"/>
                <w:sz w:val="17"/>
              </w:rPr>
              <w:t>Scope and CNIL/CIL declaration in Document 2</w:t>
            </w:r>
          </w:p>
        </w:tc>
        <w:tc>
          <w:tcPr>
            <w:tcW w:type="dxa" w:w="2436"/>
          </w:tcPr>
          <w:p>
            <w:pPr>
              <w:spacing w:before="40" w:after="40"/>
            </w:pPr>
            <w:r>
              <w:rPr>
                <w:rFonts w:ascii="Calibri" w:hAnsi="Calibri"/>
                <w:b w:val="0"/>
                <w:i w:val="0"/>
                <w:color w:val="333333"/>
                <w:sz w:val="17"/>
              </w:rPr>
              <w:t>1 October 2026</w:t>
            </w:r>
          </w:p>
        </w:tc>
      </w:tr>
      <w:tr>
        <w:tc>
          <w:tcPr>
            <w:tcW w:type="dxa" w:w="2436"/>
            <w:shd w:val="clear" w:fill="F2F6FA"/>
          </w:tcPr>
          <w:p>
            <w:pPr>
              <w:spacing w:before="40" w:after="40"/>
            </w:pPr>
            <w:r>
              <w:rPr>
                <w:rFonts w:ascii="Calibri" w:hAnsi="Calibri"/>
                <w:b/>
                <w:i w:val="0"/>
                <w:color w:val="333333"/>
                <w:sz w:val="17"/>
              </w:rPr>
              <w:t>OP-10</w:t>
            </w:r>
          </w:p>
        </w:tc>
        <w:tc>
          <w:tcPr>
            <w:tcW w:type="dxa" w:w="2436"/>
            <w:shd w:val="clear" w:fill="F2F6FA"/>
          </w:tcPr>
          <w:p>
            <w:pPr>
              <w:spacing w:before="40" w:after="40"/>
            </w:pPr>
            <w:r>
              <w:rPr>
                <w:rFonts w:ascii="Calibri" w:hAnsi="Calibri"/>
                <w:b w:val="0"/>
                <w:i w:val="0"/>
                <w:color w:val="333333"/>
                <w:sz w:val="17"/>
              </w:rPr>
              <w:t>Bank account(s) and cash office(s) designated for collector pay-ins</w:t>
            </w:r>
          </w:p>
        </w:tc>
        <w:tc>
          <w:tcPr>
            <w:tcW w:type="dxa" w:w="2436"/>
            <w:shd w:val="clear" w:fill="F2F6FA"/>
          </w:tcPr>
          <w:p>
            <w:pPr>
              <w:spacing w:before="40" w:after="40"/>
            </w:pPr>
            <w:r>
              <w:rPr>
                <w:rFonts w:ascii="Calibri" w:hAnsi="Calibri"/>
                <w:b w:val="0"/>
                <w:i w:val="0"/>
                <w:color w:val="333333"/>
                <w:sz w:val="17"/>
              </w:rPr>
              <w:t>Pay-in configuration</w:t>
            </w:r>
          </w:p>
        </w:tc>
        <w:tc>
          <w:tcPr>
            <w:tcW w:type="dxa" w:w="2436"/>
            <w:shd w:val="clear" w:fill="F2F6FA"/>
          </w:tcPr>
          <w:p>
            <w:pPr>
              <w:spacing w:before="40" w:after="40"/>
            </w:pPr>
            <w:r>
              <w:rPr>
                <w:rFonts w:ascii="Calibri" w:hAnsi="Calibri"/>
                <w:b w:val="0"/>
                <w:i w:val="0"/>
                <w:color w:val="333333"/>
                <w:sz w:val="17"/>
              </w:rPr>
              <w:t>15 September 2026</w:t>
            </w:r>
          </w:p>
        </w:tc>
      </w:tr>
    </w:tbl>
    <w:p>
      <w:pPr>
        <w:spacing w:after="40"/>
      </w:pPr>
    </w:p>
    <w:p>
      <w:pPr>
        <w:pStyle w:val="Heading1"/>
        <w:pageBreakBefore/>
        <w:spacing w:before="360" w:after="80"/>
        <w:keepNext/>
        <w:pBdr>
          <w:bottom w:val="single" w:sz="8" w:space="6" w:color="1B3A5C"/>
        </w:pBdr>
      </w:pPr>
      <w:bookmarkStart w:id="151" w:name="_Toc_s050"/>
      <w:r>
        <w:rPr>
          <w:rFonts w:ascii="Calibri" w:hAnsi="Calibri"/>
          <w:b/>
          <w:color w:val="1B3A5C"/>
          <w:sz w:val="30"/>
        </w:rPr>
        <w:t>13. Traceability — Requirements to Architecture</w:t>
      </w:r>
      <w:bookmarkEnd w:id="15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Requirement</w:t>
            </w:r>
          </w:p>
        </w:tc>
        <w:tc>
          <w:tcPr>
            <w:tcW w:type="dxa" w:w="4873"/>
            <w:shd w:val="clear" w:fill="1B3A5C"/>
          </w:tcPr>
          <w:p>
            <w:pPr>
              <w:spacing w:before="60" w:after="60"/>
            </w:pPr>
            <w:r>
              <w:rPr>
                <w:rFonts w:ascii="Calibri" w:hAnsi="Calibri"/>
                <w:b/>
                <w:color w:val="FFFFFF"/>
                <w:sz w:val="17"/>
              </w:rPr>
              <w:t>Architecture response</w:t>
            </w:r>
          </w:p>
        </w:tc>
      </w:tr>
      <w:tr>
        <w:tc>
          <w:tcPr>
            <w:tcW w:type="dxa" w:w="4873"/>
          </w:tcPr>
          <w:p>
            <w:pPr>
              <w:spacing w:before="40" w:after="40"/>
            </w:pPr>
            <w:r>
              <w:rPr>
                <w:rFonts w:ascii="Calibri" w:hAnsi="Calibri"/>
                <w:b w:val="0"/>
                <w:i w:val="0"/>
                <w:color w:val="333333"/>
                <w:sz w:val="17"/>
              </w:rPr>
              <w:t>TdR Need 1 — subscription + first premium</w:t>
            </w:r>
          </w:p>
        </w:tc>
        <w:tc>
          <w:tcPr>
            <w:tcW w:type="dxa" w:w="4873"/>
          </w:tcPr>
          <w:p>
            <w:pPr>
              <w:spacing w:before="40" w:after="40"/>
            </w:pPr>
            <w:r>
              <w:rPr>
                <w:rFonts w:ascii="Calibri" w:hAnsi="Calibri"/>
                <w:b w:val="0"/>
                <w:i w:val="0"/>
                <w:color w:val="333333"/>
                <w:sz w:val="17"/>
              </w:rPr>
              <w:t>§6.1, components P3–P5, B8, B10, B11</w:t>
            </w:r>
          </w:p>
        </w:tc>
      </w:tr>
      <w:tr>
        <w:tc>
          <w:tcPr>
            <w:tcW w:type="dxa" w:w="4873"/>
            <w:shd w:val="clear" w:fill="F2F6FA"/>
          </w:tcPr>
          <w:p>
            <w:pPr>
              <w:spacing w:before="40" w:after="40"/>
            </w:pPr>
            <w:r>
              <w:rPr>
                <w:rFonts w:ascii="Calibri" w:hAnsi="Calibri"/>
                <w:b w:val="0"/>
                <w:i w:val="0"/>
                <w:color w:val="333333"/>
                <w:sz w:val="17"/>
              </w:rPr>
              <w:t>TdR Need 1 — proposal + CNIB photos with agent, product, proposal number, name, GPS</w:t>
            </w:r>
          </w:p>
        </w:tc>
        <w:tc>
          <w:tcPr>
            <w:tcW w:type="dxa" w:w="4873"/>
            <w:shd w:val="clear" w:fill="F2F6FA"/>
          </w:tcPr>
          <w:p>
            <w:pPr>
              <w:spacing w:before="40" w:after="40"/>
            </w:pPr>
            <w:r>
              <w:rPr>
                <w:rFonts w:ascii="Calibri" w:hAnsi="Calibri"/>
                <w:b w:val="0"/>
                <w:i w:val="0"/>
                <w:color w:val="333333"/>
                <w:sz w:val="17"/>
              </w:rPr>
              <w:t xml:space="preserve">§6.1, P3, P4, B8, table </w:t>
            </w:r>
            <w:r>
              <w:rPr>
                <w:rFonts w:ascii="Consolas" w:hAnsi="Consolas"/>
                <w:b w:val="0"/>
                <w:i w:val="0"/>
                <w:color w:val="1B3A5C"/>
                <w:sz w:val="16"/>
              </w:rPr>
              <w:t>proposal</w:t>
            </w:r>
          </w:p>
        </w:tc>
      </w:tr>
      <w:tr>
        <w:tc>
          <w:tcPr>
            <w:tcW w:type="dxa" w:w="4873"/>
          </w:tcPr>
          <w:p>
            <w:pPr>
              <w:spacing w:before="40" w:after="40"/>
            </w:pPr>
            <w:r>
              <w:rPr>
                <w:rFonts w:ascii="Calibri" w:hAnsi="Calibri"/>
                <w:b w:val="0"/>
                <w:i w:val="0"/>
                <w:color w:val="333333"/>
                <w:sz w:val="17"/>
              </w:rPr>
              <w:t>TdR Need 1 — card with SUNU branding, insured name, multi-policy</w:t>
            </w:r>
          </w:p>
        </w:tc>
        <w:tc>
          <w:tcPr>
            <w:tcW w:type="dxa" w:w="4873"/>
          </w:tcPr>
          <w:p>
            <w:pPr>
              <w:spacing w:before="40" w:after="40"/>
            </w:pPr>
            <w:r>
              <w:rPr>
                <w:rFonts w:ascii="Calibri" w:hAnsi="Calibri"/>
                <w:b w:val="0"/>
                <w:i w:val="0"/>
                <w:color w:val="333333"/>
                <w:sz w:val="17"/>
              </w:rPr>
              <w:t xml:space="preserve">§6.4, §7.1, B13, table </w:t>
            </w:r>
            <w:r>
              <w:rPr>
                <w:rFonts w:ascii="Consolas" w:hAnsi="Consolas"/>
                <w:b w:val="0"/>
                <w:i w:val="0"/>
                <w:color w:val="1B3A5C"/>
                <w:sz w:val="16"/>
              </w:rPr>
              <w:t>card_policy_link</w:t>
            </w:r>
          </w:p>
        </w:tc>
      </w:tr>
      <w:tr>
        <w:tc>
          <w:tcPr>
            <w:tcW w:type="dxa" w:w="4873"/>
            <w:shd w:val="clear" w:fill="F2F6FA"/>
          </w:tcPr>
          <w:p>
            <w:pPr>
              <w:spacing w:before="40" w:after="40"/>
            </w:pPr>
            <w:r>
              <w:rPr>
                <w:rFonts w:ascii="Calibri" w:hAnsi="Calibri"/>
                <w:b w:val="0"/>
                <w:i w:val="0"/>
                <w:color w:val="333333"/>
                <w:sz w:val="17"/>
              </w:rPr>
              <w:t>TdR Need 2 — card read → policy list → collect → receipt</w:t>
            </w:r>
          </w:p>
        </w:tc>
        <w:tc>
          <w:tcPr>
            <w:tcW w:type="dxa" w:w="4873"/>
            <w:shd w:val="clear" w:fill="F2F6FA"/>
          </w:tcPr>
          <w:p>
            <w:pPr>
              <w:spacing w:before="40" w:after="40"/>
            </w:pPr>
            <w:r>
              <w:rPr>
                <w:rFonts w:ascii="Calibri" w:hAnsi="Calibri"/>
                <w:b w:val="0"/>
                <w:i w:val="0"/>
                <w:color w:val="333333"/>
                <w:sz w:val="17"/>
              </w:rPr>
              <w:t>§6.2, P6, P9, P12, B10</w:t>
            </w:r>
          </w:p>
        </w:tc>
      </w:tr>
      <w:tr>
        <w:tc>
          <w:tcPr>
            <w:tcW w:type="dxa" w:w="4873"/>
          </w:tcPr>
          <w:p>
            <w:pPr>
              <w:spacing w:before="40" w:after="40"/>
            </w:pPr>
            <w:r>
              <w:rPr>
                <w:rFonts w:ascii="Calibri" w:hAnsi="Calibri"/>
                <w:b w:val="0"/>
                <w:i w:val="0"/>
                <w:color w:val="333333"/>
                <w:sz w:val="17"/>
              </w:rPr>
              <w:t>TdR Need 2 — collector cap, pay-in, terminal release</w:t>
            </w:r>
          </w:p>
        </w:tc>
        <w:tc>
          <w:tcPr>
            <w:tcW w:type="dxa" w:w="4873"/>
          </w:tcPr>
          <w:p>
            <w:pPr>
              <w:spacing w:before="40" w:after="40"/>
            </w:pPr>
            <w:r>
              <w:rPr>
                <w:rFonts w:ascii="Calibri" w:hAnsi="Calibri"/>
                <w:b w:val="0"/>
                <w:i w:val="0"/>
                <w:color w:val="333333"/>
                <w:sz w:val="17"/>
              </w:rPr>
              <w:t>§6.3, B12, P14</w:t>
            </w:r>
          </w:p>
        </w:tc>
      </w:tr>
      <w:tr>
        <w:tc>
          <w:tcPr>
            <w:tcW w:type="dxa" w:w="4873"/>
            <w:shd w:val="clear" w:fill="F2F6FA"/>
          </w:tcPr>
          <w:p>
            <w:pPr>
              <w:spacing w:before="40" w:after="40"/>
            </w:pPr>
            <w:r>
              <w:rPr>
                <w:rFonts w:ascii="Calibri" w:hAnsi="Calibri"/>
                <w:b w:val="0"/>
                <w:i w:val="0"/>
                <w:color w:val="333333"/>
                <w:sz w:val="17"/>
              </w:rPr>
              <w:t>TdR Need 2 — all payments in back office, Excel export</w:t>
            </w:r>
          </w:p>
        </w:tc>
        <w:tc>
          <w:tcPr>
            <w:tcW w:type="dxa" w:w="4873"/>
            <w:shd w:val="clear" w:fill="F2F6FA"/>
          </w:tcPr>
          <w:p>
            <w:pPr>
              <w:spacing w:before="40" w:after="40"/>
            </w:pPr>
            <w:r>
              <w:rPr>
                <w:rFonts w:ascii="Calibri" w:hAnsi="Calibri"/>
                <w:b w:val="0"/>
                <w:i w:val="0"/>
                <w:color w:val="333333"/>
                <w:sz w:val="17"/>
              </w:rPr>
              <w:t>B17, §8.4 Phase 0</w:t>
            </w:r>
          </w:p>
        </w:tc>
      </w:tr>
      <w:tr>
        <w:tc>
          <w:tcPr>
            <w:tcW w:type="dxa" w:w="4873"/>
          </w:tcPr>
          <w:p>
            <w:pPr>
              <w:spacing w:before="40" w:after="40"/>
            </w:pPr>
            <w:r>
              <w:rPr>
                <w:rFonts w:ascii="Calibri" w:hAnsi="Calibri"/>
                <w:b w:val="0"/>
                <w:i w:val="0"/>
                <w:color w:val="333333"/>
                <w:sz w:val="17"/>
              </w:rPr>
              <w:t>TdR Need 3 — 15 terminals, profiles and permissions, 5 000 cards, personalisation device</w:t>
            </w:r>
          </w:p>
        </w:tc>
        <w:tc>
          <w:tcPr>
            <w:tcW w:type="dxa" w:w="4873"/>
          </w:tcPr>
          <w:p>
            <w:pPr>
              <w:spacing w:before="40" w:after="40"/>
            </w:pPr>
            <w:r>
              <w:rPr>
                <w:rFonts w:ascii="Calibri" w:hAnsi="Calibri"/>
                <w:b w:val="0"/>
                <w:i w:val="0"/>
                <w:color w:val="333333"/>
                <w:sz w:val="17"/>
              </w:rPr>
              <w:t>B3, B5, B13, §6.4, §10.3</w:t>
            </w:r>
          </w:p>
        </w:tc>
      </w:tr>
      <w:tr>
        <w:tc>
          <w:tcPr>
            <w:tcW w:type="dxa" w:w="4873"/>
            <w:shd w:val="clear" w:fill="F2F6FA"/>
          </w:tcPr>
          <w:p>
            <w:pPr>
              <w:spacing w:before="40" w:after="40"/>
            </w:pPr>
            <w:r>
              <w:rPr>
                <w:rFonts w:ascii="Calibri" w:hAnsi="Calibri"/>
                <w:b w:val="0"/>
                <w:i w:val="0"/>
                <w:color w:val="333333"/>
                <w:sz w:val="17"/>
              </w:rPr>
              <w:t>TdR Need 4 — APIs to update the core software</w:t>
            </w:r>
          </w:p>
        </w:tc>
        <w:tc>
          <w:tcPr>
            <w:tcW w:type="dxa" w:w="4873"/>
            <w:shd w:val="clear" w:fill="F2F6FA"/>
          </w:tcPr>
          <w:p>
            <w:pPr>
              <w:spacing w:before="40" w:after="40"/>
            </w:pPr>
            <w:r>
              <w:rPr>
                <w:rFonts w:ascii="Calibri" w:hAnsi="Calibri"/>
                <w:b w:val="0"/>
                <w:i w:val="0"/>
                <w:color w:val="333333"/>
                <w:sz w:val="17"/>
              </w:rPr>
              <w:t>§8, S5–S7</w:t>
            </w:r>
          </w:p>
        </w:tc>
      </w:tr>
      <w:tr>
        <w:tc>
          <w:tcPr>
            <w:tcW w:type="dxa" w:w="4873"/>
          </w:tcPr>
          <w:p>
            <w:pPr>
              <w:spacing w:before="40" w:after="40"/>
            </w:pPr>
            <w:r>
              <w:rPr>
                <w:rFonts w:ascii="Calibri" w:hAnsi="Calibri"/>
                <w:b w:val="0"/>
                <w:i w:val="0"/>
                <w:color w:val="333333"/>
                <w:sz w:val="17"/>
              </w:rPr>
              <w:t>E-mail §1 — SUNULIFE retrieval and synchronisation</w:t>
            </w:r>
          </w:p>
        </w:tc>
        <w:tc>
          <w:tcPr>
            <w:tcW w:type="dxa" w:w="4873"/>
          </w:tcPr>
          <w:p>
            <w:pPr>
              <w:spacing w:before="40" w:after="40"/>
            </w:pPr>
            <w:r>
              <w:rPr>
                <w:rFonts w:ascii="Calibri" w:hAnsi="Calibri"/>
                <w:b w:val="0"/>
                <w:i w:val="0"/>
                <w:color w:val="333333"/>
                <w:sz w:val="17"/>
              </w:rPr>
              <w:t>§8 in full, S1–S4</w:t>
            </w:r>
          </w:p>
        </w:tc>
      </w:tr>
      <w:tr>
        <w:tc>
          <w:tcPr>
            <w:tcW w:type="dxa" w:w="4873"/>
            <w:shd w:val="clear" w:fill="F2F6FA"/>
          </w:tcPr>
          <w:p>
            <w:pPr>
              <w:spacing w:before="40" w:after="40"/>
            </w:pPr>
            <w:r>
              <w:rPr>
                <w:rFonts w:ascii="Calibri" w:hAnsi="Calibri"/>
                <w:b w:val="0"/>
                <w:i w:val="0"/>
                <w:color w:val="333333"/>
                <w:sz w:val="17"/>
              </w:rPr>
              <w:t>E-mail §2 — architecture documentation</w:t>
            </w:r>
          </w:p>
        </w:tc>
        <w:tc>
          <w:tcPr>
            <w:tcW w:type="dxa" w:w="4873"/>
            <w:shd w:val="clear" w:fill="F2F6FA"/>
          </w:tcPr>
          <w:p>
            <w:pPr>
              <w:spacing w:before="40" w:after="40"/>
            </w:pPr>
            <w:r>
              <w:rPr>
                <w:rFonts w:ascii="Calibri" w:hAnsi="Calibri"/>
                <w:b w:val="0"/>
                <w:i w:val="0"/>
                <w:color w:val="333333"/>
                <w:sz w:val="17"/>
              </w:rPr>
              <w:t>This document</w:t>
            </w:r>
          </w:p>
        </w:tc>
      </w:tr>
      <w:tr>
        <w:tc>
          <w:tcPr>
            <w:tcW w:type="dxa" w:w="4873"/>
          </w:tcPr>
          <w:p>
            <w:pPr>
              <w:spacing w:before="40" w:after="40"/>
            </w:pPr>
            <w:r>
              <w:rPr>
                <w:rFonts w:ascii="Calibri" w:hAnsi="Calibri"/>
                <w:b w:val="0"/>
                <w:i w:val="0"/>
                <w:color w:val="333333"/>
                <w:sz w:val="17"/>
              </w:rPr>
              <w:t>E-mail §2 — security documentation</w:t>
            </w:r>
          </w:p>
        </w:tc>
        <w:tc>
          <w:tcPr>
            <w:tcW w:type="dxa" w:w="4873"/>
          </w:tcPr>
          <w:p>
            <w:pPr>
              <w:spacing w:before="40" w:after="40"/>
            </w:pPr>
            <w:r>
              <w:rPr>
                <w:rFonts w:ascii="Calibri" w:hAnsi="Calibri"/>
                <w:b w:val="0"/>
                <w:i w:val="0"/>
                <w:color w:val="333333"/>
                <w:sz w:val="17"/>
              </w:rPr>
              <w:t>Document 2</w:t>
            </w:r>
          </w:p>
        </w:tc>
      </w:tr>
      <w:tr>
        <w:tc>
          <w:tcPr>
            <w:tcW w:type="dxa" w:w="4873"/>
            <w:shd w:val="clear" w:fill="F2F6FA"/>
          </w:tcPr>
          <w:p>
            <w:pPr>
              <w:spacing w:before="40" w:after="40"/>
            </w:pPr>
            <w:r>
              <w:rPr>
                <w:rFonts w:ascii="Calibri" w:hAnsi="Calibri"/>
                <w:b w:val="0"/>
                <w:i w:val="0"/>
                <w:color w:val="333333"/>
                <w:sz w:val="17"/>
              </w:rPr>
              <w:t>E-mail §3 — user guide per profile</w:t>
            </w:r>
          </w:p>
        </w:tc>
        <w:tc>
          <w:tcPr>
            <w:tcW w:type="dxa" w:w="4873"/>
            <w:shd w:val="clear" w:fill="F2F6FA"/>
          </w:tcPr>
          <w:p>
            <w:pPr>
              <w:spacing w:before="40" w:after="40"/>
            </w:pPr>
            <w:r>
              <w:rPr>
                <w:rFonts w:ascii="Calibri" w:hAnsi="Calibri"/>
                <w:b w:val="0"/>
                <w:i w:val="0"/>
                <w:color w:val="333333"/>
                <w:sz w:val="17"/>
              </w:rPr>
              <w:t>Document 3</w:t>
            </w:r>
          </w:p>
        </w:tc>
      </w:tr>
      <w:tr>
        <w:tc>
          <w:tcPr>
            <w:tcW w:type="dxa" w:w="4873"/>
          </w:tcPr>
          <w:p>
            <w:pPr>
              <w:spacing w:before="40" w:after="40"/>
            </w:pPr>
            <w:r>
              <w:rPr>
                <w:rFonts w:ascii="Calibri" w:hAnsi="Calibri"/>
                <w:b w:val="0"/>
                <w:i w:val="0"/>
                <w:color w:val="333333"/>
                <w:sz w:val="17"/>
              </w:rPr>
              <w:t>E-mail §4 — physical card</w:t>
            </w:r>
          </w:p>
        </w:tc>
        <w:tc>
          <w:tcPr>
            <w:tcW w:type="dxa" w:w="4873"/>
          </w:tcPr>
          <w:p>
            <w:pPr>
              <w:spacing w:before="40" w:after="40"/>
            </w:pPr>
            <w:r>
              <w:rPr>
                <w:rFonts w:ascii="Calibri" w:hAnsi="Calibri"/>
                <w:b w:val="0"/>
                <w:i w:val="0"/>
                <w:color w:val="333333"/>
                <w:sz w:val="17"/>
              </w:rPr>
              <w:t>§7.1</w:t>
            </w:r>
          </w:p>
        </w:tc>
      </w:tr>
      <w:tr>
        <w:tc>
          <w:tcPr>
            <w:tcW w:type="dxa" w:w="4873"/>
            <w:shd w:val="clear" w:fill="F2F6FA"/>
          </w:tcPr>
          <w:p>
            <w:pPr>
              <w:spacing w:before="40" w:after="40"/>
            </w:pPr>
            <w:r>
              <w:rPr>
                <w:rFonts w:ascii="Calibri" w:hAnsi="Calibri"/>
                <w:b w:val="0"/>
                <w:i w:val="0"/>
                <w:color w:val="333333"/>
                <w:sz w:val="17"/>
              </w:rPr>
              <w:t>E-mail §4 — virtual card via QR code</w:t>
            </w:r>
          </w:p>
        </w:tc>
        <w:tc>
          <w:tcPr>
            <w:tcW w:type="dxa" w:w="4873"/>
            <w:shd w:val="clear" w:fill="F2F6FA"/>
          </w:tcPr>
          <w:p>
            <w:pPr>
              <w:spacing w:before="40" w:after="40"/>
            </w:pPr>
            <w:r>
              <w:rPr>
                <w:rFonts w:ascii="Calibri" w:hAnsi="Calibri"/>
                <w:b w:val="0"/>
                <w:i w:val="0"/>
                <w:color w:val="333333"/>
                <w:sz w:val="17"/>
              </w:rPr>
              <w:t>§7.3</w:t>
            </w:r>
          </w:p>
        </w:tc>
      </w:tr>
      <w:tr>
        <w:tc>
          <w:tcPr>
            <w:tcW w:type="dxa" w:w="4873"/>
          </w:tcPr>
          <w:p>
            <w:pPr>
              <w:spacing w:before="40" w:after="40"/>
            </w:pPr>
            <w:r>
              <w:rPr>
                <w:rFonts w:ascii="Calibri" w:hAnsi="Calibri"/>
                <w:b w:val="0"/>
                <w:i w:val="0"/>
                <w:color w:val="333333"/>
                <w:sz w:val="17"/>
              </w:rPr>
              <w:t>E-mail §4 — Mobile Money</w:t>
            </w:r>
          </w:p>
        </w:tc>
        <w:tc>
          <w:tcPr>
            <w:tcW w:type="dxa" w:w="4873"/>
          </w:tcPr>
          <w:p>
            <w:pPr>
              <w:spacing w:before="40" w:after="40"/>
            </w:pPr>
            <w:r>
              <w:rPr>
                <w:rFonts w:ascii="Calibri" w:hAnsi="Calibri"/>
                <w:b w:val="0"/>
                <w:i w:val="0"/>
                <w:color w:val="333333"/>
                <w:sz w:val="17"/>
              </w:rPr>
              <w:t>§9</w:t>
            </w:r>
          </w:p>
        </w:tc>
      </w:tr>
      <w:tr>
        <w:tc>
          <w:tcPr>
            <w:tcW w:type="dxa" w:w="4873"/>
            <w:shd w:val="clear" w:fill="F2F6FA"/>
          </w:tcPr>
          <w:p>
            <w:pPr>
              <w:spacing w:before="40" w:after="40"/>
            </w:pPr>
            <w:r>
              <w:rPr>
                <w:rFonts w:ascii="Calibri" w:hAnsi="Calibri"/>
                <w:b w:val="0"/>
                <w:i w:val="0"/>
                <w:color w:val="333333"/>
                <w:sz w:val="17"/>
              </w:rPr>
              <w:t>Follow-up request, 16 September 2026 — as-built architecture, import file formats and sample</w:t>
            </w:r>
          </w:p>
        </w:tc>
        <w:tc>
          <w:tcPr>
            <w:tcW w:type="dxa" w:w="4873"/>
            <w:shd w:val="clear" w:fill="F2F6FA"/>
          </w:tcPr>
          <w:p>
            <w:pPr>
              <w:spacing w:before="40" w:after="40"/>
            </w:pPr>
            <w:r>
              <w:rPr>
                <w:rFonts w:ascii="Calibri" w:hAnsi="Calibri"/>
                <w:b w:val="0"/>
                <w:i w:val="0"/>
                <w:color w:val="333333"/>
                <w:sz w:val="17"/>
              </w:rPr>
              <w:t>§14; Document 5 and its sample CSV files</w:t>
            </w:r>
          </w:p>
        </w:tc>
      </w:tr>
      <w:tr>
        <w:tc>
          <w:tcPr>
            <w:tcW w:type="dxa" w:w="4873"/>
          </w:tcPr>
          <w:p>
            <w:pPr>
              <w:spacing w:before="40" w:after="40"/>
            </w:pPr>
            <w:r>
              <w:rPr>
                <w:rFonts w:ascii="Calibri" w:hAnsi="Calibri"/>
                <w:b w:val="0"/>
                <w:i w:val="0"/>
                <w:color w:val="333333"/>
                <w:sz w:val="17"/>
              </w:rPr>
              <w:t>E-mail §5 — September deployment, November production</w:t>
            </w:r>
          </w:p>
        </w:tc>
        <w:tc>
          <w:tcPr>
            <w:tcW w:type="dxa" w:w="4873"/>
          </w:tcPr>
          <w:p>
            <w:pPr>
              <w:spacing w:before="40" w:after="40"/>
            </w:pPr>
            <w:r>
              <w:rPr>
                <w:rFonts w:ascii="Calibri" w:hAnsi="Calibri"/>
                <w:b w:val="0"/>
                <w:i w:val="0"/>
                <w:color w:val="333333"/>
                <w:sz w:val="17"/>
              </w:rPr>
              <w:t>Document 4; §4.3 and §8.4 explain how the dates are protected</w:t>
            </w:r>
          </w:p>
        </w:tc>
      </w:tr>
    </w:tbl>
    <w:p>
      <w:pPr>
        <w:spacing w:after="40"/>
      </w:pPr>
    </w:p>
    <w:p>
      <w:pPr>
        <w:pStyle w:val="Heading1"/>
        <w:pageBreakBefore/>
        <w:spacing w:before="360" w:after="80"/>
        <w:keepNext/>
        <w:pBdr>
          <w:bottom w:val="single" w:sz="8" w:space="6" w:color="1B3A5C"/>
        </w:pBdr>
      </w:pPr>
      <w:bookmarkStart w:id="152" w:name="_Toc_s051"/>
      <w:r>
        <w:rPr>
          <w:rFonts w:ascii="Calibri" w:hAnsi="Calibri"/>
          <w:b/>
          <w:color w:val="1B3A5C"/>
          <w:sz w:val="30"/>
        </w:rPr>
        <w:t>14. Pilot Implementation — As Built (17 September 2026)</w:t>
      </w:r>
      <w:bookmarkEnd w:id="152"/>
    </w:p>
    <w:p>
      <w:r>
        <w:rPr>
          <w:rFonts w:ascii="Calibri" w:hAnsi="Calibri"/>
          <w:b w:val="0"/>
          <w:i w:val="0"/>
          <w:color w:val="333333"/>
          <w:sz w:val="20"/>
        </w:rPr>
        <w:t>Sections 1 to 13 describe the target architecture. This section records what the pilot environment implements today, so that SUNU IT can assess the running system as well as the design. Capabilities that are not yet built are stated as such.</w:t>
      </w:r>
    </w:p>
    <w:p>
      <w:pPr>
        <w:pStyle w:val="Heading2"/>
        <w:spacing w:before="280" w:after="80"/>
        <w:keepNext/>
      </w:pPr>
      <w:bookmarkStart w:id="153" w:name="_Toc_s052"/>
      <w:r>
        <w:rPr>
          <w:rFonts w:ascii="Calibri" w:hAnsi="Calibri"/>
          <w:b/>
          <w:color w:val="1B3A5C"/>
          <w:sz w:val="24"/>
        </w:rPr>
        <w:t>14.1 Pilot deployment</w:t>
      </w:r>
      <w:bookmarkEnd w:id="153"/>
    </w:p>
    <w:p>
      <w:pPr>
        <w:spacing w:before="120" w:after="160" w:line="240" w:lineRule="auto"/>
        <w:ind w:left="113"/>
        <w:shd w:val="clear" w:fill="F4F5F2"/>
        <w:pBdr>
          <w:left w:val="single" w:sz="12" w:space="6" w:color="1B3A5C"/>
        </w:pBdr>
      </w:pPr>
      <w:r>
        <w:rPr>
          <w:rFonts w:ascii="Consolas" w:hAnsi="Consolas" w:cs="Consolas"/>
          <w:color w:val="333333"/>
          <w:sz w:val="15"/>
        </w:rPr>
        <w:t xml:space="preserve"> Telpo F20 terminals                         Pilot server (Linux VPS, hosted by DBS)</w:t>
        <w:br/>
      </w:r>
      <w:r>
        <w:rPr>
          <w:rFonts w:ascii="Consolas" w:hAnsi="Consolas" w:cs="Consolas"/>
          <w:color w:val="333333"/>
          <w:sz w:val="15"/>
        </w:rPr>
        <w:t xml:space="preserve"> ┌────────────────────────┐                 ┌──────────────────────────────────────────┐</w:t>
        <w:br/>
      </w:r>
      <w:r>
        <w:rPr>
          <w:rFonts w:ascii="Consolas" w:hAnsi="Consolas" w:cs="Consolas"/>
          <w:color w:val="333333"/>
          <w:sz w:val="15"/>
        </w:rPr>
        <w:t xml:space="preserve"> │ SUNU TPE application    │  REST / JSON    │ Apache HTTP Server + PHP 8                │</w:t>
        <w:br/>
      </w:r>
      <w:r>
        <w:rPr>
          <w:rFonts w:ascii="Consolas" w:hAnsi="Consolas" w:cs="Consolas"/>
          <w:color w:val="333333"/>
          <w:sz w:val="15"/>
        </w:rPr>
        <w:t xml:space="preserve"> │ com.sunu.telpo 1.1.2    │  + multipart    │ Laravel 9 back office                     │</w:t>
        <w:br/>
      </w:r>
      <w:r>
        <w:rPr>
          <w:rFonts w:ascii="Consolas" w:hAnsi="Consolas" w:cs="Consolas"/>
          <w:color w:val="333333"/>
          <w:sz w:val="15"/>
        </w:rPr>
        <w:t xml:space="preserve"> │ Android, 32-bit ARM     │ ──────────────▶ │   /api/v1/sunu/*     terminal API         │</w:t>
        <w:br/>
      </w:r>
      <w:r>
        <w:rPr>
          <w:rFonts w:ascii="Consolas" w:hAnsi="Consolas" w:cs="Consolas"/>
          <w:color w:val="333333"/>
          <w:sz w:val="15"/>
        </w:rPr>
        <w:t xml:space="preserve"> │ camera · GPS · NFC ·    │                 │   /business/sunu/*   web back office      │</w:t>
        <w:br/>
      </w:r>
      <w:r>
        <w:rPr>
          <w:rFonts w:ascii="Consolas" w:hAnsi="Consolas" w:cs="Consolas"/>
          <w:color w:val="333333"/>
          <w:sz w:val="15"/>
        </w:rPr>
        <w:t xml:space="preserve"> │ thermal printer         │                 │ MySQL database                            │</w:t>
        <w:br/>
      </w:r>
      <w:r>
        <w:rPr>
          <w:rFonts w:ascii="Consolas" w:hAnsi="Consolas" w:cs="Consolas"/>
          <w:color w:val="333333"/>
          <w:sz w:val="15"/>
        </w:rPr>
        <w:t xml:space="preserve"> └────────────────────────┘                 │ File storage: proposal and CNIB images    │</w:t>
        <w:br/>
      </w:r>
      <w:r>
        <w:rPr>
          <w:rFonts w:ascii="Consolas" w:hAnsi="Consolas" w:cs="Consolas"/>
          <w:color w:val="333333"/>
          <w:sz w:val="15"/>
        </w:rPr>
        <w:t xml:space="preserve">                                             └───────────────────────┬──────────────────┘</w:t>
        <w:br/>
      </w:r>
      <w:r>
        <w:rPr>
          <w:rFonts w:ascii="Consolas" w:hAnsi="Consolas" w:cs="Consolas"/>
          <w:color w:val="333333"/>
          <w:sz w:val="15"/>
        </w:rPr>
        <w:t xml:space="preserve"> SUNU back-office users ──── web browser ────────────────────────────┘</w:t>
        <w:br/>
      </w:r>
      <w:r>
        <w:rPr>
          <w:rFonts w:ascii="Consolas" w:hAnsi="Consolas" w:cs="Consolas"/>
          <w:color w:val="333333"/>
          <w:sz w:val="15"/>
        </w:rPr>
        <w:br/>
      </w:r>
      <w:r>
        <w:rPr>
          <w:rFonts w:ascii="Consolas" w:hAnsi="Consolas" w:cs="Consolas"/>
          <w:color w:val="333333"/>
          <w:sz w:val="15"/>
        </w:rPr>
        <w:t xml:space="preserve"> SUNULIFE extract ──▶ CSV import (customers + policies)  ──▶ back office</w:t>
        <w:br/>
      </w:r>
      <w:r>
        <w:rPr>
          <w:rFonts w:ascii="Consolas" w:hAnsi="Consolas" w:cs="Consolas"/>
          <w:color w:val="333333"/>
          <w:sz w:val="15"/>
        </w:rPr>
        <w:t xml:space="preserve"> back office      ──▶ CSV export (premium collections)   ──▶ manual recording in SUNULIFE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Item</w:t>
            </w:r>
          </w:p>
        </w:tc>
        <w:tc>
          <w:tcPr>
            <w:tcW w:type="dxa" w:w="4873"/>
            <w:shd w:val="clear" w:fill="1B3A5C"/>
          </w:tcPr>
          <w:p>
            <w:pPr>
              <w:spacing w:before="60" w:after="60"/>
            </w:pPr>
            <w:r>
              <w:rPr>
                <w:rFonts w:ascii="Calibri" w:hAnsi="Calibri"/>
                <w:b/>
                <w:color w:val="FFFFFF"/>
                <w:sz w:val="17"/>
              </w:rPr>
              <w:t>Pilot value</w:t>
            </w:r>
          </w:p>
        </w:tc>
      </w:tr>
      <w:tr>
        <w:tc>
          <w:tcPr>
            <w:tcW w:type="dxa" w:w="4873"/>
          </w:tcPr>
          <w:p>
            <w:pPr>
              <w:spacing w:before="40" w:after="40"/>
            </w:pPr>
            <w:r>
              <w:rPr>
                <w:rFonts w:ascii="Calibri" w:hAnsi="Calibri"/>
                <w:b w:val="0"/>
                <w:i w:val="0"/>
                <w:color w:val="333333"/>
                <w:sz w:val="17"/>
              </w:rPr>
              <w:t>Server</w:t>
            </w:r>
          </w:p>
        </w:tc>
        <w:tc>
          <w:tcPr>
            <w:tcW w:type="dxa" w:w="4873"/>
          </w:tcPr>
          <w:p>
            <w:pPr>
              <w:spacing w:before="40" w:after="40"/>
            </w:pPr>
            <w:r>
              <w:rPr>
                <w:rFonts w:ascii="Calibri" w:hAnsi="Calibri"/>
                <w:b w:val="0"/>
                <w:i w:val="0"/>
                <w:color w:val="333333"/>
                <w:sz w:val="17"/>
              </w:rPr>
              <w:t>One Linux VPS hosted by DBS; application, database and image storage on the same host</w:t>
            </w:r>
          </w:p>
        </w:tc>
      </w:tr>
      <w:tr>
        <w:tc>
          <w:tcPr>
            <w:tcW w:type="dxa" w:w="4873"/>
            <w:shd w:val="clear" w:fill="F2F6FA"/>
          </w:tcPr>
          <w:p>
            <w:pPr>
              <w:spacing w:before="40" w:after="40"/>
            </w:pPr>
            <w:r>
              <w:rPr>
                <w:rFonts w:ascii="Calibri" w:hAnsi="Calibri"/>
                <w:b w:val="0"/>
                <w:i w:val="0"/>
                <w:color w:val="333333"/>
                <w:sz w:val="17"/>
              </w:rPr>
              <w:t>Web and application tier</w:t>
            </w:r>
          </w:p>
        </w:tc>
        <w:tc>
          <w:tcPr>
            <w:tcW w:type="dxa" w:w="4873"/>
            <w:shd w:val="clear" w:fill="F2F6FA"/>
          </w:tcPr>
          <w:p>
            <w:pPr>
              <w:spacing w:before="40" w:after="40"/>
            </w:pPr>
            <w:r>
              <w:rPr>
                <w:rFonts w:ascii="Calibri" w:hAnsi="Calibri"/>
                <w:b w:val="0"/>
                <w:i w:val="0"/>
                <w:color w:val="333333"/>
                <w:sz w:val="17"/>
              </w:rPr>
              <w:t>Apache HTTP Server with PHP 8, Laravel 9 application</w:t>
            </w:r>
          </w:p>
        </w:tc>
      </w:tr>
      <w:tr>
        <w:tc>
          <w:tcPr>
            <w:tcW w:type="dxa" w:w="4873"/>
          </w:tcPr>
          <w:p>
            <w:pPr>
              <w:spacing w:before="40" w:after="40"/>
            </w:pPr>
            <w:r>
              <w:rPr>
                <w:rFonts w:ascii="Calibri" w:hAnsi="Calibri"/>
                <w:b w:val="0"/>
                <w:i w:val="0"/>
                <w:color w:val="333333"/>
                <w:sz w:val="17"/>
              </w:rPr>
              <w:t>Database</w:t>
            </w:r>
          </w:p>
        </w:tc>
        <w:tc>
          <w:tcPr>
            <w:tcW w:type="dxa" w:w="4873"/>
          </w:tcPr>
          <w:p>
            <w:pPr>
              <w:spacing w:before="40" w:after="40"/>
            </w:pPr>
            <w:r>
              <w:rPr>
                <w:rFonts w:ascii="Calibri" w:hAnsi="Calibri"/>
                <w:b w:val="0"/>
                <w:i w:val="0"/>
                <w:color w:val="333333"/>
                <w:sz w:val="17"/>
              </w:rPr>
              <w:t>MySQL, dedicated SUNU schema</w:t>
            </w:r>
          </w:p>
        </w:tc>
      </w:tr>
      <w:tr>
        <w:tc>
          <w:tcPr>
            <w:tcW w:type="dxa" w:w="4873"/>
            <w:shd w:val="clear" w:fill="F2F6FA"/>
          </w:tcPr>
          <w:p>
            <w:pPr>
              <w:spacing w:before="40" w:after="40"/>
            </w:pPr>
            <w:r>
              <w:rPr>
                <w:rFonts w:ascii="Calibri" w:hAnsi="Calibri"/>
                <w:b w:val="0"/>
                <w:i w:val="0"/>
                <w:color w:val="333333"/>
                <w:sz w:val="17"/>
              </w:rPr>
              <w:t>Image storage</w:t>
            </w:r>
          </w:p>
        </w:tc>
        <w:tc>
          <w:tcPr>
            <w:tcW w:type="dxa" w:w="4873"/>
            <w:shd w:val="clear" w:fill="F2F6FA"/>
          </w:tcPr>
          <w:p>
            <w:pPr>
              <w:spacing w:before="40" w:after="40"/>
            </w:pPr>
            <w:r>
              <w:rPr>
                <w:rFonts w:ascii="Calibri" w:hAnsi="Calibri"/>
                <w:b w:val="0"/>
                <w:i w:val="0"/>
                <w:color w:val="333333"/>
                <w:sz w:val="17"/>
              </w:rPr>
              <w:t>Server file system, one folder per proposal</w:t>
            </w:r>
          </w:p>
        </w:tc>
      </w:tr>
      <w:tr>
        <w:tc>
          <w:tcPr>
            <w:tcW w:type="dxa" w:w="4873"/>
          </w:tcPr>
          <w:p>
            <w:pPr>
              <w:spacing w:before="40" w:after="40"/>
            </w:pPr>
            <w:r>
              <w:rPr>
                <w:rFonts w:ascii="Calibri" w:hAnsi="Calibri"/>
                <w:b w:val="0"/>
                <w:i w:val="0"/>
                <w:color w:val="333333"/>
                <w:sz w:val="17"/>
              </w:rPr>
              <w:t>Terminal application</w:t>
            </w:r>
          </w:p>
        </w:tc>
        <w:tc>
          <w:tcPr>
            <w:tcW w:type="dxa" w:w="4873"/>
          </w:tcPr>
          <w:p>
            <w:pPr>
              <w:spacing w:before="40" w:after="40"/>
            </w:pPr>
            <w:r>
              <w:rPr>
                <w:rFonts w:ascii="Consolas" w:hAnsi="Consolas"/>
                <w:b w:val="0"/>
                <w:i w:val="0"/>
                <w:color w:val="1B3A5C"/>
                <w:sz w:val="16"/>
              </w:rPr>
              <w:t>com.sunu.telpo</w:t>
            </w:r>
            <w:r>
              <w:rPr>
                <w:rFonts w:ascii="Calibri" w:hAnsi="Calibri"/>
                <w:b w:val="0"/>
                <w:i w:val="0"/>
                <w:color w:val="333333"/>
                <w:sz w:val="17"/>
              </w:rPr>
              <w:t xml:space="preserve"> version 1.1.2 (build 4), 32-bit ARM, about 15 MB, installed by side-loading</w:t>
            </w:r>
          </w:p>
        </w:tc>
      </w:tr>
      <w:tr>
        <w:tc>
          <w:tcPr>
            <w:tcW w:type="dxa" w:w="4873"/>
            <w:shd w:val="clear" w:fill="F2F6FA"/>
          </w:tcPr>
          <w:p>
            <w:pPr>
              <w:spacing w:before="40" w:after="40"/>
            </w:pPr>
            <w:r>
              <w:rPr>
                <w:rFonts w:ascii="Calibri" w:hAnsi="Calibri"/>
                <w:b w:val="0"/>
                <w:i w:val="0"/>
                <w:color w:val="333333"/>
                <w:sz w:val="17"/>
              </w:rPr>
              <w:t>Terminals</w:t>
            </w:r>
          </w:p>
        </w:tc>
        <w:tc>
          <w:tcPr>
            <w:tcW w:type="dxa" w:w="4873"/>
            <w:shd w:val="clear" w:fill="F2F6FA"/>
          </w:tcPr>
          <w:p>
            <w:pPr>
              <w:spacing w:before="40" w:after="40"/>
            </w:pPr>
            <w:r>
              <w:rPr>
                <w:rFonts w:ascii="Calibri" w:hAnsi="Calibri"/>
                <w:b w:val="0"/>
                <w:i w:val="0"/>
                <w:color w:val="333333"/>
                <w:sz w:val="17"/>
              </w:rPr>
              <w:t>Telpo F20; each terminal is registered in the back office by its Android device identifier, and requests from unregistered terminals are refused</w:t>
            </w:r>
          </w:p>
        </w:tc>
      </w:tr>
      <w:tr>
        <w:tc>
          <w:tcPr>
            <w:tcW w:type="dxa" w:w="4873"/>
          </w:tcPr>
          <w:p>
            <w:pPr>
              <w:spacing w:before="40" w:after="40"/>
            </w:pPr>
            <w:r>
              <w:rPr>
                <w:rFonts w:ascii="Calibri" w:hAnsi="Calibri"/>
                <w:b w:val="0"/>
                <w:i w:val="0"/>
                <w:color w:val="333333"/>
                <w:sz w:val="17"/>
              </w:rPr>
              <w:t>Transport</w:t>
            </w:r>
          </w:p>
        </w:tc>
        <w:tc>
          <w:tcPr>
            <w:tcW w:type="dxa" w:w="4873"/>
          </w:tcPr>
          <w:p>
            <w:pPr>
              <w:spacing w:before="40" w:after="40"/>
            </w:pPr>
            <w:r>
              <w:rPr>
                <w:rFonts w:ascii="Calibri" w:hAnsi="Calibri"/>
                <w:b w:val="0"/>
                <w:i w:val="0"/>
                <w:color w:val="333333"/>
                <w:sz w:val="17"/>
              </w:rPr>
              <w:t>HTTP on a dedicated port during the pilot; TLS is a pre-production item (§14.6)</w:t>
            </w:r>
          </w:p>
        </w:tc>
      </w:tr>
    </w:tbl>
    <w:p>
      <w:pPr>
        <w:spacing w:after="40"/>
      </w:pPr>
    </w:p>
    <w:p>
      <w:pPr>
        <w:pStyle w:val="Heading2"/>
        <w:spacing w:before="280" w:after="80"/>
        <w:keepNext/>
      </w:pPr>
      <w:bookmarkStart w:id="154" w:name="_Toc_s053"/>
      <w:r>
        <w:rPr>
          <w:rFonts w:ascii="Calibri" w:hAnsi="Calibri"/>
          <w:b/>
          <w:color w:val="1B3A5C"/>
          <w:sz w:val="24"/>
        </w:rPr>
        <w:t>14.2 Scope delivered versus planned</w:t>
      </w:r>
      <w:bookmarkEnd w:id="15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Capability</w:t>
            </w:r>
          </w:p>
        </w:tc>
        <w:tc>
          <w:tcPr>
            <w:tcW w:type="dxa" w:w="3249"/>
            <w:shd w:val="clear" w:fill="1B3A5C"/>
          </w:tcPr>
          <w:p>
            <w:pPr>
              <w:spacing w:before="60" w:after="60"/>
            </w:pPr>
            <w:r>
              <w:rPr>
                <w:rFonts w:ascii="Calibri" w:hAnsi="Calibri"/>
                <w:b/>
                <w:color w:val="FFFFFF"/>
                <w:sz w:val="17"/>
              </w:rPr>
              <w:t>Target reference</w:t>
            </w:r>
          </w:p>
        </w:tc>
        <w:tc>
          <w:tcPr>
            <w:tcW w:type="dxa" w:w="3249"/>
            <w:shd w:val="clear" w:fill="1B3A5C"/>
          </w:tcPr>
          <w:p>
            <w:pPr>
              <w:spacing w:before="60" w:after="60"/>
            </w:pPr>
            <w:r>
              <w:rPr>
                <w:rFonts w:ascii="Calibri" w:hAnsi="Calibri"/>
                <w:b/>
                <w:color w:val="FFFFFF"/>
                <w:sz w:val="17"/>
              </w:rPr>
              <w:t>Pilot status</w:t>
            </w:r>
          </w:p>
        </w:tc>
      </w:tr>
      <w:tr>
        <w:tc>
          <w:tcPr>
            <w:tcW w:type="dxa" w:w="3249"/>
          </w:tcPr>
          <w:p>
            <w:pPr>
              <w:spacing w:before="40" w:after="40"/>
            </w:pPr>
            <w:r>
              <w:rPr>
                <w:rFonts w:ascii="Calibri" w:hAnsi="Calibri"/>
                <w:b w:val="0"/>
                <w:i w:val="0"/>
                <w:color w:val="333333"/>
                <w:sz w:val="17"/>
              </w:rPr>
              <w:t>Insurance product catalogue: Micro Épargne Retraite, Mixte Plus Horizon, Rente Éducation Plus, Micro Quiétude, with DGTCP visa, category, guarantees, premium defaults; editable, activated or deactivated rather than deleted</w:t>
            </w:r>
          </w:p>
        </w:tc>
        <w:tc>
          <w:tcPr>
            <w:tcW w:type="dxa" w:w="3249"/>
          </w:tcPr>
          <w:p>
            <w:pPr>
              <w:spacing w:before="40" w:after="40"/>
            </w:pPr>
            <w:r>
              <w:rPr>
                <w:rFonts w:ascii="Calibri" w:hAnsi="Calibri"/>
                <w:b w:val="0"/>
                <w:i w:val="0"/>
                <w:color w:val="333333"/>
                <w:sz w:val="17"/>
              </w:rPr>
              <w:t>B7</w:t>
            </w:r>
          </w:p>
        </w:tc>
        <w:tc>
          <w:tcPr>
            <w:tcW w:type="dxa" w:w="3249"/>
          </w:tcPr>
          <w:p>
            <w:pPr>
              <w:spacing w:before="40" w:after="40"/>
            </w:pPr>
            <w:r>
              <w:rPr>
                <w:rFonts w:ascii="Calibri" w:hAnsi="Calibri"/>
                <w:b w:val="0"/>
                <w:i w:val="0"/>
                <w:color w:val="333333"/>
                <w:sz w:val="17"/>
              </w:rPr>
              <w:t>Built</w:t>
            </w:r>
          </w:p>
        </w:tc>
      </w:tr>
      <w:tr>
        <w:tc>
          <w:tcPr>
            <w:tcW w:type="dxa" w:w="3249"/>
            <w:shd w:val="clear" w:fill="F2F6FA"/>
          </w:tcPr>
          <w:p>
            <w:pPr>
              <w:spacing w:before="40" w:after="40"/>
            </w:pPr>
            <w:r>
              <w:rPr>
                <w:rFonts w:ascii="Calibri" w:hAnsi="Calibri"/>
                <w:b w:val="0"/>
                <w:i w:val="0"/>
                <w:color w:val="333333"/>
                <w:sz w:val="17"/>
              </w:rPr>
              <w:t>Subscription on the terminal: product choice, identity, photo of the signed proposal, CNIB front and back, GPS position, offline save when the upload fails</w:t>
            </w:r>
          </w:p>
        </w:tc>
        <w:tc>
          <w:tcPr>
            <w:tcW w:type="dxa" w:w="3249"/>
            <w:shd w:val="clear" w:fill="F2F6FA"/>
          </w:tcPr>
          <w:p>
            <w:pPr>
              <w:spacing w:before="40" w:after="40"/>
            </w:pPr>
            <w:r>
              <w:rPr>
                <w:rFonts w:ascii="Calibri" w:hAnsi="Calibri"/>
                <w:b w:val="0"/>
                <w:i w:val="0"/>
                <w:color w:val="333333"/>
                <w:sz w:val="17"/>
              </w:rPr>
              <w:t>P3–P5, B8</w:t>
            </w:r>
          </w:p>
        </w:tc>
        <w:tc>
          <w:tcPr>
            <w:tcW w:type="dxa" w:w="3249"/>
            <w:shd w:val="clear" w:fill="F2F6FA"/>
          </w:tcPr>
          <w:p>
            <w:pPr>
              <w:spacing w:before="40" w:after="40"/>
            </w:pPr>
            <w:r>
              <w:rPr>
                <w:rFonts w:ascii="Calibri" w:hAnsi="Calibri"/>
                <w:b w:val="0"/>
                <w:i w:val="0"/>
                <w:color w:val="333333"/>
                <w:sz w:val="17"/>
              </w:rPr>
              <w:t>Built; in field test</w:t>
            </w:r>
          </w:p>
        </w:tc>
      </w:tr>
      <w:tr>
        <w:tc>
          <w:tcPr>
            <w:tcW w:type="dxa" w:w="3249"/>
          </w:tcPr>
          <w:p>
            <w:pPr>
              <w:spacing w:before="40" w:after="40"/>
            </w:pPr>
            <w:r>
              <w:rPr>
                <w:rFonts w:ascii="Calibri" w:hAnsi="Calibri"/>
                <w:b w:val="0"/>
                <w:i w:val="0"/>
                <w:color w:val="333333"/>
                <w:sz w:val="17"/>
              </w:rPr>
              <w:t xml:space="preserve">Back-office proposal review and acceptance, creating the policy </w:t>
            </w:r>
            <w:r>
              <w:rPr>
                <w:rFonts w:ascii="Consolas" w:hAnsi="Consolas"/>
                <w:b w:val="0"/>
                <w:i w:val="0"/>
                <w:color w:val="1B3A5C"/>
                <w:sz w:val="16"/>
              </w:rPr>
              <w:t>POL-{proposal number}</w:t>
            </w:r>
          </w:p>
        </w:tc>
        <w:tc>
          <w:tcPr>
            <w:tcW w:type="dxa" w:w="3249"/>
          </w:tcPr>
          <w:p>
            <w:pPr>
              <w:spacing w:before="40" w:after="40"/>
            </w:pPr>
            <w:r>
              <w:rPr>
                <w:rFonts w:ascii="Calibri" w:hAnsi="Calibri"/>
                <w:b w:val="0"/>
                <w:i w:val="0"/>
                <w:color w:val="333333"/>
                <w:sz w:val="17"/>
              </w:rPr>
              <w:t>B8, B9</w:t>
            </w:r>
          </w:p>
        </w:tc>
        <w:tc>
          <w:tcPr>
            <w:tcW w:type="dxa" w:w="3249"/>
          </w:tcPr>
          <w:p>
            <w:pPr>
              <w:spacing w:before="40" w:after="40"/>
            </w:pPr>
            <w:r>
              <w:rPr>
                <w:rFonts w:ascii="Calibri" w:hAnsi="Calibri"/>
                <w:b w:val="0"/>
                <w:i w:val="0"/>
                <w:color w:val="333333"/>
                <w:sz w:val="17"/>
              </w:rPr>
              <w:t>Built</w:t>
            </w:r>
          </w:p>
        </w:tc>
      </w:tr>
      <w:tr>
        <w:tc>
          <w:tcPr>
            <w:tcW w:type="dxa" w:w="3249"/>
            <w:shd w:val="clear" w:fill="F2F6FA"/>
          </w:tcPr>
          <w:p>
            <w:pPr>
              <w:spacing w:before="40" w:after="40"/>
            </w:pPr>
            <w:r>
              <w:rPr>
                <w:rFonts w:ascii="Calibri" w:hAnsi="Calibri"/>
                <w:b w:val="0"/>
                <w:i w:val="0"/>
                <w:color w:val="333333"/>
                <w:sz w:val="17"/>
              </w:rPr>
              <w:t>Premium collection: policy cost, first premium, recurring premium, each with a unique reference</w:t>
            </w:r>
          </w:p>
        </w:tc>
        <w:tc>
          <w:tcPr>
            <w:tcW w:type="dxa" w:w="3249"/>
            <w:shd w:val="clear" w:fill="F2F6FA"/>
          </w:tcPr>
          <w:p>
            <w:pPr>
              <w:spacing w:before="40" w:after="40"/>
            </w:pPr>
            <w:r>
              <w:rPr>
                <w:rFonts w:ascii="Calibri" w:hAnsi="Calibri"/>
                <w:b w:val="0"/>
                <w:i w:val="0"/>
                <w:color w:val="333333"/>
                <w:sz w:val="17"/>
              </w:rPr>
              <w:t>B10</w:t>
            </w:r>
          </w:p>
        </w:tc>
        <w:tc>
          <w:tcPr>
            <w:tcW w:type="dxa" w:w="3249"/>
            <w:shd w:val="clear" w:fill="F2F6FA"/>
          </w:tcPr>
          <w:p>
            <w:pPr>
              <w:spacing w:before="40" w:after="40"/>
            </w:pPr>
            <w:r>
              <w:rPr>
                <w:rFonts w:ascii="Calibri" w:hAnsi="Calibri"/>
                <w:b w:val="0"/>
                <w:i w:val="0"/>
                <w:color w:val="333333"/>
                <w:sz w:val="17"/>
              </w:rPr>
              <w:t>Built</w:t>
            </w:r>
          </w:p>
        </w:tc>
      </w:tr>
      <w:tr>
        <w:tc>
          <w:tcPr>
            <w:tcW w:type="dxa" w:w="3249"/>
          </w:tcPr>
          <w:p>
            <w:pPr>
              <w:spacing w:before="40" w:after="40"/>
            </w:pPr>
            <w:r>
              <w:rPr>
                <w:rFonts w:ascii="Calibri" w:hAnsi="Calibri"/>
                <w:b w:val="0"/>
                <w:i w:val="0"/>
                <w:color w:val="333333"/>
                <w:sz w:val="17"/>
              </w:rPr>
              <w:t>Policy lookup from the card UID</w:t>
            </w:r>
          </w:p>
        </w:tc>
        <w:tc>
          <w:tcPr>
            <w:tcW w:type="dxa" w:w="3249"/>
          </w:tcPr>
          <w:p>
            <w:pPr>
              <w:spacing w:before="40" w:after="40"/>
            </w:pPr>
            <w:r>
              <w:rPr>
                <w:rFonts w:ascii="Calibri" w:hAnsi="Calibri"/>
                <w:b w:val="0"/>
                <w:i w:val="0"/>
                <w:color w:val="333333"/>
                <w:sz w:val="17"/>
              </w:rPr>
              <w:t>P6, B13</w:t>
            </w:r>
          </w:p>
        </w:tc>
        <w:tc>
          <w:tcPr>
            <w:tcW w:type="dxa" w:w="3249"/>
          </w:tcPr>
          <w:p>
            <w:pPr>
              <w:spacing w:before="40" w:after="40"/>
            </w:pPr>
            <w:r>
              <w:rPr>
                <w:rFonts w:ascii="Calibri" w:hAnsi="Calibri"/>
                <w:b w:val="0"/>
                <w:i w:val="0"/>
                <w:color w:val="333333"/>
                <w:sz w:val="17"/>
              </w:rPr>
              <w:t>Built</w:t>
            </w:r>
          </w:p>
        </w:tc>
      </w:tr>
      <w:tr>
        <w:tc>
          <w:tcPr>
            <w:tcW w:type="dxa" w:w="3249"/>
            <w:shd w:val="clear" w:fill="F2F6FA"/>
          </w:tcPr>
          <w:p>
            <w:pPr>
              <w:spacing w:before="40" w:after="40"/>
            </w:pPr>
            <w:r>
              <w:rPr>
                <w:rFonts w:ascii="Calibri" w:hAnsi="Calibri"/>
                <w:b w:val="0"/>
                <w:i w:val="0"/>
                <w:color w:val="333333"/>
                <w:sz w:val="17"/>
              </w:rPr>
              <w:t>Collector cap status, pay-in declaration, back-office confirmation or rejection</w:t>
            </w:r>
          </w:p>
        </w:tc>
        <w:tc>
          <w:tcPr>
            <w:tcW w:type="dxa" w:w="3249"/>
            <w:shd w:val="clear" w:fill="F2F6FA"/>
          </w:tcPr>
          <w:p>
            <w:pPr>
              <w:spacing w:before="40" w:after="40"/>
            </w:pPr>
            <w:r>
              <w:rPr>
                <w:rFonts w:ascii="Calibri" w:hAnsi="Calibri"/>
                <w:b w:val="0"/>
                <w:i w:val="0"/>
                <w:color w:val="333333"/>
                <w:sz w:val="17"/>
              </w:rPr>
              <w:t>B12, P14</w:t>
            </w:r>
          </w:p>
        </w:tc>
        <w:tc>
          <w:tcPr>
            <w:tcW w:type="dxa" w:w="3249"/>
            <w:shd w:val="clear" w:fill="F2F6FA"/>
          </w:tcPr>
          <w:p>
            <w:pPr>
              <w:spacing w:before="40" w:after="40"/>
            </w:pPr>
            <w:r>
              <w:rPr>
                <w:rFonts w:ascii="Calibri" w:hAnsi="Calibri"/>
                <w:b w:val="0"/>
                <w:i w:val="0"/>
                <w:color w:val="333333"/>
                <w:sz w:val="17"/>
              </w:rPr>
              <w:t>Built</w:t>
            </w:r>
          </w:p>
        </w:tc>
      </w:tr>
      <w:tr>
        <w:tc>
          <w:tcPr>
            <w:tcW w:type="dxa" w:w="3249"/>
          </w:tcPr>
          <w:p>
            <w:pPr>
              <w:spacing w:before="40" w:after="40"/>
            </w:pPr>
            <w:r>
              <w:rPr>
                <w:rFonts w:ascii="Calibri" w:hAnsi="Calibri"/>
                <w:b w:val="0"/>
                <w:i w:val="0"/>
                <w:color w:val="333333"/>
                <w:sz w:val="17"/>
              </w:rPr>
              <w:t>Collections list and CSV export for recording in SUNULIFE</w:t>
            </w:r>
          </w:p>
        </w:tc>
        <w:tc>
          <w:tcPr>
            <w:tcW w:type="dxa" w:w="3249"/>
          </w:tcPr>
          <w:p>
            <w:pPr>
              <w:spacing w:before="40" w:after="40"/>
            </w:pPr>
            <w:r>
              <w:rPr>
                <w:rFonts w:ascii="Calibri" w:hAnsi="Calibri"/>
                <w:b w:val="0"/>
                <w:i w:val="0"/>
                <w:color w:val="333333"/>
                <w:sz w:val="17"/>
              </w:rPr>
              <w:t>B17, §8.4 Phase 0</w:t>
            </w:r>
          </w:p>
        </w:tc>
        <w:tc>
          <w:tcPr>
            <w:tcW w:type="dxa" w:w="3249"/>
          </w:tcPr>
          <w:p>
            <w:pPr>
              <w:spacing w:before="40" w:after="40"/>
            </w:pPr>
            <w:r>
              <w:rPr>
                <w:rFonts w:ascii="Calibri" w:hAnsi="Calibri"/>
                <w:b w:val="0"/>
                <w:i w:val="0"/>
                <w:color w:val="333333"/>
                <w:sz w:val="17"/>
              </w:rPr>
              <w:t>Built</w:t>
            </w:r>
          </w:p>
        </w:tc>
      </w:tr>
      <w:tr>
        <w:tc>
          <w:tcPr>
            <w:tcW w:type="dxa" w:w="3249"/>
            <w:shd w:val="clear" w:fill="F2F6FA"/>
          </w:tcPr>
          <w:p>
            <w:pPr>
              <w:spacing w:before="40" w:after="40"/>
            </w:pPr>
            <w:r>
              <w:rPr>
                <w:rFonts w:ascii="Calibri" w:hAnsi="Calibri"/>
                <w:b w:val="0"/>
                <w:i w:val="0"/>
                <w:color w:val="333333"/>
                <w:sz w:val="17"/>
              </w:rPr>
              <w:t>Import of existing customers and policies from a CSV file</w:t>
            </w:r>
          </w:p>
        </w:tc>
        <w:tc>
          <w:tcPr>
            <w:tcW w:type="dxa" w:w="3249"/>
            <w:shd w:val="clear" w:fill="F2F6FA"/>
          </w:tcPr>
          <w:p>
            <w:pPr>
              <w:spacing w:before="40" w:after="40"/>
            </w:pPr>
            <w:r>
              <w:rPr>
                <w:rFonts w:ascii="Calibri" w:hAnsi="Calibri"/>
                <w:b w:val="0"/>
                <w:i w:val="0"/>
                <w:color w:val="333333"/>
                <w:sz w:val="17"/>
              </w:rPr>
              <w:t>§8.4 Phase 0</w:t>
            </w:r>
          </w:p>
        </w:tc>
        <w:tc>
          <w:tcPr>
            <w:tcW w:type="dxa" w:w="3249"/>
            <w:shd w:val="clear" w:fill="F2F6FA"/>
          </w:tcPr>
          <w:p>
            <w:pPr>
              <w:spacing w:before="40" w:after="40"/>
            </w:pPr>
            <w:r>
              <w:rPr>
                <w:rFonts w:ascii="Calibri" w:hAnsi="Calibri"/>
                <w:b w:val="0"/>
                <w:i w:val="0"/>
                <w:color w:val="333333"/>
                <w:sz w:val="17"/>
              </w:rPr>
              <w:t>Built; file format in Document 5</w:t>
            </w:r>
          </w:p>
        </w:tc>
      </w:tr>
      <w:tr>
        <w:tc>
          <w:tcPr>
            <w:tcW w:type="dxa" w:w="3249"/>
          </w:tcPr>
          <w:p>
            <w:pPr>
              <w:spacing w:before="40" w:after="40"/>
            </w:pPr>
            <w:r>
              <w:rPr>
                <w:rFonts w:ascii="Calibri" w:hAnsi="Calibri"/>
                <w:b w:val="0"/>
                <w:i w:val="0"/>
                <w:color w:val="333333"/>
                <w:sz w:val="17"/>
              </w:rPr>
              <w:t>SUNULIFE API synchronisation</w:t>
            </w:r>
          </w:p>
        </w:tc>
        <w:tc>
          <w:tcPr>
            <w:tcW w:type="dxa" w:w="3249"/>
          </w:tcPr>
          <w:p>
            <w:pPr>
              <w:spacing w:before="40" w:after="40"/>
            </w:pPr>
            <w:r>
              <w:rPr>
                <w:rFonts w:ascii="Calibri" w:hAnsi="Calibri"/>
                <w:b w:val="0"/>
                <w:i w:val="0"/>
                <w:color w:val="333333"/>
                <w:sz w:val="17"/>
              </w:rPr>
              <w:t>B16, §8</w:t>
            </w:r>
          </w:p>
        </w:tc>
        <w:tc>
          <w:tcPr>
            <w:tcW w:type="dxa" w:w="3249"/>
          </w:tcPr>
          <w:p>
            <w:pPr>
              <w:spacing w:before="40" w:after="40"/>
            </w:pPr>
            <w:r>
              <w:rPr>
                <w:rFonts w:ascii="Calibri" w:hAnsi="Calibri"/>
                <w:b w:val="0"/>
                <w:i w:val="0"/>
                <w:color w:val="333333"/>
                <w:sz w:val="17"/>
              </w:rPr>
              <w:t>Not started; depends on OP-1</w:t>
            </w:r>
          </w:p>
        </w:tc>
      </w:tr>
      <w:tr>
        <w:tc>
          <w:tcPr>
            <w:tcW w:type="dxa" w:w="3249"/>
            <w:shd w:val="clear" w:fill="F2F6FA"/>
          </w:tcPr>
          <w:p>
            <w:pPr>
              <w:spacing w:before="40" w:after="40"/>
            </w:pPr>
            <w:r>
              <w:rPr>
                <w:rFonts w:ascii="Calibri" w:hAnsi="Calibri"/>
                <w:b w:val="0"/>
                <w:i w:val="0"/>
                <w:color w:val="333333"/>
                <w:sz w:val="17"/>
              </w:rPr>
              <w:t>Mobile Money collection</w:t>
            </w:r>
          </w:p>
        </w:tc>
        <w:tc>
          <w:tcPr>
            <w:tcW w:type="dxa" w:w="3249"/>
            <w:shd w:val="clear" w:fill="F2F6FA"/>
          </w:tcPr>
          <w:p>
            <w:pPr>
              <w:spacing w:before="40" w:after="40"/>
            </w:pPr>
            <w:r>
              <w:rPr>
                <w:rFonts w:ascii="Calibri" w:hAnsi="Calibri"/>
                <w:b w:val="0"/>
                <w:i w:val="0"/>
                <w:color w:val="333333"/>
                <w:sz w:val="17"/>
              </w:rPr>
              <w:t>B15, §9</w:t>
            </w:r>
          </w:p>
        </w:tc>
        <w:tc>
          <w:tcPr>
            <w:tcW w:type="dxa" w:w="3249"/>
            <w:shd w:val="clear" w:fill="F2F6FA"/>
          </w:tcPr>
          <w:p>
            <w:pPr>
              <w:spacing w:before="40" w:after="40"/>
            </w:pPr>
            <w:r>
              <w:rPr>
                <w:rFonts w:ascii="Calibri" w:hAnsi="Calibri"/>
                <w:b w:val="0"/>
                <w:i w:val="0"/>
                <w:color w:val="333333"/>
                <w:sz w:val="17"/>
              </w:rPr>
              <w:t xml:space="preserve">Not built; the data model already reserves </w:t>
            </w:r>
            <w:r>
              <w:rPr>
                <w:rFonts w:ascii="Consolas" w:hAnsi="Consolas"/>
                <w:b w:val="0"/>
                <w:i w:val="0"/>
                <w:color w:val="1B3A5C"/>
                <w:sz w:val="16"/>
              </w:rPr>
              <w:t>momo</w:t>
            </w:r>
            <w:r>
              <w:rPr>
                <w:rFonts w:ascii="Calibri" w:hAnsi="Calibri"/>
                <w:b w:val="0"/>
                <w:i w:val="0"/>
                <w:color w:val="333333"/>
                <w:sz w:val="17"/>
              </w:rPr>
              <w:t xml:space="preserve"> as a payment instrument</w:t>
            </w:r>
          </w:p>
        </w:tc>
      </w:tr>
      <w:tr>
        <w:tc>
          <w:tcPr>
            <w:tcW w:type="dxa" w:w="3249"/>
          </w:tcPr>
          <w:p>
            <w:pPr>
              <w:spacing w:before="40" w:after="40"/>
            </w:pPr>
            <w:r>
              <w:rPr>
                <w:rFonts w:ascii="Calibri" w:hAnsi="Calibri"/>
                <w:b w:val="0"/>
                <w:i w:val="0"/>
                <w:color w:val="333333"/>
                <w:sz w:val="17"/>
              </w:rPr>
              <w:t>Virtual QR card</w:t>
            </w:r>
          </w:p>
        </w:tc>
        <w:tc>
          <w:tcPr>
            <w:tcW w:type="dxa" w:w="3249"/>
          </w:tcPr>
          <w:p>
            <w:pPr>
              <w:spacing w:before="40" w:after="40"/>
            </w:pPr>
            <w:r>
              <w:rPr>
                <w:rFonts w:ascii="Calibri" w:hAnsi="Calibri"/>
                <w:b w:val="0"/>
                <w:i w:val="0"/>
                <w:color w:val="333333"/>
                <w:sz w:val="17"/>
              </w:rPr>
              <w:t>B14, P8</w:t>
            </w:r>
          </w:p>
        </w:tc>
        <w:tc>
          <w:tcPr>
            <w:tcW w:type="dxa" w:w="3249"/>
          </w:tcPr>
          <w:p>
            <w:pPr>
              <w:spacing w:before="40" w:after="40"/>
            </w:pPr>
            <w:r>
              <w:rPr>
                <w:rFonts w:ascii="Calibri" w:hAnsi="Calibri"/>
                <w:b w:val="0"/>
                <w:i w:val="0"/>
                <w:color w:val="333333"/>
                <w:sz w:val="17"/>
              </w:rPr>
              <w:t>Not built</w:t>
            </w:r>
          </w:p>
        </w:tc>
      </w:tr>
    </w:tbl>
    <w:p>
      <w:pPr>
        <w:spacing w:after="40"/>
      </w:pPr>
    </w:p>
    <w:p>
      <w:pPr>
        <w:pStyle w:val="Heading2"/>
        <w:spacing w:before="280" w:after="80"/>
        <w:keepNext/>
      </w:pPr>
      <w:bookmarkStart w:id="155" w:name="_Toc_s054"/>
      <w:r>
        <w:rPr>
          <w:rFonts w:ascii="Calibri" w:hAnsi="Calibri"/>
          <w:b/>
          <w:color w:val="1B3A5C"/>
          <w:sz w:val="24"/>
        </w:rPr>
        <w:t>14.3 Terminal API in the pilot</w:t>
      </w:r>
      <w:bookmarkEnd w:id="155"/>
    </w:p>
    <w:p>
      <w:r>
        <w:rPr>
          <w:rFonts w:ascii="Calibri" w:hAnsi="Calibri"/>
          <w:b w:val="0"/>
          <w:i w:val="0"/>
          <w:color w:val="333333"/>
          <w:sz w:val="20"/>
        </w:rPr>
        <w:t xml:space="preserve">Base path </w:t>
      </w:r>
      <w:r>
        <w:rPr>
          <w:rFonts w:ascii="Consolas" w:hAnsi="Consolas"/>
          <w:b w:val="0"/>
          <w:i w:val="0"/>
          <w:color w:val="1B3A5C"/>
          <w:sz w:val="19"/>
        </w:rPr>
        <w:t>/api/v1/sunu</w:t>
      </w:r>
      <w:r>
        <w:rPr>
          <w:rFonts w:ascii="Calibri" w:hAnsi="Calibri"/>
          <w:b w:val="0"/>
          <w:i w:val="0"/>
          <w:color w:val="333333"/>
          <w:sz w:val="20"/>
        </w:rPr>
        <w:t xml:space="preserve">. Every call carries </w:t>
      </w:r>
      <w:r>
        <w:rPr>
          <w:rFonts w:ascii="Consolas" w:hAnsi="Consolas"/>
          <w:b w:val="0"/>
          <w:i w:val="0"/>
          <w:color w:val="1B3A5C"/>
          <w:sz w:val="19"/>
        </w:rPr>
        <w:t>business_unit_id</w:t>
      </w:r>
      <w:r>
        <w:rPr>
          <w:rFonts w:ascii="Calibri" w:hAnsi="Calibri"/>
          <w:b w:val="0"/>
          <w:i w:val="0"/>
          <w:color w:val="333333"/>
          <w:sz w:val="20"/>
        </w:rPr>
        <w:t xml:space="preserve"> and the terminal identifier; the back office resolves the collector from the terminal assignment.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Method</w:t>
            </w:r>
          </w:p>
        </w:tc>
        <w:tc>
          <w:tcPr>
            <w:tcW w:type="dxa" w:w="4252"/>
            <w:shd w:val="clear" w:fill="1B3A5C"/>
          </w:tcPr>
          <w:p>
            <w:pPr>
              <w:spacing w:before="60" w:after="60"/>
            </w:pPr>
            <w:r>
              <w:rPr>
                <w:rFonts w:ascii="Calibri" w:hAnsi="Calibri"/>
                <w:b/>
                <w:color w:val="FFFFFF"/>
                <w:sz w:val="17"/>
              </w:rPr>
              <w:t>Path</w:t>
            </w:r>
          </w:p>
        </w:tc>
        <w:tc>
          <w:tcPr>
            <w:tcW w:type="dxa" w:w="4252"/>
            <w:shd w:val="clear" w:fill="1B3A5C"/>
          </w:tcPr>
          <w:p>
            <w:pPr>
              <w:spacing w:before="60" w:after="60"/>
            </w:pPr>
            <w:r>
              <w:rPr>
                <w:rFonts w:ascii="Calibri" w:hAnsi="Calibri"/>
                <w:b/>
                <w:color w:val="FFFFFF"/>
                <w:sz w:val="17"/>
              </w:rPr>
              <w:t>Purpose</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/api/v1/agent/login</w:t>
            </w:r>
          </w:p>
        </w:tc>
        <w:tc>
          <w:tcPr>
            <w:tcW w:type="dxa" w:w="4252"/>
          </w:tcPr>
          <w:p>
            <w:pPr>
              <w:spacing w:before="40" w:after="40"/>
            </w:pPr>
            <w:r>
              <w:rPr>
                <w:rFonts w:ascii="Calibri" w:hAnsi="Calibri"/>
                <w:b w:val="0"/>
                <w:i w:val="0"/>
                <w:color w:val="333333"/>
                <w:sz w:val="17"/>
              </w:rPr>
              <w:t>Collector login</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/products</w:t>
            </w:r>
          </w:p>
        </w:tc>
        <w:tc>
          <w:tcPr>
            <w:tcW w:type="dxa" w:w="4252"/>
            <w:shd w:val="clear" w:fill="F2F6FA"/>
          </w:tcPr>
          <w:p>
            <w:pPr>
              <w:spacing w:before="40" w:after="40"/>
            </w:pPr>
            <w:r>
              <w:rPr>
                <w:rFonts w:ascii="Calibri" w:hAnsi="Calibri"/>
                <w:b w:val="0"/>
                <w:i w:val="0"/>
                <w:color w:val="333333"/>
                <w:sz w:val="17"/>
              </w:rPr>
              <w:t>Active products, cached on the terminal for offline use</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/proposals</w:t>
            </w:r>
          </w:p>
        </w:tc>
        <w:tc>
          <w:tcPr>
            <w:tcW w:type="dxa" w:w="4252"/>
          </w:tcPr>
          <w:p>
            <w:pPr>
              <w:spacing w:before="40" w:after="40"/>
            </w:pPr>
            <w:r>
              <w:rPr>
                <w:rFonts w:ascii="Calibri" w:hAnsi="Calibri"/>
                <w:b w:val="0"/>
                <w:i w:val="0"/>
                <w:color w:val="333333"/>
                <w:sz w:val="17"/>
              </w:rPr>
              <w:t>Subscription: identity fields, product, GPS and three images (multipart)</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/proposals/{id}</w:t>
            </w:r>
          </w:p>
        </w:tc>
        <w:tc>
          <w:tcPr>
            <w:tcW w:type="dxa" w:w="4252"/>
            <w:shd w:val="clear" w:fill="F2F6FA"/>
          </w:tcPr>
          <w:p>
            <w:pPr>
              <w:spacing w:before="40" w:after="40"/>
            </w:pPr>
            <w:r>
              <w:rPr>
                <w:rFonts w:ascii="Calibri" w:hAnsi="Calibri"/>
                <w:b w:val="0"/>
                <w:i w:val="0"/>
                <w:color w:val="333333"/>
                <w:sz w:val="17"/>
              </w:rPr>
              <w:t>Proposal detail</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/premiums</w:t>
            </w:r>
          </w:p>
        </w:tc>
        <w:tc>
          <w:tcPr>
            <w:tcW w:type="dxa" w:w="4252"/>
          </w:tcPr>
          <w:p>
            <w:pPr>
              <w:spacing w:before="40" w:after="40"/>
            </w:pPr>
            <w:r>
              <w:rPr>
                <w:rFonts w:ascii="Calibri" w:hAnsi="Calibri"/>
                <w:b w:val="0"/>
                <w:i w:val="0"/>
                <w:color w:val="333333"/>
                <w:sz w:val="17"/>
              </w:rPr>
              <w:t xml:space="preserve">Premium collection; </w:t>
            </w:r>
            <w:r>
              <w:rPr>
                <w:rFonts w:ascii="Consolas" w:hAnsi="Consolas"/>
                <w:b w:val="0"/>
                <w:i w:val="0"/>
                <w:color w:val="1B3A5C"/>
                <w:sz w:val="16"/>
              </w:rPr>
              <w:t>reference</w:t>
            </w:r>
            <w:r>
              <w:rPr>
                <w:rFonts w:ascii="Calibri" w:hAnsi="Calibri"/>
                <w:b w:val="0"/>
                <w:i w:val="0"/>
                <w:color w:val="333333"/>
                <w:sz w:val="17"/>
              </w:rPr>
              <w:t xml:space="preserve"> makes a retried upload idempotent</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/policies/by-card/{uid}</w:t>
            </w:r>
          </w:p>
        </w:tc>
        <w:tc>
          <w:tcPr>
            <w:tcW w:type="dxa" w:w="4252"/>
            <w:shd w:val="clear" w:fill="F2F6FA"/>
          </w:tcPr>
          <w:p>
            <w:pPr>
              <w:spacing w:before="40" w:after="40"/>
            </w:pPr>
            <w:r>
              <w:rPr>
                <w:rFonts w:ascii="Calibri" w:hAnsi="Calibri"/>
                <w:b w:val="0"/>
                <w:i w:val="0"/>
                <w:color w:val="333333"/>
                <w:sz w:val="17"/>
              </w:rPr>
              <w:t>Active policies attached to a card</w:t>
            </w:r>
          </w:p>
        </w:tc>
      </w:tr>
      <w:tr>
        <w:tc>
          <w:tcPr>
            <w:tcW w:type="dxa" w:w="907"/>
          </w:tcPr>
          <w:p>
            <w:pPr>
              <w:spacing w:before="40" w:after="40"/>
            </w:pPr>
            <w:r>
              <w:rPr>
                <w:rFonts w:ascii="Calibri" w:hAnsi="Calibri"/>
                <w:b w:val="0"/>
                <w:i w:val="0"/>
                <w:color w:val="333333"/>
                <w:sz w:val="17"/>
              </w:rPr>
              <w:t>GET</w:t>
            </w:r>
          </w:p>
        </w:tc>
        <w:tc>
          <w:tcPr>
            <w:tcW w:type="dxa" w:w="4252"/>
          </w:tcPr>
          <w:p>
            <w:pPr>
              <w:spacing w:before="40" w:after="40"/>
            </w:pPr>
            <w:r>
              <w:rPr>
                <w:rFonts w:ascii="Consolas" w:hAnsi="Consolas"/>
                <w:b w:val="0"/>
                <w:i w:val="0"/>
                <w:color w:val="1B3A5C"/>
                <w:sz w:val="16"/>
              </w:rPr>
              <w:t>/collector/status</w:t>
            </w:r>
          </w:p>
        </w:tc>
        <w:tc>
          <w:tcPr>
            <w:tcW w:type="dxa" w:w="4252"/>
          </w:tcPr>
          <w:p>
            <w:pPr>
              <w:spacing w:before="40" w:after="40"/>
            </w:pPr>
            <w:r>
              <w:rPr>
                <w:rFonts w:ascii="Calibri" w:hAnsi="Calibri"/>
                <w:b w:val="0"/>
                <w:i w:val="0"/>
                <w:color w:val="333333"/>
                <w:sz w:val="17"/>
              </w:rPr>
              <w:t>Cap, uncollected amount, blocked flag</w:t>
            </w:r>
          </w:p>
        </w:tc>
      </w:tr>
      <w:tr>
        <w:tc>
          <w:tcPr>
            <w:tcW w:type="dxa" w:w="907"/>
            <w:shd w:val="clear" w:fill="F2F6FA"/>
          </w:tcPr>
          <w:p>
            <w:pPr>
              <w:spacing w:before="40" w:after="40"/>
            </w:pPr>
            <w:r>
              <w:rPr>
                <w:rFonts w:ascii="Calibri" w:hAnsi="Calibri"/>
                <w:b w:val="0"/>
                <w:i w:val="0"/>
                <w:color w:val="333333"/>
                <w:sz w:val="17"/>
              </w:rPr>
              <w:t>POST</w:t>
            </w:r>
          </w:p>
        </w:tc>
        <w:tc>
          <w:tcPr>
            <w:tcW w:type="dxa" w:w="4252"/>
            <w:shd w:val="clear" w:fill="F2F6FA"/>
          </w:tcPr>
          <w:p>
            <w:pPr>
              <w:spacing w:before="40" w:after="40"/>
            </w:pPr>
            <w:r>
              <w:rPr>
                <w:rFonts w:ascii="Consolas" w:hAnsi="Consolas"/>
                <w:b w:val="0"/>
                <w:i w:val="0"/>
                <w:color w:val="1B3A5C"/>
                <w:sz w:val="16"/>
              </w:rPr>
              <w:t>/pay-ins</w:t>
            </w:r>
          </w:p>
        </w:tc>
        <w:tc>
          <w:tcPr>
            <w:tcW w:type="dxa" w:w="4252"/>
            <w:shd w:val="clear" w:fill="F2F6FA"/>
          </w:tcPr>
          <w:p>
            <w:pPr>
              <w:spacing w:before="40" w:after="40"/>
            </w:pPr>
            <w:r>
              <w:rPr>
                <w:rFonts w:ascii="Calibri" w:hAnsi="Calibri"/>
                <w:b w:val="0"/>
                <w:i w:val="0"/>
                <w:color w:val="333333"/>
                <w:sz w:val="17"/>
              </w:rPr>
              <w:t>Collector pay-in declaration</w:t>
            </w:r>
          </w:p>
        </w:tc>
      </w:tr>
    </w:tbl>
    <w:p>
      <w:pPr>
        <w:spacing w:after="40"/>
      </w:pPr>
    </w:p>
    <w:p>
      <w:pPr>
        <w:pStyle w:val="Heading2"/>
        <w:spacing w:before="280" w:after="80"/>
        <w:keepNext/>
      </w:pPr>
      <w:bookmarkStart w:id="156" w:name="_Toc_s055"/>
      <w:r>
        <w:rPr>
          <w:rFonts w:ascii="Calibri" w:hAnsi="Calibri"/>
          <w:b/>
          <w:color w:val="1B3A5C"/>
          <w:sz w:val="24"/>
        </w:rPr>
        <w:t>14.4 Subscription flow as built</w:t>
      </w:r>
      <w:bookmarkEnd w:id="156"/>
    </w:p>
    <w:p>
      <w:pPr>
        <w:spacing w:before="120" w:after="160" w:line="240" w:lineRule="auto"/>
        <w:ind w:left="113"/>
        <w:shd w:val="clear" w:fill="F4F5F2"/>
        <w:pBdr>
          <w:left w:val="single" w:sz="12" w:space="6" w:color="1B3A5C"/>
        </w:pBdr>
      </w:pPr>
      <w:r>
        <w:rPr>
          <w:rFonts w:ascii="Consolas" w:hAnsi="Consolas" w:cs="Consolas"/>
          <w:color w:val="333333"/>
          <w:sz w:val="15"/>
        </w:rPr>
        <w:t xml:space="preserve"> Terminal                                     Back office</w:t>
        <w:br/>
      </w:r>
      <w:r>
        <w:rPr>
          <w:rFonts w:ascii="Consolas" w:hAnsi="Consolas" w:cs="Consolas"/>
          <w:color w:val="333333"/>
          <w:sz w:val="15"/>
        </w:rPr>
        <w:t xml:space="preserve"> 1  GET  /products ─────────────────────────▶ active products</w:t>
        <w:br/>
      </w:r>
      <w:r>
        <w:rPr>
          <w:rFonts w:ascii="Consolas" w:hAnsi="Consolas" w:cs="Consolas"/>
          <w:color w:val="333333"/>
          <w:sz w:val="15"/>
        </w:rPr>
        <w:t xml:space="preserve"> 2  collector captures identity, product,</w:t>
        <w:br/>
      </w:r>
      <w:r>
        <w:rPr>
          <w:rFonts w:ascii="Consolas" w:hAnsi="Consolas" w:cs="Consolas"/>
          <w:color w:val="333333"/>
          <w:sz w:val="15"/>
        </w:rPr>
        <w:t xml:space="preserve">    proposal photo, CNIB front, CNIB back, GPS</w:t>
        <w:br/>
      </w:r>
      <w:r>
        <w:rPr>
          <w:rFonts w:ascii="Consolas" w:hAnsi="Consolas" w:cs="Consolas"/>
          <w:color w:val="333333"/>
          <w:sz w:val="15"/>
        </w:rPr>
        <w:t xml:space="preserve"> 3  POST /proposals (multipart) ────────────▶ validate fields</w:t>
        <w:br/>
      </w:r>
      <w:r>
        <w:rPr>
          <w:rFonts w:ascii="Consolas" w:hAnsi="Consolas" w:cs="Consolas"/>
          <w:color w:val="333333"/>
          <w:sz w:val="15"/>
        </w:rPr>
        <w:t xml:space="preserve">                                              resolve terminal → collector</w:t>
        <w:br/>
      </w:r>
      <w:r>
        <w:rPr>
          <w:rFonts w:ascii="Consolas" w:hAnsi="Consolas" w:cs="Consolas"/>
          <w:color w:val="333333"/>
          <w:sz w:val="15"/>
        </w:rPr>
        <w:t xml:space="preserve">                                              store the three images</w:t>
        <w:br/>
      </w:r>
      <w:r>
        <w:rPr>
          <w:rFonts w:ascii="Consolas" w:hAnsi="Consolas" w:cs="Consolas"/>
          <w:color w:val="333333"/>
          <w:sz w:val="15"/>
        </w:rPr>
        <w:t xml:space="preserve">                                              insert proposal, status "captured"</w:t>
        <w:br/>
      </w:r>
      <w:r>
        <w:rPr>
          <w:rFonts w:ascii="Consolas" w:hAnsi="Consolas" w:cs="Consolas"/>
          <w:color w:val="333333"/>
          <w:sz w:val="15"/>
        </w:rPr>
        <w:t xml:space="preserve"> 4  ◀──────────── JSON: proposal created, or HTTP 422 with the list of field errors</w:t>
        <w:br/>
      </w:r>
      <w:r>
        <w:rPr>
          <w:rFonts w:ascii="Consolas" w:hAnsi="Consolas" w:cs="Consolas"/>
          <w:color w:val="333333"/>
          <w:sz w:val="15"/>
        </w:rPr>
        <w:t xml:space="preserve">    on network failure: saved offline on the terminal, sent again later</w:t>
        <w:br/>
      </w:r>
      <w:r>
        <w:rPr>
          <w:rFonts w:ascii="Consolas" w:hAnsi="Consolas" w:cs="Consolas"/>
          <w:color w:val="333333"/>
          <w:sz w:val="15"/>
        </w:rPr>
        <w:br/>
      </w:r>
      <w:r>
        <w:rPr>
          <w:rFonts w:ascii="Consolas" w:hAnsi="Consolas" w:cs="Consolas"/>
          <w:color w:val="333333"/>
          <w:sz w:val="15"/>
        </w:rPr>
        <w:t xml:space="preserve"> Back-office user:  Proposals → review images and data → Accept ──▶ policy POL-{proposal number}</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Multipart field</w:t>
            </w:r>
          </w:p>
        </w:tc>
        <w:tc>
          <w:tcPr>
            <w:tcW w:type="dxa" w:w="3249"/>
            <w:shd w:val="clear" w:fill="1B3A5C"/>
          </w:tcPr>
          <w:p>
            <w:pPr>
              <w:spacing w:before="60" w:after="60"/>
            </w:pPr>
            <w:r>
              <w:rPr>
                <w:rFonts w:ascii="Calibri" w:hAnsi="Calibri"/>
                <w:b/>
                <w:color w:val="FFFFFF"/>
                <w:sz w:val="17"/>
              </w:rPr>
              <w:t>Content</w:t>
            </w:r>
          </w:p>
        </w:tc>
        <w:tc>
          <w:tcPr>
            <w:tcW w:type="dxa" w:w="3249"/>
            <w:shd w:val="clear" w:fill="1B3A5C"/>
          </w:tcPr>
          <w:p>
            <w:pPr>
              <w:spacing w:before="60" w:after="60"/>
            </w:pPr>
            <w:r>
              <w:rPr>
                <w:rFonts w:ascii="Calibri" w:hAnsi="Calibri"/>
                <w:b/>
                <w:color w:val="FFFFFF"/>
                <w:sz w:val="17"/>
              </w:rPr>
              <w:t>Stored as</w:t>
            </w:r>
          </w:p>
        </w:tc>
      </w:tr>
      <w:tr>
        <w:tc>
          <w:tcPr>
            <w:tcW w:type="dxa" w:w="3249"/>
          </w:tcPr>
          <w:p>
            <w:pPr>
              <w:spacing w:before="40" w:after="40"/>
            </w:pPr>
            <w:r>
              <w:rPr>
                <w:rFonts w:ascii="Consolas" w:hAnsi="Consolas"/>
                <w:b w:val="0"/>
                <w:i w:val="0"/>
                <w:color w:val="1B3A5C"/>
                <w:sz w:val="16"/>
              </w:rPr>
              <w:t>proposal_image</w:t>
            </w:r>
          </w:p>
        </w:tc>
        <w:tc>
          <w:tcPr>
            <w:tcW w:type="dxa" w:w="3249"/>
          </w:tcPr>
          <w:p>
            <w:pPr>
              <w:spacing w:before="40" w:after="40"/>
            </w:pPr>
            <w:r>
              <w:rPr>
                <w:rFonts w:ascii="Calibri" w:hAnsi="Calibri"/>
                <w:b w:val="0"/>
                <w:i w:val="0"/>
                <w:color w:val="333333"/>
                <w:sz w:val="17"/>
              </w:rPr>
              <w:t>Photo of the signed proposal form</w:t>
            </w:r>
          </w:p>
        </w:tc>
        <w:tc>
          <w:tcPr>
            <w:tcW w:type="dxa" w:w="3249"/>
          </w:tcPr>
          <w:p>
            <w:pPr>
              <w:spacing w:before="40" w:after="40"/>
            </w:pPr>
            <w:r>
              <w:rPr>
                <w:rFonts w:ascii="Consolas" w:hAnsi="Consolas"/>
                <w:b w:val="0"/>
                <w:i w:val="0"/>
                <w:color w:val="1B3A5C"/>
                <w:sz w:val="16"/>
              </w:rPr>
              <w:t>proposal_image_path</w:t>
            </w:r>
          </w:p>
        </w:tc>
      </w:tr>
      <w:tr>
        <w:tc>
          <w:tcPr>
            <w:tcW w:type="dxa" w:w="3249"/>
            <w:shd w:val="clear" w:fill="F2F6FA"/>
          </w:tcPr>
          <w:p>
            <w:pPr>
              <w:spacing w:before="40" w:after="40"/>
            </w:pPr>
            <w:r>
              <w:rPr>
                <w:rFonts w:ascii="Consolas" w:hAnsi="Consolas"/>
                <w:b w:val="0"/>
                <w:i w:val="0"/>
                <w:color w:val="1B3A5C"/>
                <w:sz w:val="16"/>
              </w:rPr>
              <w:t>id_document_front</w:t>
            </w:r>
          </w:p>
        </w:tc>
        <w:tc>
          <w:tcPr>
            <w:tcW w:type="dxa" w:w="3249"/>
            <w:shd w:val="clear" w:fill="F2F6FA"/>
          </w:tcPr>
          <w:p>
            <w:pPr>
              <w:spacing w:before="40" w:after="40"/>
            </w:pPr>
            <w:r>
              <w:rPr>
                <w:rFonts w:ascii="Calibri" w:hAnsi="Calibri"/>
                <w:b w:val="0"/>
                <w:i w:val="0"/>
                <w:color w:val="333333"/>
                <w:sz w:val="17"/>
              </w:rPr>
              <w:t>CNIB, front</w:t>
            </w:r>
          </w:p>
        </w:tc>
        <w:tc>
          <w:tcPr>
            <w:tcW w:type="dxa" w:w="3249"/>
            <w:shd w:val="clear" w:fill="F2F6FA"/>
          </w:tcPr>
          <w:p>
            <w:pPr>
              <w:spacing w:before="40" w:after="40"/>
            </w:pPr>
            <w:r>
              <w:rPr>
                <w:rFonts w:ascii="Consolas" w:hAnsi="Consolas"/>
                <w:b w:val="0"/>
                <w:i w:val="0"/>
                <w:color w:val="1B3A5C"/>
                <w:sz w:val="16"/>
              </w:rPr>
              <w:t>id_document_front_path</w:t>
            </w:r>
          </w:p>
        </w:tc>
      </w:tr>
      <w:tr>
        <w:tc>
          <w:tcPr>
            <w:tcW w:type="dxa" w:w="3249"/>
          </w:tcPr>
          <w:p>
            <w:pPr>
              <w:spacing w:before="40" w:after="40"/>
            </w:pPr>
            <w:r>
              <w:rPr>
                <w:rFonts w:ascii="Consolas" w:hAnsi="Consolas"/>
                <w:b w:val="0"/>
                <w:i w:val="0"/>
                <w:color w:val="1B3A5C"/>
                <w:sz w:val="16"/>
              </w:rPr>
              <w:t>id_document_back</w:t>
            </w:r>
          </w:p>
        </w:tc>
        <w:tc>
          <w:tcPr>
            <w:tcW w:type="dxa" w:w="3249"/>
          </w:tcPr>
          <w:p>
            <w:pPr>
              <w:spacing w:before="40" w:after="40"/>
            </w:pPr>
            <w:r>
              <w:rPr>
                <w:rFonts w:ascii="Calibri" w:hAnsi="Calibri"/>
                <w:b w:val="0"/>
                <w:i w:val="0"/>
                <w:color w:val="333333"/>
                <w:sz w:val="17"/>
              </w:rPr>
              <w:t>CNIB, back</w:t>
            </w:r>
          </w:p>
        </w:tc>
        <w:tc>
          <w:tcPr>
            <w:tcW w:type="dxa" w:w="3249"/>
          </w:tcPr>
          <w:p>
            <w:pPr>
              <w:spacing w:before="40" w:after="40"/>
            </w:pPr>
            <w:r>
              <w:rPr>
                <w:rFonts w:ascii="Consolas" w:hAnsi="Consolas"/>
                <w:b w:val="0"/>
                <w:i w:val="0"/>
                <w:color w:val="1B3A5C"/>
                <w:sz w:val="16"/>
              </w:rPr>
              <w:t>id_document_back_path</w:t>
            </w:r>
          </w:p>
        </w:tc>
      </w:tr>
    </w:tbl>
    <w:p>
      <w:pPr>
        <w:spacing w:after="40"/>
      </w:pPr>
    </w:p>
    <w:p>
      <w:r>
        <w:rPr>
          <w:rFonts w:ascii="Calibri" w:hAnsi="Calibri"/>
          <w:b w:val="0"/>
          <w:i w:val="0"/>
          <w:color w:val="333333"/>
          <w:sz w:val="20"/>
        </w:rPr>
        <w:t>Images are compressed on the terminal to at most 900 KB each. The back office accepts JPEG, PNG and WebP.</w:t>
      </w:r>
    </w:p>
    <w:p>
      <w:pPr>
        <w:pStyle w:val="Heading2"/>
        <w:spacing w:before="280" w:after="80"/>
        <w:keepNext/>
      </w:pPr>
      <w:bookmarkStart w:id="157" w:name="_Toc_s056"/>
      <w:r>
        <w:rPr>
          <w:rFonts w:ascii="Calibri" w:hAnsi="Calibri"/>
          <w:b/>
          <w:color w:val="1B3A5C"/>
          <w:sz w:val="24"/>
        </w:rPr>
        <w:t>14.5 Data exchange formats</w:t>
      </w:r>
      <w:bookmarkEnd w:id="15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Exchange</w:t>
            </w:r>
          </w:p>
        </w:tc>
        <w:tc>
          <w:tcPr>
            <w:tcW w:type="dxa" w:w="3249"/>
            <w:shd w:val="clear" w:fill="1B3A5C"/>
          </w:tcPr>
          <w:p>
            <w:pPr>
              <w:spacing w:before="60" w:after="60"/>
            </w:pPr>
            <w:r>
              <w:rPr>
                <w:rFonts w:ascii="Calibri" w:hAnsi="Calibri"/>
                <w:b/>
                <w:color w:val="FFFFFF"/>
                <w:sz w:val="17"/>
              </w:rPr>
              <w:t>Direction</w:t>
            </w:r>
          </w:p>
        </w:tc>
        <w:tc>
          <w:tcPr>
            <w:tcW w:type="dxa" w:w="3249"/>
            <w:shd w:val="clear" w:fill="1B3A5C"/>
          </w:tcPr>
          <w:p>
            <w:pPr>
              <w:spacing w:before="60" w:after="60"/>
            </w:pPr>
            <w:r>
              <w:rPr>
                <w:rFonts w:ascii="Calibri" w:hAnsi="Calibri"/>
                <w:b/>
                <w:color w:val="FFFFFF"/>
                <w:sz w:val="17"/>
              </w:rPr>
              <w:t>Format</w:t>
            </w:r>
          </w:p>
        </w:tc>
      </w:tr>
      <w:tr>
        <w:tc>
          <w:tcPr>
            <w:tcW w:type="dxa" w:w="3249"/>
          </w:tcPr>
          <w:p>
            <w:pPr>
              <w:spacing w:before="40" w:after="40"/>
            </w:pPr>
            <w:r>
              <w:rPr>
                <w:rFonts w:ascii="Calibri" w:hAnsi="Calibri"/>
                <w:b w:val="0"/>
                <w:i w:val="0"/>
                <w:color w:val="333333"/>
                <w:sz w:val="17"/>
              </w:rPr>
              <w:t>Terminal API</w:t>
            </w:r>
          </w:p>
        </w:tc>
        <w:tc>
          <w:tcPr>
            <w:tcW w:type="dxa" w:w="3249"/>
          </w:tcPr>
          <w:p>
            <w:pPr>
              <w:spacing w:before="40" w:after="40"/>
            </w:pPr>
            <w:r>
              <w:rPr>
                <w:rFonts w:ascii="Calibri" w:hAnsi="Calibri"/>
                <w:b w:val="0"/>
                <w:i w:val="0"/>
                <w:color w:val="333333"/>
                <w:sz w:val="17"/>
              </w:rPr>
              <w:t>Terminal ↔ back office</w:t>
            </w:r>
          </w:p>
        </w:tc>
        <w:tc>
          <w:tcPr>
            <w:tcW w:type="dxa" w:w="3249"/>
          </w:tcPr>
          <w:p>
            <w:pPr>
              <w:spacing w:before="40" w:after="40"/>
            </w:pPr>
            <w:r>
              <w:rPr>
                <w:rFonts w:ascii="Calibri" w:hAnsi="Calibri"/>
                <w:b w:val="0"/>
                <w:i w:val="0"/>
                <w:color w:val="333333"/>
                <w:sz w:val="17"/>
              </w:rPr>
              <w:t>JSON, UTF-8; images as multipart/form-data</w:t>
            </w:r>
          </w:p>
        </w:tc>
      </w:tr>
      <w:tr>
        <w:tc>
          <w:tcPr>
            <w:tcW w:type="dxa" w:w="3249"/>
            <w:shd w:val="clear" w:fill="F2F6FA"/>
          </w:tcPr>
          <w:p>
            <w:pPr>
              <w:spacing w:before="40" w:after="40"/>
            </w:pPr>
            <w:r>
              <w:rPr>
                <w:rFonts w:ascii="Calibri" w:hAnsi="Calibri"/>
                <w:b w:val="0"/>
                <w:i w:val="0"/>
                <w:color w:val="333333"/>
                <w:sz w:val="17"/>
              </w:rPr>
              <w:t>Existing customers and policies</w:t>
            </w:r>
          </w:p>
        </w:tc>
        <w:tc>
          <w:tcPr>
            <w:tcW w:type="dxa" w:w="3249"/>
            <w:shd w:val="clear" w:fill="F2F6FA"/>
          </w:tcPr>
          <w:p>
            <w:pPr>
              <w:spacing w:before="40" w:after="40"/>
            </w:pPr>
            <w:r>
              <w:rPr>
                <w:rFonts w:ascii="Calibri" w:hAnsi="Calibri"/>
                <w:b w:val="0"/>
                <w:i w:val="0"/>
                <w:color w:val="333333"/>
                <w:sz w:val="17"/>
              </w:rPr>
              <w:t>SUNULIFE extract → back office</w:t>
            </w:r>
          </w:p>
        </w:tc>
        <w:tc>
          <w:tcPr>
            <w:tcW w:type="dxa" w:w="3249"/>
            <w:shd w:val="clear" w:fill="F2F6FA"/>
          </w:tcPr>
          <w:p>
            <w:pPr>
              <w:spacing w:before="40" w:after="40"/>
            </w:pPr>
            <w:r>
              <w:rPr>
                <w:rFonts w:ascii="Calibri" w:hAnsi="Calibri"/>
                <w:b w:val="0"/>
                <w:i w:val="0"/>
                <w:color w:val="333333"/>
                <w:sz w:val="17"/>
              </w:rPr>
              <w:t>CSV, UTF-8, comma-separated; specified in Document 5</w:t>
            </w:r>
          </w:p>
        </w:tc>
      </w:tr>
      <w:tr>
        <w:tc>
          <w:tcPr>
            <w:tcW w:type="dxa" w:w="3249"/>
          </w:tcPr>
          <w:p>
            <w:pPr>
              <w:spacing w:before="40" w:after="40"/>
            </w:pPr>
            <w:r>
              <w:rPr>
                <w:rFonts w:ascii="Calibri" w:hAnsi="Calibri"/>
                <w:b w:val="0"/>
                <w:i w:val="0"/>
                <w:color w:val="333333"/>
                <w:sz w:val="17"/>
              </w:rPr>
              <w:t>Premium collections</w:t>
            </w:r>
          </w:p>
        </w:tc>
        <w:tc>
          <w:tcPr>
            <w:tcW w:type="dxa" w:w="3249"/>
          </w:tcPr>
          <w:p>
            <w:pPr>
              <w:spacing w:before="40" w:after="40"/>
            </w:pPr>
            <w:r>
              <w:rPr>
                <w:rFonts w:ascii="Calibri" w:hAnsi="Calibri"/>
                <w:b w:val="0"/>
                <w:i w:val="0"/>
                <w:color w:val="333333"/>
                <w:sz w:val="17"/>
              </w:rPr>
              <w:t>Back office → SUNU</w:t>
            </w:r>
          </w:p>
        </w:tc>
        <w:tc>
          <w:tcPr>
            <w:tcW w:type="dxa" w:w="3249"/>
          </w:tcPr>
          <w:p>
            <w:pPr>
              <w:spacing w:before="40" w:after="40"/>
            </w:pPr>
            <w:r>
              <w:rPr>
                <w:rFonts w:ascii="Calibri" w:hAnsi="Calibri"/>
                <w:b w:val="0"/>
                <w:i w:val="0"/>
                <w:color w:val="333333"/>
                <w:sz w:val="17"/>
              </w:rPr>
              <w:t>CSV download</w:t>
            </w:r>
          </w:p>
        </w:tc>
      </w:tr>
    </w:tbl>
    <w:p>
      <w:pPr>
        <w:spacing w:after="40"/>
      </w:pPr>
    </w:p>
    <w:p>
      <w:pPr>
        <w:pStyle w:val="Heading2"/>
        <w:spacing w:before="280" w:after="80"/>
        <w:keepNext/>
      </w:pPr>
      <w:bookmarkStart w:id="158" w:name="_Toc_s057"/>
      <w:r>
        <w:rPr>
          <w:rFonts w:ascii="Calibri" w:hAnsi="Calibri"/>
          <w:b/>
          <w:color w:val="1B3A5C"/>
          <w:sz w:val="24"/>
        </w:rPr>
        <w:t>14.6 Lessons from the pilot and pre-production items</w:t>
      </w:r>
      <w:bookmarkEnd w:id="158"/>
    </w:p>
    <w:p>
      <w:r>
        <w:rPr>
          <w:rFonts w:ascii="Calibri" w:hAnsi="Calibri"/>
          <w:b w:val="0"/>
          <w:i w:val="0"/>
          <w:color w:val="333333"/>
          <w:sz w:val="20"/>
        </w:rPr>
        <w:t>Field testing between 14 and 16 September 2026 led to three terminal releases (1.1.0 to 1.1.2):</w:t>
      </w:r>
    </w:p>
    <w:p>
      <w:pPr>
        <w:spacing w:after="40"/>
        <w:ind w:left="312" w:hanging="198"/>
      </w:pPr>
      <w:r>
        <w:rPr>
          <w:rFonts w:ascii="Calibri" w:hAnsi="Calibri"/>
          <w:b w:val="0"/>
          <w:color w:val="2C5F8A"/>
          <w:sz w:val="20"/>
        </w:rPr>
        <w:t xml:space="preserve">•  </w:t>
      </w:r>
      <w:r>
        <w:rPr>
          <w:rFonts w:ascii="Calibri" w:hAnsi="Calibri"/>
          <w:b/>
          <w:i w:val="0"/>
          <w:color w:val="333333"/>
          <w:sz w:val="20"/>
        </w:rPr>
        <w:t>Image uploads.</w:t>
      </w:r>
      <w:r>
        <w:rPr>
          <w:rFonts w:ascii="Calibri" w:hAnsi="Calibri"/>
          <w:b w:val="0"/>
          <w:i w:val="0"/>
          <w:color w:val="333333"/>
          <w:sz w:val="20"/>
        </w:rPr>
        <w:t xml:space="preserve"> Each photo now travels under its own field name, is compressed on the terminal, and is sent with a fixed-length request body, because the PHP tier does not read chunked multipart bodies. Server upload limits were raised to match.</w:t>
      </w:r>
    </w:p>
    <w:p>
      <w:pPr>
        <w:spacing w:after="40"/>
        <w:ind w:left="312" w:hanging="198"/>
      </w:pPr>
      <w:r>
        <w:rPr>
          <w:rFonts w:ascii="Calibri" w:hAnsi="Calibri"/>
          <w:b w:val="0"/>
          <w:color w:val="2C5F8A"/>
          <w:sz w:val="20"/>
        </w:rPr>
        <w:t xml:space="preserve">•  </w:t>
      </w:r>
      <w:r>
        <w:rPr>
          <w:rFonts w:ascii="Calibri" w:hAnsi="Calibri"/>
          <w:b/>
          <w:i w:val="0"/>
          <w:color w:val="333333"/>
          <w:sz w:val="20"/>
        </w:rPr>
        <w:t>GPS.</w:t>
      </w:r>
      <w:r>
        <w:rPr>
          <w:rFonts w:ascii="Calibri" w:hAnsi="Calibri"/>
          <w:b w:val="0"/>
          <w:i w:val="0"/>
          <w:color w:val="333333"/>
          <w:sz w:val="20"/>
        </w:rPr>
        <w:t xml:space="preserve"> A 0,0 position is treated as missing, and the terminal requests location permission at runtime.</w:t>
      </w:r>
    </w:p>
    <w:p>
      <w:pPr>
        <w:spacing w:after="40"/>
        <w:ind w:left="312" w:hanging="198"/>
      </w:pPr>
      <w:r>
        <w:rPr>
          <w:rFonts w:ascii="Calibri" w:hAnsi="Calibri"/>
          <w:b w:val="0"/>
          <w:color w:val="2C5F8A"/>
          <w:sz w:val="20"/>
        </w:rPr>
        <w:t xml:space="preserve">•  </w:t>
      </w:r>
      <w:r>
        <w:rPr>
          <w:rFonts w:ascii="Calibri" w:hAnsi="Calibri"/>
          <w:b/>
          <w:i w:val="0"/>
          <w:color w:val="333333"/>
          <w:sz w:val="20"/>
        </w:rPr>
        <w:t>Terminal start-up.</w:t>
      </w:r>
      <w:r>
        <w:rPr>
          <w:rFonts w:ascii="Calibri" w:hAnsi="Calibri"/>
          <w:b w:val="0"/>
          <w:i w:val="0"/>
          <w:color w:val="333333"/>
          <w:sz w:val="20"/>
        </w:rPr>
        <w:t xml:space="preserve"> NFC and printer libraries load only when needed, and the installation package fell from about 70 MB to about 15 MB.</w:t>
      </w:r>
    </w:p>
    <w:p>
      <w:pPr>
        <w:spacing w:after="40"/>
        <w:ind w:left="312" w:hanging="198"/>
      </w:pPr>
      <w:r>
        <w:rPr>
          <w:rFonts w:ascii="Calibri" w:hAnsi="Calibri"/>
          <w:b w:val="0"/>
          <w:color w:val="2C5F8A"/>
          <w:sz w:val="20"/>
        </w:rPr>
        <w:t xml:space="preserve">•  </w:t>
      </w:r>
      <w:r>
        <w:rPr>
          <w:rFonts w:ascii="Calibri" w:hAnsi="Calibri"/>
          <w:b/>
          <w:i w:val="0"/>
          <w:color w:val="333333"/>
          <w:sz w:val="20"/>
        </w:rPr>
        <w:t>Diagnostics.</w:t>
      </w:r>
      <w:r>
        <w:rPr>
          <w:rFonts w:ascii="Calibri" w:hAnsi="Calibri"/>
          <w:b w:val="0"/>
          <w:i w:val="0"/>
          <w:color w:val="333333"/>
          <w:sz w:val="20"/>
        </w:rPr>
        <w:t xml:space="preserve"> Validation errors are returned field by field to the terminal and logged on the server.</w:t>
      </w:r>
    </w:p>
    <w:p>
      <w:r>
        <w:rPr>
          <w:rFonts w:ascii="Calibri" w:hAnsi="Calibri"/>
          <w:b w:val="0"/>
          <w:i w:val="0"/>
          <w:color w:val="333333"/>
          <w:sz w:val="20"/>
        </w:rPr>
        <w:t>Before production, the pilot moves to the target described in section 10 and in Document 2:</w:t>
      </w:r>
    </w:p>
    <w:p>
      <w:pPr>
        <w:spacing w:after="40"/>
        <w:ind w:left="312" w:hanging="198"/>
      </w:pPr>
      <w:r>
        <w:rPr>
          <w:rFonts w:ascii="Calibri" w:hAnsi="Calibri"/>
          <w:b/>
          <w:color w:val="2C5F8A"/>
          <w:sz w:val="20"/>
        </w:rPr>
        <w:t xml:space="preserve">1.  </w:t>
      </w:r>
      <w:r>
        <w:rPr>
          <w:rFonts w:ascii="Calibri" w:hAnsi="Calibri"/>
          <w:b w:val="0"/>
          <w:i w:val="0"/>
          <w:color w:val="333333"/>
          <w:sz w:val="20"/>
        </w:rPr>
        <w:t>TLS on all terminal and web traffic (Document 2 §12 and §18).</w:t>
      </w:r>
    </w:p>
    <w:p>
      <w:pPr>
        <w:spacing w:after="40"/>
        <w:ind w:left="312" w:hanging="198"/>
      </w:pPr>
      <w:r>
        <w:rPr>
          <w:rFonts w:ascii="Calibri" w:hAnsi="Calibri"/>
          <w:b/>
          <w:color w:val="2C5F8A"/>
          <w:sz w:val="20"/>
        </w:rPr>
        <w:t xml:space="preserve">2.  </w:t>
      </w:r>
      <w:r>
        <w:rPr>
          <w:rFonts w:ascii="Calibri" w:hAnsi="Calibri"/>
          <w:b w:val="0"/>
          <w:i w:val="0"/>
          <w:color w:val="333333"/>
          <w:sz w:val="20"/>
        </w:rPr>
        <w:t>Per-terminal API authentication in addition to the device identifier.</w:t>
      </w:r>
    </w:p>
    <w:p>
      <w:pPr>
        <w:spacing w:after="40"/>
        <w:ind w:left="312" w:hanging="198"/>
      </w:pPr>
      <w:r>
        <w:rPr>
          <w:rFonts w:ascii="Calibri" w:hAnsi="Calibri"/>
          <w:b/>
          <w:color w:val="2C5F8A"/>
          <w:sz w:val="20"/>
        </w:rPr>
        <w:t xml:space="preserve">3.  </w:t>
      </w:r>
      <w:r>
        <w:rPr>
          <w:rFonts w:ascii="Calibri" w:hAnsi="Calibri"/>
          <w:b w:val="0"/>
          <w:i w:val="0"/>
          <w:color w:val="333333"/>
          <w:sz w:val="20"/>
        </w:rPr>
        <w:t>Production topology of §10.2: Nginx and PHP-FPM, separate database server, encrypted backups with point-in-time recovery.</w:t>
      </w:r>
    </w:p>
    <w:p>
      <w:pPr>
        <w:spacing w:after="40"/>
        <w:ind w:left="312" w:hanging="198"/>
      </w:pPr>
      <w:r>
        <w:rPr>
          <w:rFonts w:ascii="Calibri" w:hAnsi="Calibri"/>
          <w:b/>
          <w:color w:val="2C5F8A"/>
          <w:sz w:val="20"/>
        </w:rPr>
        <w:t xml:space="preserve">4.  </w:t>
      </w:r>
      <w:r>
        <w:rPr>
          <w:rFonts w:ascii="Calibri" w:hAnsi="Calibri"/>
          <w:b w:val="0"/>
          <w:i w:val="0"/>
          <w:color w:val="333333"/>
          <w:sz w:val="20"/>
        </w:rPr>
        <w:t>Hosting location decision (OP-5).</w:t>
      </w:r>
    </w:p>
    <w:p>
      <w:pPr>
        <w:spacing w:after="40"/>
        <w:ind w:left="312" w:hanging="198"/>
      </w:pPr>
      <w:r>
        <w:rPr>
          <w:rFonts w:ascii="Calibri" w:hAnsi="Calibri"/>
          <w:b/>
          <w:color w:val="2C5F8A"/>
          <w:sz w:val="20"/>
        </w:rPr>
        <w:t xml:space="preserve">5.  </w:t>
      </w:r>
      <w:r>
        <w:rPr>
          <w:rFonts w:ascii="Calibri" w:hAnsi="Calibri"/>
          <w:b w:val="0"/>
          <w:i w:val="0"/>
          <w:color w:val="333333"/>
          <w:sz w:val="20"/>
        </w:rPr>
        <w:t>SUNULIFE integration phase decision (OP-1).</w:t>
      </w:r>
    </w:p>
    <w:p>
      <w:pPr>
        <w:spacing w:before="40" w:after="120"/>
        <w:pBdr>
          <w:bottom w:val="single" w:sz="6" w:space="6" w:color="D8DEE6"/>
        </w:pBdr>
      </w:pPr>
    </w:p>
    <w:p>
      <w:pPr>
        <w:spacing w:before="280"/>
        <w:jc w:val="center"/>
      </w:pPr>
      <w:r>
        <w:rPr>
          <w:rFonts w:ascii="Calibri" w:hAnsi="Calibri"/>
          <w:i/>
          <w:color w:val="666666"/>
          <w:sz w:val="18"/>
        </w:rPr>
        <w:t>End of Document 1.</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1 · Overall and Detailed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Overall and Detailed Technical Architecture</dc:title>
  <dc:subject>Technical Architecture Specification</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