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Solution mobile de collecte de primes sur terminaux TPE</w:t>
      </w:r>
    </w:p>
    <w:p>
      <w:pPr>
        <w:spacing w:after="40"/>
      </w:pPr>
      <w:r>
        <w:rPr>
          <w:rFonts w:ascii="Calibri" w:hAnsi="Calibri"/>
          <w:b/>
          <w:color w:val="2C5F8A"/>
          <w:sz w:val="20"/>
        </w:rPr>
        <w:t>DOCUMENT 2</w:t>
      </w:r>
    </w:p>
    <w:p>
      <w:pPr>
        <w:pBdr>
          <w:bottom w:val="single" w:sz="12" w:space="6" w:color="1B3A5C"/>
        </w:pBdr>
        <w:spacing w:after="520"/>
      </w:pPr>
      <w:r>
        <w:rPr>
          <w:rFonts w:ascii="Calibri" w:hAnsi="Calibri"/>
          <w:b/>
          <w:color w:val="1B3A5C"/>
          <w:sz w:val="52"/>
        </w:rPr>
        <w:t>Architecture, procédures et dispositifs de sécurité</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Objet</w:t>
            </w:r>
          </w:p>
        </w:tc>
        <w:tc>
          <w:tcPr>
            <w:tcW w:type="dxa" w:w="6803"/>
          </w:tcPr>
          <w:p>
            <w:r>
              <w:rPr>
                <w:rFonts w:ascii="Calibri" w:hAnsi="Calibri"/>
                <w:color w:val="333333"/>
                <w:sz w:val="18"/>
              </w:rPr>
              <w:t>Architecture et procédures de sécurité</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 — projet soumis à revue</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31 août 2026</w:t>
            </w:r>
          </w:p>
        </w:tc>
      </w:tr>
      <w:tr>
        <w:tc>
          <w:tcPr>
            <w:tcW w:type="dxa" w:w="2268"/>
          </w:tcPr>
          <w:p>
            <w:r>
              <w:rPr>
                <w:rFonts w:ascii="Calibri" w:hAnsi="Calibri"/>
                <w:b/>
                <w:color w:val="2C5F8A"/>
                <w:sz w:val="18"/>
              </w:rPr>
              <w:t>Destinataire</w:t>
            </w:r>
          </w:p>
        </w:tc>
        <w:tc>
          <w:tcPr>
            <w:tcW w:type="dxa" w:w="6803"/>
          </w:tcPr>
          <w:p>
            <w:r>
              <w:rPr>
                <w:rFonts w:ascii="Calibri" w:hAnsi="Calibri"/>
                <w:color w:val="333333"/>
                <w:sz w:val="18"/>
              </w:rPr>
              <w:t>SUNU Assurances Vie Burkina Faso — Direction Centrale des Opérations</w:t>
            </w:r>
          </w:p>
        </w:tc>
      </w:tr>
      <w:tr>
        <w:tc>
          <w:tcPr>
            <w:tcW w:type="dxa" w:w="2268"/>
          </w:tcPr>
          <w:p>
            <w:r>
              <w:rPr>
                <w:rFonts w:ascii="Calibri" w:hAnsi="Calibri"/>
                <w:b/>
                <w:color w:val="2C5F8A"/>
                <w:sz w:val="18"/>
              </w:rPr>
              <w:t>Émetteur</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Confidentiel — SUNU Assurances Vie et DBS SA</w:t>
            </w:r>
          </w:p>
        </w:tc>
      </w:tr>
    </w:tbl>
    <w:p>
      <w:r>
        <w:br w:type="page"/>
      </w:r>
    </w:p>
    <w:p>
      <w:pPr>
        <w:spacing w:after="80"/>
      </w:pPr>
      <w:r>
        <w:rPr>
          <w:rFonts w:ascii="Calibri" w:hAnsi="Calibri"/>
          <w:b/>
          <w:color w:val="1B3A5C"/>
          <w:sz w:val="32"/>
        </w:rPr>
        <w:t>Sommaire</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Objet, périmètre et démarche</w:t>
        </w:r>
      </w:hyperlink>
    </w:p>
    <w:p>
      <w:pPr>
        <w:spacing w:before="0" w:after="30"/>
        <w:ind w:left="340"/>
      </w:pPr>
      <w:hyperlink w:anchor="_Toc_s001" w:history="1">
        <w:r>
          <w:rPr>
            <w:rFonts w:ascii="Calibri" w:hAnsi="Calibri"/>
            <w:color w:val="333333"/>
            <w:sz w:val="19"/>
          </w:rPr>
          <w:t xml:space="preserve">1.1 Objet</w:t>
        </w:r>
      </w:hyperlink>
    </w:p>
    <w:p>
      <w:pPr>
        <w:spacing w:before="0" w:after="30"/>
        <w:ind w:left="340"/>
      </w:pPr>
      <w:hyperlink w:anchor="_Toc_s002" w:history="1">
        <w:r>
          <w:rPr>
            <w:rFonts w:ascii="Calibri" w:hAnsi="Calibri"/>
            <w:color w:val="333333"/>
            <w:sz w:val="19"/>
          </w:rPr>
          <w:t xml:space="preserve">1.2 Périmètre</w:t>
        </w:r>
      </w:hyperlink>
    </w:p>
    <w:p>
      <w:pPr>
        <w:spacing w:before="0" w:after="30"/>
        <w:ind w:left="340"/>
      </w:pPr>
      <w:hyperlink w:anchor="_Toc_s003" w:history="1">
        <w:r>
          <w:rPr>
            <w:rFonts w:ascii="Calibri" w:hAnsi="Calibri"/>
            <w:color w:val="333333"/>
            <w:sz w:val="19"/>
          </w:rPr>
          <w:t xml:space="preserve">1.3 Démarche et déclaration de transparence</w:t>
        </w:r>
      </w:hyperlink>
    </w:p>
    <w:p>
      <w:pPr>
        <w:spacing w:before="0" w:after="30"/>
        <w:ind w:left="340"/>
      </w:pPr>
      <w:hyperlink w:anchor="_Toc_s004" w:history="1">
        <w:r>
          <w:rPr>
            <w:rFonts w:ascii="Calibri" w:hAnsi="Calibri"/>
            <w:color w:val="333333"/>
            <w:sz w:val="19"/>
          </w:rPr>
          <w:t xml:space="preserve">1.4 Référentiels de référence</w:t>
        </w:r>
      </w:hyperlink>
    </w:p>
    <w:p>
      <w:pPr>
        <w:spacing w:before="100" w:after="30"/>
        <w:ind w:left="0"/>
      </w:pPr>
      <w:hyperlink w:anchor="_Toc_s005" w:history="1">
        <w:r>
          <w:rPr>
            <w:rFonts w:ascii="Calibri" w:hAnsi="Calibri"/>
            <w:b/>
            <w:color w:val="1B3A5C"/>
            <w:sz w:val="21"/>
          </w:rPr>
          <w:t xml:space="preserve">2. Actifs et objectifs de sécurité</w:t>
        </w:r>
      </w:hyperlink>
    </w:p>
    <w:p>
      <w:pPr>
        <w:spacing w:before="0" w:after="30"/>
        <w:ind w:left="340"/>
      </w:pPr>
      <w:hyperlink w:anchor="_Toc_s006" w:history="1">
        <w:r>
          <w:rPr>
            <w:rFonts w:ascii="Calibri" w:hAnsi="Calibri"/>
            <w:color w:val="333333"/>
            <w:sz w:val="19"/>
          </w:rPr>
          <w:t xml:space="preserve">2.1 Actifs à protéger</w:t>
        </w:r>
      </w:hyperlink>
    </w:p>
    <w:p>
      <w:pPr>
        <w:spacing w:before="0" w:after="30"/>
        <w:ind w:left="340"/>
      </w:pPr>
      <w:hyperlink w:anchor="_Toc_s007" w:history="1">
        <w:r>
          <w:rPr>
            <w:rFonts w:ascii="Calibri" w:hAnsi="Calibri"/>
            <w:color w:val="333333"/>
            <w:sz w:val="19"/>
          </w:rPr>
          <w:t xml:space="preserve">2.2 Objectifs de sécurité</w:t>
        </w:r>
      </w:hyperlink>
    </w:p>
    <w:p>
      <w:pPr>
        <w:spacing w:before="100" w:after="30"/>
        <w:ind w:left="0"/>
      </w:pPr>
      <w:hyperlink w:anchor="_Toc_s008" w:history="1">
        <w:r>
          <w:rPr>
            <w:rFonts w:ascii="Calibri" w:hAnsi="Calibri"/>
            <w:b/>
            <w:color w:val="1B3A5C"/>
            <w:sz w:val="21"/>
          </w:rPr>
          <w:t xml:space="preserve">3. Modèle de menaces</w:t>
        </w:r>
      </w:hyperlink>
    </w:p>
    <w:p>
      <w:pPr>
        <w:spacing w:before="0" w:after="30"/>
        <w:ind w:left="340"/>
      </w:pPr>
      <w:hyperlink w:anchor="_Toc_s009" w:history="1">
        <w:r>
          <w:rPr>
            <w:rFonts w:ascii="Calibri" w:hAnsi="Calibri"/>
            <w:color w:val="333333"/>
            <w:sz w:val="19"/>
          </w:rPr>
          <w:t xml:space="preserve">3.1 Acteurs de menace</w:t>
        </w:r>
      </w:hyperlink>
    </w:p>
    <w:p>
      <w:pPr>
        <w:spacing w:before="0" w:after="30"/>
        <w:ind w:left="340"/>
      </w:pPr>
      <w:hyperlink w:anchor="_Toc_s010" w:history="1">
        <w:r>
          <w:rPr>
            <w:rFonts w:ascii="Calibri" w:hAnsi="Calibri"/>
            <w:color w:val="333333"/>
            <w:sz w:val="19"/>
          </w:rPr>
          <w:t xml:space="preserve">3.2 Principaux scénarios de menace et contre-mesures</w:t>
        </w:r>
      </w:hyperlink>
    </w:p>
    <w:p>
      <w:pPr>
        <w:spacing w:before="100" w:after="30"/>
        <w:ind w:left="0"/>
      </w:pPr>
      <w:hyperlink w:anchor="_Toc_s011" w:history="1">
        <w:r>
          <w:rPr>
            <w:rFonts w:ascii="Calibri" w:hAnsi="Calibri"/>
            <w:b/>
            <w:color w:val="1B3A5C"/>
            <w:sz w:val="21"/>
          </w:rPr>
          <w:t xml:space="preserve">4. Défense en profondeur — vue par couches</w:t>
        </w:r>
      </w:hyperlink>
    </w:p>
    <w:p>
      <w:pPr>
        <w:spacing w:before="100" w:after="30"/>
        <w:ind w:left="0"/>
      </w:pPr>
      <w:hyperlink w:anchor="_Toc_s012" w:history="1">
        <w:r>
          <w:rPr>
            <w:rFonts w:ascii="Calibri" w:hAnsi="Calibri"/>
            <w:b/>
            <w:color w:val="1B3A5C"/>
            <w:sz w:val="21"/>
          </w:rPr>
          <w:t xml:space="preserve">5. Gestion des identités et des accès</w:t>
        </w:r>
      </w:hyperlink>
    </w:p>
    <w:p>
      <w:pPr>
        <w:spacing w:before="0" w:after="30"/>
        <w:ind w:left="340"/>
      </w:pPr>
      <w:hyperlink w:anchor="_Toc_s013" w:history="1">
        <w:r>
          <w:rPr>
            <w:rFonts w:ascii="Calibri" w:hAnsi="Calibri"/>
            <w:color w:val="333333"/>
            <w:sz w:val="19"/>
          </w:rPr>
          <w:t xml:space="preserve">5.1 Utilisateurs back-office</w:t>
        </w:r>
      </w:hyperlink>
    </w:p>
    <w:p>
      <w:pPr>
        <w:spacing w:before="0" w:after="30"/>
        <w:ind w:left="340"/>
      </w:pPr>
      <w:hyperlink w:anchor="_Toc_s014" w:history="1">
        <w:r>
          <w:rPr>
            <w:rFonts w:ascii="Calibri" w:hAnsi="Calibri"/>
            <w:color w:val="333333"/>
            <w:sz w:val="19"/>
          </w:rPr>
          <w:t xml:space="preserve">5.2 Contrôle d'accès fondé sur les rôles</w:t>
        </w:r>
      </w:hyperlink>
    </w:p>
    <w:p>
      <w:pPr>
        <w:spacing w:before="0" w:after="30"/>
        <w:ind w:left="340"/>
      </w:pPr>
      <w:hyperlink w:anchor="_Toc_s015" w:history="1">
        <w:r>
          <w:rPr>
            <w:rFonts w:ascii="Calibri" w:hAnsi="Calibri"/>
            <w:color w:val="333333"/>
            <w:sz w:val="19"/>
          </w:rPr>
          <w:t xml:space="preserve">5.3 Authentification du collecteur sur le TPE</w:t>
        </w:r>
      </w:hyperlink>
    </w:p>
    <w:p>
      <w:pPr>
        <w:spacing w:before="0" w:after="30"/>
        <w:ind w:left="340"/>
      </w:pPr>
      <w:hyperlink w:anchor="_Toc_s016" w:history="1">
        <w:r>
          <w:rPr>
            <w:rFonts w:ascii="Calibri" w:hAnsi="Calibri"/>
            <w:color w:val="333333"/>
            <w:sz w:val="19"/>
          </w:rPr>
          <w:t xml:space="preserve">5.4 Justificatifs machine à machine (clés d'API)</w:t>
        </w:r>
      </w:hyperlink>
    </w:p>
    <w:p>
      <w:pPr>
        <w:spacing w:before="0" w:after="30"/>
        <w:ind w:left="340"/>
      </w:pPr>
      <w:hyperlink w:anchor="_Toc_s017" w:history="1">
        <w:r>
          <w:rPr>
            <w:rFonts w:ascii="Calibri" w:hAnsi="Calibri"/>
            <w:color w:val="333333"/>
            <w:sz w:val="19"/>
          </w:rPr>
          <w:t xml:space="preserve">5.5 Identifiants d'intégration tiers</w:t>
        </w:r>
      </w:hyperlink>
    </w:p>
    <w:p>
      <w:pPr>
        <w:spacing w:before="100" w:after="30"/>
        <w:ind w:left="0"/>
      </w:pPr>
      <w:hyperlink w:anchor="_Toc_s018" w:history="1">
        <w:r>
          <w:rPr>
            <w:rFonts w:ascii="Calibri" w:hAnsi="Calibri"/>
            <w:b/>
            <w:color w:val="1B3A5C"/>
            <w:sz w:val="21"/>
          </w:rPr>
          <w:t xml:space="preserve">6. Protection des données</w:t>
        </w:r>
      </w:hyperlink>
    </w:p>
    <w:p>
      <w:pPr>
        <w:spacing w:before="0" w:after="30"/>
        <w:ind w:left="340"/>
      </w:pPr>
      <w:hyperlink w:anchor="_Toc_s019" w:history="1">
        <w:r>
          <w:rPr>
            <w:rFonts w:ascii="Calibri" w:hAnsi="Calibri"/>
            <w:color w:val="333333"/>
            <w:sz w:val="19"/>
          </w:rPr>
          <w:t xml:space="preserve">6.1 Classification</w:t>
        </w:r>
      </w:hyperlink>
    </w:p>
    <w:p>
      <w:pPr>
        <w:spacing w:before="0" w:after="30"/>
        <w:ind w:left="340"/>
      </w:pPr>
      <w:hyperlink w:anchor="_Toc_s020" w:history="1">
        <w:r>
          <w:rPr>
            <w:rFonts w:ascii="Calibri" w:hAnsi="Calibri"/>
            <w:color w:val="333333"/>
            <w:sz w:val="19"/>
          </w:rPr>
          <w:t xml:space="preserve">6.2 Chiffrement en transit</w:t>
        </w:r>
      </w:hyperlink>
    </w:p>
    <w:p>
      <w:pPr>
        <w:spacing w:before="0" w:after="30"/>
        <w:ind w:left="340"/>
      </w:pPr>
      <w:hyperlink w:anchor="_Toc_s021" w:history="1">
        <w:r>
          <w:rPr>
            <w:rFonts w:ascii="Calibri" w:hAnsi="Calibri"/>
            <w:color w:val="333333"/>
            <w:sz w:val="19"/>
          </w:rPr>
          <w:t xml:space="preserve">6.3 Chiffrement au repos</w:t>
        </w:r>
      </w:hyperlink>
    </w:p>
    <w:p>
      <w:pPr>
        <w:spacing w:before="0" w:after="30"/>
        <w:ind w:left="340"/>
      </w:pPr>
      <w:hyperlink w:anchor="_Toc_s022" w:history="1">
        <w:r>
          <w:rPr>
            <w:rFonts w:ascii="Calibri" w:hAnsi="Calibri"/>
            <w:color w:val="333333"/>
            <w:sz w:val="19"/>
          </w:rPr>
          <w:t xml:space="preserve">6.4 Minimisation des données</w:t>
        </w:r>
      </w:hyperlink>
    </w:p>
    <w:p>
      <w:pPr>
        <w:spacing w:before="0" w:after="30"/>
        <w:ind w:left="340"/>
      </w:pPr>
      <w:hyperlink w:anchor="_Toc_s023" w:history="1">
        <w:r>
          <w:rPr>
            <w:rFonts w:ascii="Calibri" w:hAnsi="Calibri"/>
            <w:color w:val="333333"/>
            <w:sz w:val="19"/>
          </w:rPr>
          <w:t xml:space="preserve">6.5 Données personnelles et droit burkinabè</w:t>
        </w:r>
      </w:hyperlink>
    </w:p>
    <w:p>
      <w:pPr>
        <w:spacing w:before="0" w:after="30"/>
        <w:ind w:left="340"/>
      </w:pPr>
      <w:hyperlink w:anchor="_Toc_s024" w:history="1">
        <w:r>
          <w:rPr>
            <w:rFonts w:ascii="Calibri" w:hAnsi="Calibri"/>
            <w:color w:val="333333"/>
            <w:sz w:val="19"/>
          </w:rPr>
          <w:t xml:space="preserve">6.6 Données biométriques (capacité optionnelle)</w:t>
        </w:r>
      </w:hyperlink>
    </w:p>
    <w:p>
      <w:pPr>
        <w:spacing w:before="100" w:after="30"/>
        <w:ind w:left="0"/>
      </w:pPr>
      <w:hyperlink w:anchor="_Toc_s025" w:history="1">
        <w:r>
          <w:rPr>
            <w:rFonts w:ascii="Calibri" w:hAnsi="Calibri"/>
            <w:b/>
            <w:color w:val="1B3A5C"/>
            <w:sz w:val="21"/>
          </w:rPr>
          <w:t xml:space="preserve">7. Sécurité des cartes physiques et virtuelles</w:t>
        </w:r>
      </w:hyperlink>
    </w:p>
    <w:p>
      <w:pPr>
        <w:spacing w:before="0" w:after="30"/>
        <w:ind w:left="340"/>
      </w:pPr>
      <w:hyperlink w:anchor="_Toc_s026" w:history="1">
        <w:r>
          <w:rPr>
            <w:rFonts w:ascii="Calibri" w:hAnsi="Calibri"/>
            <w:color w:val="333333"/>
            <w:sz w:val="19"/>
          </w:rPr>
          <w:t xml:space="preserve">7.1 Propriété de sécurité fondamentale</w:t>
        </w:r>
      </w:hyperlink>
    </w:p>
    <w:p>
      <w:pPr>
        <w:spacing w:before="0" w:after="30"/>
        <w:ind w:left="340"/>
      </w:pPr>
      <w:hyperlink w:anchor="_Toc_s027" w:history="1">
        <w:r>
          <w:rPr>
            <w:rFonts w:ascii="Calibri" w:hAnsi="Calibri"/>
            <w:color w:val="333333"/>
            <w:sz w:val="19"/>
          </w:rPr>
          <w:t xml:space="preserve">7.2 Contrôles de la carte physique</w:t>
        </w:r>
      </w:hyperlink>
    </w:p>
    <w:p>
      <w:pPr>
        <w:spacing w:before="0" w:after="30"/>
        <w:ind w:left="340"/>
      </w:pPr>
      <w:hyperlink w:anchor="_Toc_s028" w:history="1">
        <w:r>
          <w:rPr>
            <w:rFonts w:ascii="Calibri" w:hAnsi="Calibri"/>
            <w:color w:val="333333"/>
            <w:sz w:val="19"/>
          </w:rPr>
          <w:t xml:space="preserve">7.3 Contrôles de la carte virtuelle (QR)</w:t>
        </w:r>
      </w:hyperlink>
    </w:p>
    <w:p>
      <w:pPr>
        <w:spacing w:before="100" w:after="30"/>
        <w:ind w:left="0"/>
      </w:pPr>
      <w:hyperlink w:anchor="_Toc_s029" w:history="1">
        <w:r>
          <w:rPr>
            <w:rFonts w:ascii="Calibri" w:hAnsi="Calibri"/>
            <w:b/>
            <w:color w:val="1B3A5C"/>
            <w:sz w:val="21"/>
          </w:rPr>
          <w:t xml:space="preserve">8. Contrôles financiers et anti-fraude</w:t>
        </w:r>
      </w:hyperlink>
    </w:p>
    <w:p>
      <w:pPr>
        <w:spacing w:before="0" w:after="30"/>
        <w:ind w:left="340"/>
      </w:pPr>
      <w:hyperlink w:anchor="_Toc_s030" w:history="1">
        <w:r>
          <w:rPr>
            <w:rFonts w:ascii="Calibri" w:hAnsi="Calibri"/>
            <w:color w:val="333333"/>
            <w:sz w:val="19"/>
          </w:rPr>
          <w:t xml:space="preserve">8.1 Registre d'encaissement en ajout seul</w:t>
        </w:r>
      </w:hyperlink>
    </w:p>
    <w:p>
      <w:pPr>
        <w:spacing w:before="0" w:after="30"/>
        <w:ind w:left="340"/>
      </w:pPr>
      <w:hyperlink w:anchor="_Toc_s031" w:history="1">
        <w:r>
          <w:rPr>
            <w:rFonts w:ascii="Calibri" w:hAnsi="Calibri"/>
            <w:color w:val="333333"/>
            <w:sz w:val="19"/>
          </w:rPr>
          <w:t xml:space="preserve">8.2 Le plafond et le versement comme plancher de perte</w:t>
        </w:r>
      </w:hyperlink>
    </w:p>
    <w:p>
      <w:pPr>
        <w:spacing w:before="0" w:after="30"/>
        <w:ind w:left="340"/>
      </w:pPr>
      <w:hyperlink w:anchor="_Toc_s032" w:history="1">
        <w:r>
          <w:rPr>
            <w:rFonts w:ascii="Calibri" w:hAnsi="Calibri"/>
            <w:color w:val="333333"/>
            <w:sz w:val="19"/>
          </w:rPr>
          <w:t xml:space="preserve">8.3 Séparation des tâches sur le versement</w:t>
        </w:r>
      </w:hyperlink>
    </w:p>
    <w:p>
      <w:pPr>
        <w:spacing w:before="0" w:after="30"/>
        <w:ind w:left="340"/>
      </w:pPr>
      <w:hyperlink w:anchor="_Toc_s033" w:history="1">
        <w:r>
          <w:rPr>
            <w:rFonts w:ascii="Calibri" w:hAnsi="Calibri"/>
            <w:color w:val="333333"/>
            <w:sz w:val="19"/>
          </w:rPr>
          <w:t xml:space="preserve">8.4 Contrôles de détection</w:t>
        </w:r>
      </w:hyperlink>
    </w:p>
    <w:p>
      <w:pPr>
        <w:spacing w:before="0" w:after="30"/>
        <w:ind w:left="340"/>
      </w:pPr>
      <w:hyperlink w:anchor="_Toc_s034" w:history="1">
        <w:r>
          <w:rPr>
            <w:rFonts w:ascii="Calibri" w:hAnsi="Calibri"/>
            <w:color w:val="333333"/>
            <w:sz w:val="19"/>
          </w:rPr>
          <w:t xml:space="preserve">8.5 Intégrité du reçu</w:t>
        </w:r>
      </w:hyperlink>
    </w:p>
    <w:p>
      <w:pPr>
        <w:spacing w:before="100" w:after="30"/>
        <w:ind w:left="0"/>
      </w:pPr>
      <w:hyperlink w:anchor="_Toc_s035" w:history="1">
        <w:r>
          <w:rPr>
            <w:rFonts w:ascii="Calibri" w:hAnsi="Calibri"/>
            <w:b/>
            <w:color w:val="1B3A5C"/>
            <w:sz w:val="21"/>
          </w:rPr>
          <w:t xml:space="preserve">9. Sécurité des terminaux et de l'application mobile</w:t>
        </w:r>
      </w:hyperlink>
    </w:p>
    <w:p>
      <w:pPr>
        <w:spacing w:before="100" w:after="30"/>
        <w:ind w:left="0"/>
      </w:pPr>
      <w:hyperlink w:anchor="_Toc_s036" w:history="1">
        <w:r>
          <w:rPr>
            <w:rFonts w:ascii="Calibri" w:hAnsi="Calibri"/>
            <w:b/>
            <w:color w:val="1B3A5C"/>
            <w:sz w:val="21"/>
          </w:rPr>
          <w:t xml:space="preserve">10. Sécurité des intégrations</w:t>
        </w:r>
      </w:hyperlink>
    </w:p>
    <w:p>
      <w:pPr>
        <w:spacing w:before="0" w:after="30"/>
        <w:ind w:left="340"/>
      </w:pPr>
      <w:hyperlink w:anchor="_Toc_s037" w:history="1">
        <w:r>
          <w:rPr>
            <w:rFonts w:ascii="Calibri" w:hAnsi="Calibri"/>
            <w:color w:val="333333"/>
            <w:sz w:val="19"/>
          </w:rPr>
          <w:t xml:space="preserve">10.1 SUNULIFE</w:t>
        </w:r>
      </w:hyperlink>
    </w:p>
    <w:p>
      <w:pPr>
        <w:spacing w:before="0" w:after="30"/>
        <w:ind w:left="340"/>
      </w:pPr>
      <w:hyperlink w:anchor="_Toc_s038" w:history="1">
        <w:r>
          <w:rPr>
            <w:rFonts w:ascii="Calibri" w:hAnsi="Calibri"/>
            <w:color w:val="333333"/>
            <w:sz w:val="19"/>
          </w:rPr>
          <w:t xml:space="preserve">10.2 Mobile Money</w:t>
        </w:r>
      </w:hyperlink>
    </w:p>
    <w:p>
      <w:pPr>
        <w:spacing w:before="0" w:after="30"/>
        <w:ind w:left="340"/>
      </w:pPr>
      <w:hyperlink w:anchor="_Toc_s039" w:history="1">
        <w:r>
          <w:rPr>
            <w:rFonts w:ascii="Calibri" w:hAnsi="Calibri"/>
            <w:color w:val="333333"/>
            <w:sz w:val="19"/>
          </w:rPr>
          <w:t xml:space="preserve">10.3 SMS</w:t>
        </w:r>
      </w:hyperlink>
    </w:p>
    <w:p>
      <w:pPr>
        <w:spacing w:before="100" w:after="30"/>
        <w:ind w:left="0"/>
      </w:pPr>
      <w:hyperlink w:anchor="_Toc_s040" w:history="1">
        <w:r>
          <w:rPr>
            <w:rFonts w:ascii="Calibri" w:hAnsi="Calibri"/>
            <w:b/>
            <w:color w:val="1B3A5C"/>
            <w:sz w:val="21"/>
          </w:rPr>
          <w:t xml:space="preserve">11. Journalisation, audit et supervision</w:t>
        </w:r>
      </w:hyperlink>
    </w:p>
    <w:p>
      <w:pPr>
        <w:spacing w:before="0" w:after="30"/>
        <w:ind w:left="340"/>
      </w:pPr>
      <w:hyperlink w:anchor="_Toc_s041" w:history="1">
        <w:r>
          <w:rPr>
            <w:rFonts w:ascii="Calibri" w:hAnsi="Calibri"/>
            <w:color w:val="333333"/>
            <w:sz w:val="19"/>
          </w:rPr>
          <w:t xml:space="preserve">11.1 Ce qui est consigné</w:t>
        </w:r>
      </w:hyperlink>
    </w:p>
    <w:p>
      <w:pPr>
        <w:spacing w:before="0" w:after="30"/>
        <w:ind w:left="340"/>
      </w:pPr>
      <w:hyperlink w:anchor="_Toc_s042" w:history="1">
        <w:r>
          <w:rPr>
            <w:rFonts w:ascii="Calibri" w:hAnsi="Calibri"/>
            <w:color w:val="333333"/>
            <w:sz w:val="19"/>
          </w:rPr>
          <w:t xml:space="preserve">11.2 Protection des journaux</w:t>
        </w:r>
      </w:hyperlink>
    </w:p>
    <w:p>
      <w:pPr>
        <w:spacing w:before="0" w:after="30"/>
        <w:ind w:left="340"/>
      </w:pPr>
      <w:hyperlink w:anchor="_Toc_s043" w:history="1">
        <w:r>
          <w:rPr>
            <w:rFonts w:ascii="Calibri" w:hAnsi="Calibri"/>
            <w:color w:val="333333"/>
            <w:sz w:val="19"/>
          </w:rPr>
          <w:t xml:space="preserve">11.3 Alertes</w:t>
        </w:r>
      </w:hyperlink>
    </w:p>
    <w:p>
      <w:pPr>
        <w:spacing w:before="0" w:after="30"/>
        <w:ind w:left="340"/>
      </w:pPr>
      <w:hyperlink w:anchor="_Toc_s044" w:history="1">
        <w:r>
          <w:rPr>
            <w:rFonts w:ascii="Calibri" w:hAnsi="Calibri"/>
            <w:color w:val="333333"/>
            <w:sz w:val="19"/>
          </w:rPr>
          <w:t xml:space="preserve">11.4 Cadence de revue</w:t>
        </w:r>
      </w:hyperlink>
    </w:p>
    <w:p>
      <w:pPr>
        <w:spacing w:before="100" w:after="30"/>
        <w:ind w:left="0"/>
      </w:pPr>
      <w:hyperlink w:anchor="_Toc_s045" w:history="1">
        <w:r>
          <w:rPr>
            <w:rFonts w:ascii="Calibri" w:hAnsi="Calibri"/>
            <w:b/>
            <w:color w:val="1B3A5C"/>
            <w:sz w:val="21"/>
          </w:rPr>
          <w:t xml:space="preserve">12. Programme de durcissement — points préexistants à corriger</w:t>
        </w:r>
      </w:hyperlink>
    </w:p>
    <w:p>
      <w:pPr>
        <w:spacing w:before="100" w:after="30"/>
        <w:ind w:left="0"/>
      </w:pPr>
      <w:hyperlink w:anchor="_Toc_s046" w:history="1">
        <w:r>
          <w:rPr>
            <w:rFonts w:ascii="Calibri" w:hAnsi="Calibri"/>
            <w:b/>
            <w:color w:val="1B3A5C"/>
            <w:sz w:val="21"/>
          </w:rPr>
          <w:t xml:space="preserve">13. Continuité d'activité et résilience</w:t>
        </w:r>
      </w:hyperlink>
    </w:p>
    <w:p>
      <w:pPr>
        <w:spacing w:before="100" w:after="30"/>
        <w:ind w:left="0"/>
      </w:pPr>
      <w:hyperlink w:anchor="_Toc_s047" w:history="1">
        <w:r>
          <w:rPr>
            <w:rFonts w:ascii="Calibri" w:hAnsi="Calibri"/>
            <w:b/>
            <w:color w:val="1B3A5C"/>
            <w:sz w:val="21"/>
          </w:rPr>
          <w:t xml:space="preserve">14. Procédures de sécurité pour SUNU</w:t>
        </w:r>
      </w:hyperlink>
    </w:p>
    <w:p>
      <w:pPr>
        <w:spacing w:before="0" w:after="30"/>
        <w:ind w:left="340"/>
      </w:pPr>
      <w:hyperlink w:anchor="_Toc_s048" w:history="1">
        <w:r>
          <w:rPr>
            <w:rFonts w:ascii="Calibri" w:hAnsi="Calibri"/>
            <w:color w:val="333333"/>
            <w:sz w:val="19"/>
          </w:rPr>
          <w:t xml:space="preserve">14.1 Entrée et sortie d'un collecteur</w:t>
        </w:r>
      </w:hyperlink>
    </w:p>
    <w:p>
      <w:pPr>
        <w:spacing w:before="0" w:after="30"/>
        <w:ind w:left="340"/>
      </w:pPr>
      <w:hyperlink w:anchor="_Toc_s049" w:history="1">
        <w:r>
          <w:rPr>
            <w:rFonts w:ascii="Calibri" w:hAnsi="Calibri"/>
            <w:color w:val="333333"/>
            <w:sz w:val="19"/>
          </w:rPr>
          <w:t xml:space="preserve">14.2 Revue des accès</w:t>
        </w:r>
      </w:hyperlink>
    </w:p>
    <w:p>
      <w:pPr>
        <w:spacing w:before="0" w:after="30"/>
        <w:ind w:left="340"/>
      </w:pPr>
      <w:hyperlink w:anchor="_Toc_s050" w:history="1">
        <w:r>
          <w:rPr>
            <w:rFonts w:ascii="Calibri" w:hAnsi="Calibri"/>
            <w:color w:val="333333"/>
            <w:sz w:val="19"/>
          </w:rPr>
          <w:t xml:space="preserve">14.3 Stock de cartes</w:t>
        </w:r>
      </w:hyperlink>
    </w:p>
    <w:p>
      <w:pPr>
        <w:spacing w:before="0" w:after="30"/>
        <w:ind w:left="340"/>
      </w:pPr>
      <w:hyperlink w:anchor="_Toc_s051" w:history="1">
        <w:r>
          <w:rPr>
            <w:rFonts w:ascii="Calibri" w:hAnsi="Calibri"/>
            <w:color w:val="333333"/>
            <w:sz w:val="19"/>
          </w:rPr>
          <w:t xml:space="preserve">14.4 Gestion des justificatifs</w:t>
        </w:r>
      </w:hyperlink>
    </w:p>
    <w:p>
      <w:pPr>
        <w:spacing w:before="0" w:after="30"/>
        <w:ind w:left="340"/>
      </w:pPr>
      <w:hyperlink w:anchor="_Toc_s052" w:history="1">
        <w:r>
          <w:rPr>
            <w:rFonts w:ascii="Calibri" w:hAnsi="Calibri"/>
            <w:color w:val="333333"/>
            <w:sz w:val="19"/>
          </w:rPr>
          <w:t xml:space="preserve">14.5 Sensibilisation</w:t>
        </w:r>
      </w:hyperlink>
    </w:p>
    <w:p>
      <w:pPr>
        <w:spacing w:before="100" w:after="30"/>
        <w:ind w:left="0"/>
      </w:pPr>
      <w:hyperlink w:anchor="_Toc_s053" w:history="1">
        <w:r>
          <w:rPr>
            <w:rFonts w:ascii="Calibri" w:hAnsi="Calibri"/>
            <w:b/>
            <w:color w:val="1B3A5C"/>
            <w:sz w:val="21"/>
          </w:rPr>
          <w:t xml:space="preserve">15. Cartographie des contrôles (ISO/IEC 27001:2022 Annexe A)</w:t>
        </w:r>
      </w:hyperlink>
    </w:p>
    <w:p>
      <w:pPr>
        <w:spacing w:before="100" w:after="30"/>
        <w:ind w:left="0"/>
      </w:pPr>
      <w:hyperlink w:anchor="_Toc_s054" w:history="1">
        <w:r>
          <w:rPr>
            <w:rFonts w:ascii="Calibri" w:hAnsi="Calibri"/>
            <w:b/>
            <w:color w:val="1B3A5C"/>
            <w:sz w:val="21"/>
          </w:rPr>
          <w:t xml:space="preserve">16. Assurance</w:t>
        </w:r>
      </w:hyperlink>
    </w:p>
    <w:p>
      <w:pPr>
        <w:spacing w:before="0" w:after="30"/>
        <w:ind w:left="340"/>
      </w:pPr>
      <w:hyperlink w:anchor="_Toc_s055" w:history="1">
        <w:r>
          <w:rPr>
            <w:rFonts w:ascii="Calibri" w:hAnsi="Calibri"/>
            <w:color w:val="333333"/>
            <w:sz w:val="19"/>
          </w:rPr>
          <w:t xml:space="preserve">16.1 Réponse aux incidents</w:t>
        </w:r>
      </w:hyperlink>
    </w:p>
    <w:p>
      <w:pPr>
        <w:spacing w:before="0" w:after="30"/>
        <w:ind w:left="340"/>
      </w:pPr>
      <w:hyperlink w:anchor="_Toc_s056" w:history="1">
        <w:r>
          <w:rPr>
            <w:rFonts w:ascii="Calibri" w:hAnsi="Calibri"/>
            <w:color w:val="333333"/>
            <w:sz w:val="19"/>
          </w:rPr>
          <w:t xml:space="preserve">16.2 Tests avant mise en service</w:t>
        </w:r>
      </w:hyperlink>
    </w:p>
    <w:p>
      <w:pPr>
        <w:spacing w:before="0" w:after="30"/>
        <w:ind w:left="340"/>
      </w:pPr>
      <w:hyperlink w:anchor="_Toc_s057" w:history="1">
        <w:r>
          <w:rPr>
            <w:rFonts w:ascii="Calibri" w:hAnsi="Calibri"/>
            <w:color w:val="333333"/>
            <w:sz w:val="19"/>
          </w:rPr>
          <w:t xml:space="preserve">16.3 Développement sécurisé et gestion des changements</w:t>
        </w:r>
      </w:hyperlink>
    </w:p>
    <w:p>
      <w:pPr>
        <w:spacing w:before="100" w:after="30"/>
        <w:ind w:left="0"/>
      </w:pPr>
      <w:hyperlink w:anchor="_Toc_s058" w:history="1">
        <w:r>
          <w:rPr>
            <w:rFonts w:ascii="Calibri" w:hAnsi="Calibri"/>
            <w:b/>
            <w:color w:val="1B3A5C"/>
            <w:sz w:val="21"/>
          </w:rPr>
          <w:t xml:space="preserve">17. Matrice de responsabilités</w:t>
        </w:r>
      </w:hyperlink>
    </w:p>
    <w:p>
      <w:pPr>
        <w:spacing w:before="100" w:after="30"/>
        <w:ind w:left="0"/>
      </w:pPr>
      <w:hyperlink w:anchor="_Toc_s059" w:history="1">
        <w:r>
          <w:rPr>
            <w:rFonts w:ascii="Calibri" w:hAnsi="Calibri"/>
            <w:b/>
            <w:color w:val="1B3A5C"/>
            <w:sz w:val="21"/>
          </w:rPr>
          <w:t xml:space="preserve">18. Liste de contrôle de réception sécurité (jalon de mise en service)</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Objet, périmètre et démarche</w:t>
      </w:r>
      <w:bookmarkEnd w:id="101"/>
    </w:p>
    <w:p>
      <w:pPr>
        <w:pStyle w:val="Heading2"/>
        <w:spacing w:before="280" w:after="80"/>
        <w:keepNext/>
      </w:pPr>
      <w:bookmarkStart w:id="102" w:name="_Toc_s001"/>
      <w:r>
        <w:rPr>
          <w:rFonts w:ascii="Calibri" w:hAnsi="Calibri"/>
          <w:b/>
          <w:color w:val="1B3A5C"/>
          <w:sz w:val="24"/>
        </w:rPr>
        <w:t>1.1 Objet</w:t>
      </w:r>
      <w:bookmarkEnd w:id="102"/>
    </w:p>
    <w:p>
      <w:r>
        <w:rPr>
          <w:rFonts w:ascii="Calibri" w:hAnsi="Calibri"/>
          <w:b w:val="0"/>
          <w:i w:val="0"/>
          <w:color w:val="333333"/>
          <w:sz w:val="20"/>
        </w:rPr>
        <w:t>Le présent document décrit les mécanismes et procédures de sécurité protégeant la solution mobile de collecte de primes et les données qu'elle traite : qui peut faire quoi, comment l'argent et les données d'identité sont protégés, comment la solution se comporte en cas d'attaque ou de défaillance, et ce que SUNU doit faire au plan opérationnel pour la maintenir sûre.</w:t>
      </w:r>
    </w:p>
    <w:p>
      <w:pPr>
        <w:pStyle w:val="Heading2"/>
        <w:spacing w:before="280" w:after="80"/>
        <w:keepNext/>
      </w:pPr>
      <w:bookmarkStart w:id="103" w:name="_Toc_s002"/>
      <w:r>
        <w:rPr>
          <w:rFonts w:ascii="Calibri" w:hAnsi="Calibri"/>
          <w:b/>
          <w:color w:val="1B3A5C"/>
          <w:sz w:val="24"/>
        </w:rPr>
        <w:t>1.2 Périmètre</w:t>
      </w:r>
      <w:bookmarkEnd w:id="10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Dans le périmètre</w:t>
            </w:r>
          </w:p>
        </w:tc>
        <w:tc>
          <w:tcPr>
            <w:tcW w:type="dxa" w:w="4873"/>
            <w:shd w:val="clear" w:fill="1B3A5C"/>
          </w:tcPr>
          <w:p>
            <w:pPr>
              <w:spacing w:before="60" w:after="60"/>
            </w:pPr>
            <w:r>
              <w:rPr>
                <w:rFonts w:ascii="Calibri" w:hAnsi="Calibri"/>
                <w:b/>
                <w:color w:val="FFFFFF"/>
                <w:sz w:val="17"/>
              </w:rPr>
              <w:t>Hors périmètre</w:t>
            </w:r>
          </w:p>
        </w:tc>
      </w:tr>
      <w:tr>
        <w:tc>
          <w:tcPr>
            <w:tcW w:type="dxa" w:w="4873"/>
          </w:tcPr>
          <w:p>
            <w:pPr>
              <w:spacing w:before="40" w:after="40"/>
            </w:pPr>
            <w:r>
              <w:rPr>
                <w:rFonts w:ascii="Calibri" w:hAnsi="Calibri"/>
                <w:b w:val="0"/>
                <w:i w:val="0"/>
                <w:color w:val="333333"/>
                <w:sz w:val="17"/>
              </w:rPr>
              <w:t>Application TPE et parc de terminaux</w:t>
            </w:r>
          </w:p>
        </w:tc>
        <w:tc>
          <w:tcPr>
            <w:tcW w:type="dxa" w:w="4873"/>
          </w:tcPr>
          <w:p>
            <w:pPr>
              <w:spacing w:before="40" w:after="40"/>
            </w:pPr>
            <w:r>
              <w:rPr>
                <w:rFonts w:ascii="Calibri" w:hAnsi="Calibri"/>
                <w:b w:val="0"/>
                <w:i w:val="0"/>
                <w:color w:val="333333"/>
                <w:sz w:val="17"/>
              </w:rPr>
              <w:t>Réseau bureautique interne et postes de travail de SUNU</w:t>
            </w:r>
          </w:p>
        </w:tc>
      </w:tr>
      <w:tr>
        <w:tc>
          <w:tcPr>
            <w:tcW w:type="dxa" w:w="4873"/>
            <w:shd w:val="clear" w:fill="F2F6FA"/>
          </w:tcPr>
          <w:p>
            <w:pPr>
              <w:spacing w:before="40" w:after="40"/>
            </w:pPr>
            <w:r>
              <w:rPr>
                <w:rFonts w:ascii="Calibri" w:hAnsi="Calibri"/>
                <w:b w:val="0"/>
                <w:i w:val="0"/>
                <w:color w:val="333333"/>
                <w:sz w:val="17"/>
              </w:rPr>
              <w:t>Application web back-office et API REST</w:t>
            </w:r>
          </w:p>
        </w:tc>
        <w:tc>
          <w:tcPr>
            <w:tcW w:type="dxa" w:w="4873"/>
            <w:shd w:val="clear" w:fill="F2F6FA"/>
          </w:tcPr>
          <w:p>
            <w:pPr>
              <w:spacing w:before="40" w:after="40"/>
            </w:pPr>
            <w:r>
              <w:rPr>
                <w:rFonts w:ascii="Calibri" w:hAnsi="Calibri"/>
                <w:b w:val="0"/>
                <w:i w:val="0"/>
                <w:color w:val="333333"/>
                <w:sz w:val="17"/>
              </w:rPr>
              <w:t>Sécurité interne propre à SUNULIFE (responsabilité SUNU/éditeur)</w:t>
            </w:r>
          </w:p>
        </w:tc>
      </w:tr>
      <w:tr>
        <w:tc>
          <w:tcPr>
            <w:tcW w:type="dxa" w:w="4873"/>
          </w:tcPr>
          <w:p>
            <w:pPr>
              <w:spacing w:before="40" w:after="40"/>
            </w:pPr>
            <w:r>
              <w:rPr>
                <w:rFonts w:ascii="Calibri" w:hAnsi="Calibri"/>
                <w:b w:val="0"/>
                <w:i w:val="0"/>
                <w:color w:val="333333"/>
                <w:sz w:val="17"/>
              </w:rPr>
              <w:t>Base de données, stockage de fichiers, sauvegardes</w:t>
            </w:r>
          </w:p>
        </w:tc>
        <w:tc>
          <w:tcPr>
            <w:tcW w:type="dxa" w:w="4873"/>
          </w:tcPr>
          <w:p>
            <w:pPr>
              <w:spacing w:before="40" w:after="40"/>
            </w:pPr>
            <w:r>
              <w:rPr>
                <w:rFonts w:ascii="Calibri" w:hAnsi="Calibri"/>
                <w:b w:val="0"/>
                <w:i w:val="0"/>
                <w:color w:val="333333"/>
                <w:sz w:val="17"/>
              </w:rPr>
              <w:t>Sécurité interne des opérateurs Mobile Money</w:t>
            </w:r>
          </w:p>
        </w:tc>
      </w:tr>
      <w:tr>
        <w:tc>
          <w:tcPr>
            <w:tcW w:type="dxa" w:w="4873"/>
            <w:shd w:val="clear" w:fill="F2F6FA"/>
          </w:tcPr>
          <w:p>
            <w:pPr>
              <w:spacing w:before="40" w:after="40"/>
            </w:pPr>
            <w:r>
              <w:rPr>
                <w:rFonts w:ascii="Calibri" w:hAnsi="Calibri"/>
                <w:b w:val="0"/>
                <w:i w:val="0"/>
                <w:color w:val="333333"/>
                <w:sz w:val="17"/>
              </w:rPr>
              <w:t>Intégrations : SUNULIFE, Mobile Money, SMS</w:t>
            </w:r>
          </w:p>
        </w:tc>
        <w:tc>
          <w:tcPr>
            <w:tcW w:type="dxa" w:w="4873"/>
            <w:shd w:val="clear" w:fill="F2F6FA"/>
          </w:tcPr>
          <w:p>
            <w:pPr>
              <w:spacing w:before="40" w:after="40"/>
            </w:pPr>
            <w:r>
              <w:rPr>
                <w:rFonts w:ascii="Calibri" w:hAnsi="Calibri"/>
                <w:b w:val="0"/>
                <w:i w:val="0"/>
                <w:color w:val="333333"/>
                <w:sz w:val="17"/>
              </w:rPr>
              <w:t>Sécurité physique des locaux de SUNU</w:t>
            </w:r>
          </w:p>
        </w:tc>
      </w:tr>
      <w:tr>
        <w:tc>
          <w:tcPr>
            <w:tcW w:type="dxa" w:w="4873"/>
          </w:tcPr>
          <w:p>
            <w:pPr>
              <w:spacing w:before="40" w:after="40"/>
            </w:pPr>
            <w:r>
              <w:rPr>
                <w:rFonts w:ascii="Calibri" w:hAnsi="Calibri"/>
                <w:b w:val="0"/>
                <w:i w:val="0"/>
                <w:color w:val="333333"/>
                <w:sz w:val="17"/>
              </w:rPr>
              <w:t>Chaîne d'émission des cartes (physique et virtuelle)</w:t>
            </w:r>
          </w:p>
        </w:tc>
        <w:tc>
          <w:tcPr>
            <w:tcW w:type="dxa" w:w="4873"/>
          </w:tcPr>
          <w:p>
            <w:pPr>
              <w:spacing w:before="40" w:after="40"/>
            </w:pPr>
            <w:r>
              <w:rPr>
                <w:rFonts w:ascii="Calibri" w:hAnsi="Calibri"/>
                <w:b w:val="0"/>
                <w:i w:val="0"/>
                <w:color w:val="333333"/>
                <w:sz w:val="17"/>
              </w:rPr>
              <w:t>Validité juridique de la proposition papier</w:t>
            </w:r>
          </w:p>
        </w:tc>
      </w:tr>
      <w:tr>
        <w:tc>
          <w:tcPr>
            <w:tcW w:type="dxa" w:w="4873"/>
            <w:shd w:val="clear" w:fill="F2F6FA"/>
          </w:tcPr>
          <w:p>
            <w:pPr>
              <w:spacing w:before="40" w:after="40"/>
            </w:pPr>
            <w:r>
              <w:rPr>
                <w:rFonts w:ascii="Calibri" w:hAnsi="Calibri"/>
                <w:b w:val="0"/>
                <w:i w:val="0"/>
                <w:color w:val="333333"/>
                <w:sz w:val="17"/>
              </w:rPr>
              <w:t>Procédures de sécurité opérationnelles pour le personnel SUNU</w:t>
            </w:r>
          </w:p>
        </w:tc>
        <w:tc>
          <w:tcPr>
            <w:tcW w:type="dxa" w:w="4873"/>
            <w:shd w:val="clear" w:fill="F2F6FA"/>
          </w:tcPr>
          <w:p>
            <w:pPr>
              <w:spacing w:before="40" w:after="40"/>
            </w:pPr>
          </w:p>
        </w:tc>
      </w:tr>
    </w:tbl>
    <w:p>
      <w:pPr>
        <w:spacing w:after="40"/>
      </w:pPr>
    </w:p>
    <w:p>
      <w:pPr>
        <w:pStyle w:val="Heading2"/>
        <w:spacing w:before="280" w:after="80"/>
        <w:keepNext/>
      </w:pPr>
      <w:bookmarkStart w:id="104" w:name="_Toc_s003"/>
      <w:r>
        <w:rPr>
          <w:rFonts w:ascii="Calibri" w:hAnsi="Calibri"/>
          <w:b/>
          <w:color w:val="1B3A5C"/>
          <w:sz w:val="24"/>
        </w:rPr>
        <w:t>1.3 Démarche et déclaration de transparence</w:t>
      </w:r>
      <w:bookmarkEnd w:id="104"/>
    </w:p>
    <w:p>
      <w:r>
        <w:rPr>
          <w:rFonts w:ascii="Calibri" w:hAnsi="Calibri"/>
          <w:b w:val="0"/>
          <w:i w:val="0"/>
          <w:color w:val="333333"/>
          <w:sz w:val="20"/>
        </w:rPr>
        <w:t xml:space="preserve">La solution est la personnalisation d'une plateforme déjà en production pour des services financiers. C'est un avantage : les contrôles décrits ici sont pour l'essentiel des contrôles </w:t>
      </w:r>
      <w:r>
        <w:rPr>
          <w:rFonts w:ascii="Calibri" w:hAnsi="Calibri"/>
          <w:b w:val="0"/>
          <w:i/>
          <w:color w:val="333333"/>
          <w:sz w:val="20"/>
        </w:rPr>
        <w:t>en fonctionnement</w:t>
      </w:r>
      <w:r>
        <w:rPr>
          <w:rFonts w:ascii="Calibri" w:hAnsi="Calibri"/>
          <w:b w:val="0"/>
          <w:i w:val="0"/>
          <w:color w:val="333333"/>
          <w:sz w:val="20"/>
        </w:rPr>
        <w:t>, non des promesses.</w:t>
      </w:r>
    </w:p>
    <w:p>
      <w:r>
        <w:rPr>
          <w:rFonts w:ascii="Calibri" w:hAnsi="Calibri"/>
          <w:b w:val="0"/>
          <w:i w:val="0"/>
          <w:color w:val="333333"/>
          <w:sz w:val="20"/>
        </w:rPr>
        <w:t xml:space="preserve">Cela signifie aussi que la plateforme porte des choix d'implémentation préexistants qui </w:t>
      </w:r>
      <w:r>
        <w:rPr>
          <w:rFonts w:ascii="Calibri" w:hAnsi="Calibri"/>
          <w:b/>
          <w:i w:val="0"/>
          <w:color w:val="333333"/>
          <w:sz w:val="20"/>
        </w:rPr>
        <w:t>ne conviennent pas au déploiement de production d'un assureur</w:t>
      </w:r>
      <w:r>
        <w:rPr>
          <w:rFonts w:ascii="Calibri" w:hAnsi="Calibri"/>
          <w:b w:val="0"/>
          <w:i w:val="0"/>
          <w:color w:val="333333"/>
          <w:sz w:val="20"/>
        </w:rPr>
        <w:t xml:space="preserve"> et qui sont corrigés dans le cadre du présent projet. La section 12 les énumère explicitement, avec le correctif et l'échéance, plutôt que de les taire. La DSI d'un assureur les trouvera ; les déclarer d'emblée est la seule position défendable, et c'est ainsi que ce projet traite la sécurité de bout en bout.</w:t>
      </w:r>
    </w:p>
    <w:p>
      <w:pPr>
        <w:pStyle w:val="Heading2"/>
        <w:spacing w:before="280" w:after="80"/>
        <w:keepNext/>
      </w:pPr>
      <w:bookmarkStart w:id="105" w:name="_Toc_s004"/>
      <w:r>
        <w:rPr>
          <w:rFonts w:ascii="Calibri" w:hAnsi="Calibri"/>
          <w:b/>
          <w:color w:val="1B3A5C"/>
          <w:sz w:val="24"/>
        </w:rPr>
        <w:t>1.4 Référentiels de référence</w:t>
      </w:r>
      <w:bookmarkEnd w:id="105"/>
    </w:p>
    <w:p>
      <w:r>
        <w:rPr>
          <w:rFonts w:ascii="Calibri" w:hAnsi="Calibri"/>
          <w:b w:val="0"/>
          <w:i w:val="0"/>
          <w:color w:val="333333"/>
          <w:sz w:val="20"/>
        </w:rPr>
        <w:t>La conception s'aligne, sans revendiquer de certification, sur :</w:t>
      </w:r>
    </w:p>
    <w:p>
      <w:pPr>
        <w:spacing w:after="40"/>
        <w:ind w:left="312" w:hanging="198"/>
      </w:pPr>
      <w:r>
        <w:rPr>
          <w:rFonts w:ascii="Calibri" w:hAnsi="Calibri"/>
          <w:b w:val="0"/>
          <w:color w:val="2C5F8A"/>
          <w:sz w:val="20"/>
        </w:rPr>
        <w:t xml:space="preserve">•  </w:t>
      </w:r>
      <w:r>
        <w:rPr>
          <w:rFonts w:ascii="Calibri" w:hAnsi="Calibri"/>
          <w:b/>
          <w:i w:val="0"/>
          <w:color w:val="333333"/>
          <w:sz w:val="20"/>
        </w:rPr>
        <w:t>ISO/IEC 27001:2022</w:t>
      </w:r>
      <w:r>
        <w:rPr>
          <w:rFonts w:ascii="Calibri" w:hAnsi="Calibri"/>
          <w:b w:val="0"/>
          <w:i w:val="0"/>
          <w:color w:val="333333"/>
          <w:sz w:val="20"/>
        </w:rPr>
        <w:t xml:space="preserve"> — management de la sécurité de l'information, utilisé comme taxonomie de contrôles en section 15.</w:t>
      </w:r>
    </w:p>
    <w:p>
      <w:pPr>
        <w:spacing w:after="40"/>
        <w:ind w:left="312" w:hanging="198"/>
      </w:pPr>
      <w:r>
        <w:rPr>
          <w:rFonts w:ascii="Calibri" w:hAnsi="Calibri"/>
          <w:b w:val="0"/>
          <w:color w:val="2C5F8A"/>
          <w:sz w:val="20"/>
        </w:rPr>
        <w:t xml:space="preserve">•  </w:t>
      </w:r>
      <w:r>
        <w:rPr>
          <w:rFonts w:ascii="Calibri" w:hAnsi="Calibri"/>
          <w:b/>
          <w:i w:val="0"/>
          <w:color w:val="333333"/>
          <w:sz w:val="20"/>
        </w:rPr>
        <w:t>ISO/IEC 27002</w:t>
      </w:r>
      <w:r>
        <w:rPr>
          <w:rFonts w:ascii="Calibri" w:hAnsi="Calibri"/>
          <w:b w:val="0"/>
          <w:i w:val="0"/>
          <w:color w:val="333333"/>
          <w:sz w:val="20"/>
        </w:rPr>
        <w:t xml:space="preserve"> — guide de mise en œuvre.</w:t>
      </w:r>
    </w:p>
    <w:p>
      <w:pPr>
        <w:spacing w:after="40"/>
        <w:ind w:left="312" w:hanging="198"/>
      </w:pPr>
      <w:r>
        <w:rPr>
          <w:rFonts w:ascii="Calibri" w:hAnsi="Calibri"/>
          <w:b w:val="0"/>
          <w:color w:val="2C5F8A"/>
          <w:sz w:val="20"/>
        </w:rPr>
        <w:t xml:space="preserve">•  </w:t>
      </w:r>
      <w:r>
        <w:rPr>
          <w:rFonts w:ascii="Calibri" w:hAnsi="Calibri"/>
          <w:b/>
          <w:i w:val="0"/>
          <w:color w:val="333333"/>
          <w:sz w:val="20"/>
        </w:rPr>
        <w:t>PCI-DSS v4.0</w:t>
      </w:r>
      <w:r>
        <w:rPr>
          <w:rFonts w:ascii="Calibri" w:hAnsi="Calibri"/>
          <w:b w:val="0"/>
          <w:i w:val="0"/>
          <w:color w:val="333333"/>
          <w:sz w:val="20"/>
        </w:rPr>
        <w:t xml:space="preserve"> — utilisé comme </w:t>
      </w:r>
      <w:r>
        <w:rPr>
          <w:rFonts w:ascii="Calibri" w:hAnsi="Calibri"/>
          <w:b w:val="0"/>
          <w:i/>
          <w:color w:val="333333"/>
          <w:sz w:val="20"/>
        </w:rPr>
        <w:t>référence de conception</w:t>
      </w:r>
      <w:r>
        <w:rPr>
          <w:rFonts w:ascii="Calibri" w:hAnsi="Calibri"/>
          <w:b w:val="0"/>
          <w:i w:val="0"/>
          <w:color w:val="333333"/>
          <w:sz w:val="20"/>
        </w:rPr>
        <w:t xml:space="preserve"> pour le traitement des cartes et des paiements. À noter : la solution ne stocke </w:t>
      </w:r>
      <w:r>
        <w:rPr>
          <w:rFonts w:ascii="Calibri" w:hAnsi="Calibri"/>
          <w:b/>
          <w:i w:val="0"/>
          <w:color w:val="333333"/>
          <w:sz w:val="20"/>
        </w:rPr>
        <w:t>aucun justificatif de paiement par carte ni aucune donnée de carte bancaire</w:t>
      </w:r>
      <w:r>
        <w:rPr>
          <w:rFonts w:ascii="Calibri" w:hAnsi="Calibri"/>
          <w:b w:val="0"/>
          <w:i w:val="0"/>
          <w:color w:val="333333"/>
          <w:sz w:val="20"/>
        </w:rPr>
        <w:t xml:space="preserve"> ; les cartes émises sont des cartes d'identification d'assuré. Le périmètre complet de PCI-DSS ne s'applique donc pas, mais ses contrôles sur la gestion des clés, la journalisation et la segmentation réseau sont adoptés comme bonnes pratiques.</w:t>
      </w:r>
    </w:p>
    <w:p>
      <w:pPr>
        <w:spacing w:after="40"/>
        <w:ind w:left="312" w:hanging="198"/>
      </w:pPr>
      <w:r>
        <w:rPr>
          <w:rFonts w:ascii="Calibri" w:hAnsi="Calibri"/>
          <w:b w:val="0"/>
          <w:color w:val="2C5F8A"/>
          <w:sz w:val="20"/>
        </w:rPr>
        <w:t xml:space="preserve">•  </w:t>
      </w:r>
      <w:r>
        <w:rPr>
          <w:rFonts w:ascii="Calibri" w:hAnsi="Calibri"/>
          <w:b/>
          <w:i w:val="0"/>
          <w:color w:val="333333"/>
          <w:sz w:val="20"/>
        </w:rPr>
        <w:t>OWASP ASVS 4.0 niveau 2</w:t>
      </w:r>
      <w:r>
        <w:rPr>
          <w:rFonts w:ascii="Calibri" w:hAnsi="Calibri"/>
          <w:b w:val="0"/>
          <w:i w:val="0"/>
          <w:color w:val="333333"/>
          <w:sz w:val="20"/>
        </w:rPr>
        <w:t xml:space="preserve"> et </w:t>
      </w:r>
      <w:r>
        <w:rPr>
          <w:rFonts w:ascii="Calibri" w:hAnsi="Calibri"/>
          <w:b/>
          <w:i w:val="0"/>
          <w:color w:val="333333"/>
          <w:sz w:val="20"/>
        </w:rPr>
        <w:t>OWASP Top 10 (2021)</w:t>
      </w:r>
      <w:r>
        <w:rPr>
          <w:rFonts w:ascii="Calibri" w:hAnsi="Calibri"/>
          <w:b w:val="0"/>
          <w:i w:val="0"/>
          <w:color w:val="333333"/>
          <w:sz w:val="20"/>
        </w:rPr>
        <w:t xml:space="preserve"> — vérification de la sécurité applicative.</w:t>
      </w:r>
    </w:p>
    <w:p>
      <w:pPr>
        <w:spacing w:after="40"/>
        <w:ind w:left="312" w:hanging="198"/>
      </w:pPr>
      <w:r>
        <w:rPr>
          <w:rFonts w:ascii="Calibri" w:hAnsi="Calibri"/>
          <w:b w:val="0"/>
          <w:color w:val="2C5F8A"/>
          <w:sz w:val="20"/>
        </w:rPr>
        <w:t xml:space="preserve">•  </w:t>
      </w:r>
      <w:r>
        <w:rPr>
          <w:rFonts w:ascii="Calibri" w:hAnsi="Calibri"/>
          <w:b/>
          <w:i w:val="0"/>
          <w:color w:val="333333"/>
          <w:sz w:val="20"/>
        </w:rPr>
        <w:t>OWASP MASVS</w:t>
      </w:r>
      <w:r>
        <w:rPr>
          <w:rFonts w:ascii="Calibri" w:hAnsi="Calibri"/>
          <w:b w:val="0"/>
          <w:i w:val="0"/>
          <w:color w:val="333333"/>
          <w:sz w:val="20"/>
        </w:rPr>
        <w:t xml:space="preserve"> — sécurité des applications mobiles.</w:t>
      </w:r>
    </w:p>
    <w:p>
      <w:pPr>
        <w:spacing w:after="40"/>
        <w:ind w:left="312" w:hanging="198"/>
      </w:pPr>
      <w:r>
        <w:rPr>
          <w:rFonts w:ascii="Calibri" w:hAnsi="Calibri"/>
          <w:b w:val="0"/>
          <w:color w:val="2C5F8A"/>
          <w:sz w:val="20"/>
        </w:rPr>
        <w:t xml:space="preserve">•  </w:t>
      </w:r>
      <w:r>
        <w:rPr>
          <w:rFonts w:ascii="Calibri" w:hAnsi="Calibri"/>
          <w:b/>
          <w:i w:val="0"/>
          <w:color w:val="333333"/>
          <w:sz w:val="20"/>
        </w:rPr>
        <w:t>Loi n°001-2021/AN portant protection des personnes à l'égard du traitement des données à caractère personnel (Burkina Faso)</w:t>
      </w:r>
      <w:r>
        <w:rPr>
          <w:rFonts w:ascii="Calibri" w:hAnsi="Calibri"/>
          <w:b w:val="0"/>
          <w:i w:val="0"/>
          <w:color w:val="333333"/>
          <w:sz w:val="20"/>
        </w:rPr>
        <w:t xml:space="preserve"> et le contrôle de la </w:t>
      </w:r>
      <w:r>
        <w:rPr>
          <w:rFonts w:ascii="Calibri" w:hAnsi="Calibri"/>
          <w:b/>
          <w:i w:val="0"/>
          <w:color w:val="333333"/>
          <w:sz w:val="20"/>
        </w:rPr>
        <w:t>Commission de l'Informatique et des Libertés (CIL)</w:t>
      </w:r>
      <w:r>
        <w:rPr>
          <w:rFonts w:ascii="Calibri" w:hAnsi="Calibri"/>
          <w:b w:val="0"/>
          <w:i w:val="0"/>
          <w:color w:val="333333"/>
          <w:sz w:val="20"/>
        </w:rPr>
        <w:t xml:space="preserve"> — données personnelles.</w:t>
      </w:r>
    </w:p>
    <w:p>
      <w:pPr>
        <w:spacing w:after="40"/>
        <w:ind w:left="312" w:hanging="198"/>
      </w:pPr>
      <w:r>
        <w:rPr>
          <w:rFonts w:ascii="Calibri" w:hAnsi="Calibri"/>
          <w:b w:val="0"/>
          <w:color w:val="2C5F8A"/>
          <w:sz w:val="20"/>
        </w:rPr>
        <w:t xml:space="preserve">•  </w:t>
      </w:r>
      <w:r>
        <w:rPr>
          <w:rFonts w:ascii="Calibri" w:hAnsi="Calibri"/>
          <w:b/>
          <w:i w:val="0"/>
          <w:color w:val="333333"/>
          <w:sz w:val="20"/>
        </w:rPr>
        <w:t>Code CIMA</w:t>
      </w:r>
      <w:r>
        <w:rPr>
          <w:rFonts w:ascii="Calibri" w:hAnsi="Calibri"/>
          <w:b w:val="0"/>
          <w:i w:val="0"/>
          <w:color w:val="333333"/>
          <w:sz w:val="20"/>
        </w:rPr>
        <w:t xml:space="preserve"> et exigences </w:t>
      </w:r>
      <w:r>
        <w:rPr>
          <w:rFonts w:ascii="Calibri" w:hAnsi="Calibri"/>
          <w:b/>
          <w:i w:val="0"/>
          <w:color w:val="333333"/>
          <w:sz w:val="20"/>
        </w:rPr>
        <w:t>BCEAO</w:t>
      </w:r>
      <w:r>
        <w:rPr>
          <w:rFonts w:ascii="Calibri" w:hAnsi="Calibri"/>
          <w:b w:val="0"/>
          <w:i w:val="0"/>
          <w:color w:val="333333"/>
          <w:sz w:val="20"/>
        </w:rPr>
        <w:t xml:space="preserve"> applicables aux opérations d'assurance et à l'acceptation de monnaie électronique dans la zone UEMOA.</w:t>
      </w:r>
    </w:p>
    <w:p>
      <w:pPr>
        <w:pStyle w:val="Heading1"/>
        <w:pageBreakBefore/>
        <w:spacing w:before="360" w:after="80"/>
        <w:keepNext/>
        <w:pBdr>
          <w:bottom w:val="single" w:sz="8" w:space="6" w:color="1B3A5C"/>
        </w:pBdr>
      </w:pPr>
      <w:bookmarkStart w:id="106" w:name="_Toc_s005"/>
      <w:r>
        <w:rPr>
          <w:rFonts w:ascii="Calibri" w:hAnsi="Calibri"/>
          <w:b/>
          <w:color w:val="1B3A5C"/>
          <w:sz w:val="30"/>
        </w:rPr>
        <w:t>2. Actifs et objectifs de sécurité</w:t>
      </w:r>
      <w:bookmarkEnd w:id="106"/>
    </w:p>
    <w:p>
      <w:pPr>
        <w:pStyle w:val="Heading2"/>
        <w:spacing w:before="280" w:after="80"/>
        <w:keepNext/>
      </w:pPr>
      <w:bookmarkStart w:id="107" w:name="_Toc_s006"/>
      <w:r>
        <w:rPr>
          <w:rFonts w:ascii="Calibri" w:hAnsi="Calibri"/>
          <w:b/>
          <w:color w:val="1B3A5C"/>
          <w:sz w:val="24"/>
        </w:rPr>
        <w:t>2.1 Actifs à protéger</w:t>
      </w:r>
      <w:bookmarkEnd w:id="10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Actif</w:t>
            </w:r>
          </w:p>
        </w:tc>
        <w:tc>
          <w:tcPr>
            <w:tcW w:type="dxa" w:w="2126"/>
            <w:shd w:val="clear" w:fill="1B3A5C"/>
          </w:tcPr>
          <w:p>
            <w:pPr>
              <w:spacing w:before="60" w:after="60"/>
            </w:pPr>
            <w:r>
              <w:rPr>
                <w:rFonts w:ascii="Calibri" w:hAnsi="Calibri"/>
                <w:b/>
                <w:color w:val="FFFFFF"/>
                <w:sz w:val="17"/>
              </w:rPr>
              <w:t>Confidentialité</w:t>
            </w:r>
          </w:p>
        </w:tc>
        <w:tc>
          <w:tcPr>
            <w:tcW w:type="dxa" w:w="2126"/>
            <w:shd w:val="clear" w:fill="1B3A5C"/>
          </w:tcPr>
          <w:p>
            <w:pPr>
              <w:spacing w:before="60" w:after="60"/>
            </w:pPr>
            <w:r>
              <w:rPr>
                <w:rFonts w:ascii="Calibri" w:hAnsi="Calibri"/>
                <w:b/>
                <w:color w:val="FFFFFF"/>
                <w:sz w:val="17"/>
              </w:rPr>
              <w:t>Intégrité</w:t>
            </w:r>
          </w:p>
        </w:tc>
        <w:tc>
          <w:tcPr>
            <w:tcW w:type="dxa" w:w="2126"/>
            <w:shd w:val="clear" w:fill="1B3A5C"/>
          </w:tcPr>
          <w:p>
            <w:pPr>
              <w:spacing w:before="60" w:after="60"/>
            </w:pPr>
            <w:r>
              <w:rPr>
                <w:rFonts w:ascii="Calibri" w:hAnsi="Calibri"/>
                <w:b/>
                <w:color w:val="FFFFFF"/>
                <w:sz w:val="17"/>
              </w:rPr>
              <w:t>Disponibilité</w:t>
            </w:r>
          </w:p>
        </w:tc>
      </w:tr>
      <w:tr>
        <w:tc>
          <w:tcPr>
            <w:tcW w:type="dxa" w:w="907"/>
          </w:tcPr>
          <w:p>
            <w:pPr>
              <w:spacing w:before="40" w:after="40"/>
            </w:pPr>
            <w:r>
              <w:rPr>
                <w:rFonts w:ascii="Calibri" w:hAnsi="Calibri"/>
                <w:b w:val="0"/>
                <w:i w:val="0"/>
                <w:color w:val="333333"/>
                <w:sz w:val="17"/>
              </w:rPr>
              <w:t>A1</w:t>
            </w:r>
          </w:p>
        </w:tc>
        <w:tc>
          <w:tcPr>
            <w:tcW w:type="dxa" w:w="2126"/>
          </w:tcPr>
          <w:p>
            <w:pPr>
              <w:spacing w:before="40" w:after="40"/>
            </w:pPr>
            <w:r>
              <w:rPr>
                <w:rFonts w:ascii="Calibri" w:hAnsi="Calibri"/>
                <w:b w:val="0"/>
                <w:i w:val="0"/>
                <w:color w:val="333333"/>
                <w:sz w:val="17"/>
              </w:rPr>
              <w:t>Primes encaissées en espèces détenues par les collecteurs</w:t>
            </w:r>
          </w:p>
        </w:tc>
        <w:tc>
          <w:tcPr>
            <w:tcW w:type="dxa" w:w="2126"/>
          </w:tcPr>
          <w:p>
            <w:pPr>
              <w:spacing w:before="40" w:after="40"/>
            </w:pPr>
            <w:r>
              <w:rPr>
                <w:rFonts w:ascii="Calibri" w:hAnsi="Calibri"/>
                <w:b w:val="0"/>
                <w:i w:val="0"/>
                <w:color w:val="333333"/>
                <w:sz w:val="17"/>
              </w:rPr>
              <w:t>—</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i w:val="0"/>
                <w:color w:val="333333"/>
                <w:sz w:val="17"/>
              </w:rPr>
              <w:t>Critique</w:t>
            </w:r>
          </w:p>
        </w:tc>
      </w:tr>
      <w:tr>
        <w:tc>
          <w:tcPr>
            <w:tcW w:type="dxa" w:w="907"/>
            <w:shd w:val="clear" w:fill="F2F6FA"/>
          </w:tcPr>
          <w:p>
            <w:pPr>
              <w:spacing w:before="40" w:after="40"/>
            </w:pPr>
            <w:r>
              <w:rPr>
                <w:rFonts w:ascii="Calibri" w:hAnsi="Calibri"/>
                <w:b w:val="0"/>
                <w:i w:val="0"/>
                <w:color w:val="333333"/>
                <w:sz w:val="17"/>
              </w:rPr>
              <w:t>A2</w:t>
            </w:r>
          </w:p>
        </w:tc>
        <w:tc>
          <w:tcPr>
            <w:tcW w:type="dxa" w:w="2126"/>
            <w:shd w:val="clear" w:fill="F2F6FA"/>
          </w:tcPr>
          <w:p>
            <w:pPr>
              <w:spacing w:before="40" w:after="40"/>
            </w:pPr>
            <w:r>
              <w:rPr>
                <w:rFonts w:ascii="Calibri" w:hAnsi="Calibri"/>
                <w:b w:val="0"/>
                <w:i w:val="0"/>
                <w:color w:val="333333"/>
                <w:sz w:val="17"/>
              </w:rPr>
              <w:t>Enregistrements d'encaissement et de transaction</w:t>
            </w:r>
          </w:p>
        </w:tc>
        <w:tc>
          <w:tcPr>
            <w:tcW w:type="dxa" w:w="2126"/>
            <w:shd w:val="clear" w:fill="F2F6FA"/>
          </w:tcPr>
          <w:p>
            <w:pPr>
              <w:spacing w:before="40" w:after="40"/>
            </w:pPr>
            <w:r>
              <w:rPr>
                <w:rFonts w:ascii="Calibri" w:hAnsi="Calibri"/>
                <w:b w:val="0"/>
                <w:i w:val="0"/>
                <w:color w:val="333333"/>
                <w:sz w:val="17"/>
              </w:rPr>
              <w:t>Élevée</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val="0"/>
                <w:i w:val="0"/>
                <w:color w:val="333333"/>
                <w:sz w:val="17"/>
              </w:rPr>
              <w:t>Élevée</w:t>
            </w:r>
          </w:p>
        </w:tc>
      </w:tr>
      <w:tr>
        <w:tc>
          <w:tcPr>
            <w:tcW w:type="dxa" w:w="907"/>
          </w:tcPr>
          <w:p>
            <w:pPr>
              <w:spacing w:before="40" w:after="40"/>
            </w:pPr>
            <w:r>
              <w:rPr>
                <w:rFonts w:ascii="Calibri" w:hAnsi="Calibri"/>
                <w:b w:val="0"/>
                <w:i w:val="0"/>
                <w:color w:val="333333"/>
                <w:sz w:val="17"/>
              </w:rPr>
              <w:t>A3</w:t>
            </w:r>
          </w:p>
        </w:tc>
        <w:tc>
          <w:tcPr>
            <w:tcW w:type="dxa" w:w="2126"/>
          </w:tcPr>
          <w:p>
            <w:pPr>
              <w:spacing w:before="40" w:after="40"/>
            </w:pPr>
            <w:r>
              <w:rPr>
                <w:rFonts w:ascii="Calibri" w:hAnsi="Calibri"/>
                <w:b w:val="0"/>
                <w:i w:val="0"/>
                <w:color w:val="333333"/>
                <w:sz w:val="17"/>
              </w:rPr>
              <w:t>Données personnelles des assurés (identité, CNIB, téléphone, adresse)</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val="0"/>
                <w:i w:val="0"/>
                <w:color w:val="333333"/>
                <w:sz w:val="17"/>
              </w:rPr>
              <w:t>Élevée</w:t>
            </w:r>
          </w:p>
        </w:tc>
        <w:tc>
          <w:tcPr>
            <w:tcW w:type="dxa" w:w="2126"/>
          </w:tcPr>
          <w:p>
            <w:pPr>
              <w:spacing w:before="40" w:after="40"/>
            </w:pPr>
            <w:r>
              <w:rPr>
                <w:rFonts w:ascii="Calibri" w:hAnsi="Calibri"/>
                <w:b w:val="0"/>
                <w:i w:val="0"/>
                <w:color w:val="333333"/>
                <w:sz w:val="17"/>
              </w:rPr>
              <w:t>Moyenne</w:t>
            </w:r>
          </w:p>
        </w:tc>
      </w:tr>
      <w:tr>
        <w:tc>
          <w:tcPr>
            <w:tcW w:type="dxa" w:w="907"/>
            <w:shd w:val="clear" w:fill="F2F6FA"/>
          </w:tcPr>
          <w:p>
            <w:pPr>
              <w:spacing w:before="40" w:after="40"/>
            </w:pPr>
            <w:r>
              <w:rPr>
                <w:rFonts w:ascii="Calibri" w:hAnsi="Calibri"/>
                <w:b w:val="0"/>
                <w:i w:val="0"/>
                <w:color w:val="333333"/>
                <w:sz w:val="17"/>
              </w:rPr>
              <w:t>A4</w:t>
            </w:r>
          </w:p>
        </w:tc>
        <w:tc>
          <w:tcPr>
            <w:tcW w:type="dxa" w:w="2126"/>
            <w:shd w:val="clear" w:fill="F2F6FA"/>
          </w:tcPr>
          <w:p>
            <w:pPr>
              <w:spacing w:before="40" w:after="40"/>
            </w:pPr>
            <w:r>
              <w:rPr>
                <w:rFonts w:ascii="Calibri" w:hAnsi="Calibri"/>
                <w:b w:val="0"/>
                <w:i w:val="0"/>
                <w:color w:val="333333"/>
                <w:sz w:val="17"/>
              </w:rPr>
              <w:t>Images de pièces d'identité (proposition, CNIB)</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val="0"/>
                <w:i w:val="0"/>
                <w:color w:val="333333"/>
                <w:sz w:val="17"/>
              </w:rPr>
              <w:t>Élevée</w:t>
            </w:r>
          </w:p>
        </w:tc>
        <w:tc>
          <w:tcPr>
            <w:tcW w:type="dxa" w:w="2126"/>
            <w:shd w:val="clear" w:fill="F2F6FA"/>
          </w:tcPr>
          <w:p>
            <w:pPr>
              <w:spacing w:before="40" w:after="40"/>
            </w:pPr>
            <w:r>
              <w:rPr>
                <w:rFonts w:ascii="Calibri" w:hAnsi="Calibri"/>
                <w:b w:val="0"/>
                <w:i w:val="0"/>
                <w:color w:val="333333"/>
                <w:sz w:val="17"/>
              </w:rPr>
              <w:t>Moyenne</w:t>
            </w:r>
          </w:p>
        </w:tc>
      </w:tr>
      <w:tr>
        <w:tc>
          <w:tcPr>
            <w:tcW w:type="dxa" w:w="907"/>
          </w:tcPr>
          <w:p>
            <w:pPr>
              <w:spacing w:before="40" w:after="40"/>
            </w:pPr>
            <w:r>
              <w:rPr>
                <w:rFonts w:ascii="Calibri" w:hAnsi="Calibri"/>
                <w:b w:val="0"/>
                <w:i w:val="0"/>
                <w:color w:val="333333"/>
                <w:sz w:val="17"/>
              </w:rPr>
              <w:t>A5</w:t>
            </w:r>
          </w:p>
        </w:tc>
        <w:tc>
          <w:tcPr>
            <w:tcW w:type="dxa" w:w="2126"/>
          </w:tcPr>
          <w:p>
            <w:pPr>
              <w:spacing w:before="40" w:after="40"/>
            </w:pPr>
            <w:r>
              <w:rPr>
                <w:rFonts w:ascii="Calibri" w:hAnsi="Calibri"/>
                <w:b w:val="0"/>
                <w:i w:val="0"/>
                <w:color w:val="333333"/>
                <w:sz w:val="17"/>
              </w:rPr>
              <w:t>Données de polices reflétées depuis SUNULIFE</w:t>
            </w:r>
          </w:p>
        </w:tc>
        <w:tc>
          <w:tcPr>
            <w:tcW w:type="dxa" w:w="2126"/>
          </w:tcPr>
          <w:p>
            <w:pPr>
              <w:spacing w:before="40" w:after="40"/>
            </w:pPr>
            <w:r>
              <w:rPr>
                <w:rFonts w:ascii="Calibri" w:hAnsi="Calibri"/>
                <w:b w:val="0"/>
                <w:i w:val="0"/>
                <w:color w:val="333333"/>
                <w:sz w:val="17"/>
              </w:rPr>
              <w:t>Élevée</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val="0"/>
                <w:i w:val="0"/>
                <w:color w:val="333333"/>
                <w:sz w:val="17"/>
              </w:rPr>
              <w:t>Moyenne</w:t>
            </w:r>
          </w:p>
        </w:tc>
      </w:tr>
      <w:tr>
        <w:tc>
          <w:tcPr>
            <w:tcW w:type="dxa" w:w="907"/>
            <w:shd w:val="clear" w:fill="F2F6FA"/>
          </w:tcPr>
          <w:p>
            <w:pPr>
              <w:spacing w:before="40" w:after="40"/>
            </w:pPr>
            <w:r>
              <w:rPr>
                <w:rFonts w:ascii="Calibri" w:hAnsi="Calibri"/>
                <w:b w:val="0"/>
                <w:i w:val="0"/>
                <w:color w:val="333333"/>
                <w:sz w:val="17"/>
              </w:rPr>
              <w:t>A6</w:t>
            </w:r>
          </w:p>
        </w:tc>
        <w:tc>
          <w:tcPr>
            <w:tcW w:type="dxa" w:w="2126"/>
            <w:shd w:val="clear" w:fill="F2F6FA"/>
          </w:tcPr>
          <w:p>
            <w:pPr>
              <w:spacing w:before="40" w:after="40"/>
            </w:pPr>
            <w:r>
              <w:rPr>
                <w:rFonts w:ascii="Calibri" w:hAnsi="Calibri"/>
                <w:b w:val="0"/>
                <w:i w:val="0"/>
                <w:color w:val="333333"/>
                <w:sz w:val="17"/>
              </w:rPr>
              <w:t>Stock de cartes et données de personnalisation</w:t>
            </w:r>
          </w:p>
        </w:tc>
        <w:tc>
          <w:tcPr>
            <w:tcW w:type="dxa" w:w="2126"/>
            <w:shd w:val="clear" w:fill="F2F6FA"/>
          </w:tcPr>
          <w:p>
            <w:pPr>
              <w:spacing w:before="40" w:after="40"/>
            </w:pPr>
            <w:r>
              <w:rPr>
                <w:rFonts w:ascii="Calibri" w:hAnsi="Calibri"/>
                <w:b w:val="0"/>
                <w:i w:val="0"/>
                <w:color w:val="333333"/>
                <w:sz w:val="17"/>
              </w:rPr>
              <w:t>Élevée</w:t>
            </w:r>
          </w:p>
        </w:tc>
        <w:tc>
          <w:tcPr>
            <w:tcW w:type="dxa" w:w="2126"/>
            <w:shd w:val="clear" w:fill="F2F6FA"/>
          </w:tcPr>
          <w:p>
            <w:pPr>
              <w:spacing w:before="40" w:after="40"/>
            </w:pPr>
            <w:r>
              <w:rPr>
                <w:rFonts w:ascii="Calibri" w:hAnsi="Calibri"/>
                <w:b w:val="0"/>
                <w:i w:val="0"/>
                <w:color w:val="333333"/>
                <w:sz w:val="17"/>
              </w:rPr>
              <w:t>Élevée</w:t>
            </w:r>
          </w:p>
        </w:tc>
        <w:tc>
          <w:tcPr>
            <w:tcW w:type="dxa" w:w="2126"/>
            <w:shd w:val="clear" w:fill="F2F6FA"/>
          </w:tcPr>
          <w:p>
            <w:pPr>
              <w:spacing w:before="40" w:after="40"/>
            </w:pPr>
            <w:r>
              <w:rPr>
                <w:rFonts w:ascii="Calibri" w:hAnsi="Calibri"/>
                <w:b w:val="0"/>
                <w:i w:val="0"/>
                <w:color w:val="333333"/>
                <w:sz w:val="17"/>
              </w:rPr>
              <w:t>Moyenne</w:t>
            </w:r>
          </w:p>
        </w:tc>
      </w:tr>
      <w:tr>
        <w:tc>
          <w:tcPr>
            <w:tcW w:type="dxa" w:w="907"/>
          </w:tcPr>
          <w:p>
            <w:pPr>
              <w:spacing w:before="40" w:after="40"/>
            </w:pPr>
            <w:r>
              <w:rPr>
                <w:rFonts w:ascii="Calibri" w:hAnsi="Calibri"/>
                <w:b w:val="0"/>
                <w:i w:val="0"/>
                <w:color w:val="333333"/>
                <w:sz w:val="17"/>
              </w:rPr>
              <w:t>A7</w:t>
            </w:r>
          </w:p>
        </w:tc>
        <w:tc>
          <w:tcPr>
            <w:tcW w:type="dxa" w:w="2126"/>
          </w:tcPr>
          <w:p>
            <w:pPr>
              <w:spacing w:before="40" w:after="40"/>
            </w:pPr>
            <w:r>
              <w:rPr>
                <w:rFonts w:ascii="Calibri" w:hAnsi="Calibri"/>
                <w:b w:val="0"/>
                <w:i w:val="0"/>
                <w:color w:val="333333"/>
                <w:sz w:val="17"/>
              </w:rPr>
              <w:t>Clés de signature des cartes virtuelles</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val="0"/>
                <w:i w:val="0"/>
                <w:color w:val="333333"/>
                <w:sz w:val="17"/>
              </w:rPr>
              <w:t>Élevée</w:t>
            </w:r>
          </w:p>
        </w:tc>
      </w:tr>
      <w:tr>
        <w:tc>
          <w:tcPr>
            <w:tcW w:type="dxa" w:w="907"/>
            <w:shd w:val="clear" w:fill="F2F6FA"/>
          </w:tcPr>
          <w:p>
            <w:pPr>
              <w:spacing w:before="40" w:after="40"/>
            </w:pPr>
            <w:r>
              <w:rPr>
                <w:rFonts w:ascii="Calibri" w:hAnsi="Calibri"/>
                <w:b w:val="0"/>
                <w:i w:val="0"/>
                <w:color w:val="333333"/>
                <w:sz w:val="17"/>
              </w:rPr>
              <w:t>A8</w:t>
            </w:r>
          </w:p>
        </w:tc>
        <w:tc>
          <w:tcPr>
            <w:tcW w:type="dxa" w:w="2126"/>
            <w:shd w:val="clear" w:fill="F2F6FA"/>
          </w:tcPr>
          <w:p>
            <w:pPr>
              <w:spacing w:before="40" w:after="40"/>
            </w:pPr>
            <w:r>
              <w:rPr>
                <w:rFonts w:ascii="Calibri" w:hAnsi="Calibri"/>
                <w:b w:val="0"/>
                <w:i w:val="0"/>
                <w:color w:val="333333"/>
                <w:sz w:val="17"/>
              </w:rPr>
              <w:t>Justificatifs des collecteurs et des utilisateurs back-office</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val="0"/>
                <w:i w:val="0"/>
                <w:color w:val="333333"/>
                <w:sz w:val="17"/>
              </w:rPr>
              <w:t>Élevée</w:t>
            </w:r>
          </w:p>
        </w:tc>
      </w:tr>
      <w:tr>
        <w:tc>
          <w:tcPr>
            <w:tcW w:type="dxa" w:w="907"/>
          </w:tcPr>
          <w:p>
            <w:pPr>
              <w:spacing w:before="40" w:after="40"/>
            </w:pPr>
            <w:r>
              <w:rPr>
                <w:rFonts w:ascii="Calibri" w:hAnsi="Calibri"/>
                <w:b w:val="0"/>
                <w:i w:val="0"/>
                <w:color w:val="333333"/>
                <w:sz w:val="17"/>
              </w:rPr>
              <w:t>A9</w:t>
            </w:r>
          </w:p>
        </w:tc>
        <w:tc>
          <w:tcPr>
            <w:tcW w:type="dxa" w:w="2126"/>
          </w:tcPr>
          <w:p>
            <w:pPr>
              <w:spacing w:before="40" w:after="40"/>
            </w:pPr>
            <w:r>
              <w:rPr>
                <w:rFonts w:ascii="Calibri" w:hAnsi="Calibri"/>
                <w:b w:val="0"/>
                <w:i w:val="0"/>
                <w:color w:val="333333"/>
                <w:sz w:val="17"/>
              </w:rPr>
              <w:t>Identifiants d'intégration SUNULIFE et Mobile Money</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i w:val="0"/>
                <w:color w:val="333333"/>
                <w:sz w:val="17"/>
              </w:rPr>
              <w:t>Critique</w:t>
            </w:r>
          </w:p>
        </w:tc>
        <w:tc>
          <w:tcPr>
            <w:tcW w:type="dxa" w:w="2126"/>
          </w:tcPr>
          <w:p>
            <w:pPr>
              <w:spacing w:before="40" w:after="40"/>
            </w:pPr>
            <w:r>
              <w:rPr>
                <w:rFonts w:ascii="Calibri" w:hAnsi="Calibri"/>
                <w:b w:val="0"/>
                <w:i w:val="0"/>
                <w:color w:val="333333"/>
                <w:sz w:val="17"/>
              </w:rPr>
              <w:t>Élevée</w:t>
            </w:r>
          </w:p>
        </w:tc>
      </w:tr>
      <w:tr>
        <w:tc>
          <w:tcPr>
            <w:tcW w:type="dxa" w:w="907"/>
            <w:shd w:val="clear" w:fill="F2F6FA"/>
          </w:tcPr>
          <w:p>
            <w:pPr>
              <w:spacing w:before="40" w:after="40"/>
            </w:pPr>
            <w:r>
              <w:rPr>
                <w:rFonts w:ascii="Calibri" w:hAnsi="Calibri"/>
                <w:b w:val="0"/>
                <w:i w:val="0"/>
                <w:color w:val="333333"/>
                <w:sz w:val="17"/>
              </w:rPr>
              <w:t>A10</w:t>
            </w:r>
          </w:p>
        </w:tc>
        <w:tc>
          <w:tcPr>
            <w:tcW w:type="dxa" w:w="2126"/>
            <w:shd w:val="clear" w:fill="F2F6FA"/>
          </w:tcPr>
          <w:p>
            <w:pPr>
              <w:spacing w:before="40" w:after="40"/>
            </w:pPr>
            <w:r>
              <w:rPr>
                <w:rFonts w:ascii="Calibri" w:hAnsi="Calibri"/>
                <w:b w:val="0"/>
                <w:i w:val="0"/>
                <w:color w:val="333333"/>
                <w:sz w:val="17"/>
              </w:rPr>
              <w:t>Gabarits biométriques (si l'option est activée)</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val="0"/>
                <w:i w:val="0"/>
                <w:color w:val="333333"/>
                <w:sz w:val="17"/>
              </w:rPr>
              <w:t>Faible</w:t>
            </w:r>
          </w:p>
        </w:tc>
      </w:tr>
      <w:tr>
        <w:tc>
          <w:tcPr>
            <w:tcW w:type="dxa" w:w="907"/>
          </w:tcPr>
          <w:p>
            <w:pPr>
              <w:spacing w:before="40" w:after="40"/>
            </w:pPr>
            <w:r>
              <w:rPr>
                <w:rFonts w:ascii="Calibri" w:hAnsi="Calibri"/>
                <w:b w:val="0"/>
                <w:i w:val="0"/>
                <w:color w:val="333333"/>
                <w:sz w:val="17"/>
              </w:rPr>
              <w:t>A11</w:t>
            </w:r>
          </w:p>
        </w:tc>
        <w:tc>
          <w:tcPr>
            <w:tcW w:type="dxa" w:w="2126"/>
          </w:tcPr>
          <w:p>
            <w:pPr>
              <w:spacing w:before="40" w:after="40"/>
            </w:pPr>
            <w:r>
              <w:rPr>
                <w:rFonts w:ascii="Calibri" w:hAnsi="Calibri"/>
                <w:b w:val="0"/>
                <w:i w:val="0"/>
                <w:color w:val="333333"/>
                <w:sz w:val="17"/>
              </w:rPr>
              <w:t>Les terminaux TPE eux-mêmes</w:t>
            </w:r>
          </w:p>
        </w:tc>
        <w:tc>
          <w:tcPr>
            <w:tcW w:type="dxa" w:w="2126"/>
          </w:tcPr>
          <w:p>
            <w:pPr>
              <w:spacing w:before="40" w:after="40"/>
            </w:pPr>
            <w:r>
              <w:rPr>
                <w:rFonts w:ascii="Calibri" w:hAnsi="Calibri"/>
                <w:b w:val="0"/>
                <w:i w:val="0"/>
                <w:color w:val="333333"/>
                <w:sz w:val="17"/>
              </w:rPr>
              <w:t>Moyenne</w:t>
            </w:r>
          </w:p>
        </w:tc>
        <w:tc>
          <w:tcPr>
            <w:tcW w:type="dxa" w:w="2126"/>
          </w:tcPr>
          <w:p>
            <w:pPr>
              <w:spacing w:before="40" w:after="40"/>
            </w:pPr>
            <w:r>
              <w:rPr>
                <w:rFonts w:ascii="Calibri" w:hAnsi="Calibri"/>
                <w:b w:val="0"/>
                <w:i w:val="0"/>
                <w:color w:val="333333"/>
                <w:sz w:val="17"/>
              </w:rPr>
              <w:t>Élevée</w:t>
            </w:r>
          </w:p>
        </w:tc>
        <w:tc>
          <w:tcPr>
            <w:tcW w:type="dxa" w:w="2126"/>
          </w:tcPr>
          <w:p>
            <w:pPr>
              <w:spacing w:before="40" w:after="40"/>
            </w:pPr>
            <w:r>
              <w:rPr>
                <w:rFonts w:ascii="Calibri" w:hAnsi="Calibri"/>
                <w:b w:val="0"/>
                <w:i w:val="0"/>
                <w:color w:val="333333"/>
                <w:sz w:val="17"/>
              </w:rPr>
              <w:t>Élevée</w:t>
            </w:r>
          </w:p>
        </w:tc>
      </w:tr>
      <w:tr>
        <w:tc>
          <w:tcPr>
            <w:tcW w:type="dxa" w:w="907"/>
            <w:shd w:val="clear" w:fill="F2F6FA"/>
          </w:tcPr>
          <w:p>
            <w:pPr>
              <w:spacing w:before="40" w:after="40"/>
            </w:pPr>
            <w:r>
              <w:rPr>
                <w:rFonts w:ascii="Calibri" w:hAnsi="Calibri"/>
                <w:b w:val="0"/>
                <w:i w:val="0"/>
                <w:color w:val="333333"/>
                <w:sz w:val="17"/>
              </w:rPr>
              <w:t>A12</w:t>
            </w:r>
          </w:p>
        </w:tc>
        <w:tc>
          <w:tcPr>
            <w:tcW w:type="dxa" w:w="2126"/>
            <w:shd w:val="clear" w:fill="F2F6FA"/>
          </w:tcPr>
          <w:p>
            <w:pPr>
              <w:spacing w:before="40" w:after="40"/>
            </w:pPr>
            <w:r>
              <w:rPr>
                <w:rFonts w:ascii="Calibri" w:hAnsi="Calibri"/>
                <w:b w:val="0"/>
                <w:i w:val="0"/>
                <w:color w:val="333333"/>
                <w:sz w:val="17"/>
              </w:rPr>
              <w:t>Piste d'audit</w:t>
            </w:r>
          </w:p>
        </w:tc>
        <w:tc>
          <w:tcPr>
            <w:tcW w:type="dxa" w:w="2126"/>
            <w:shd w:val="clear" w:fill="F2F6FA"/>
          </w:tcPr>
          <w:p>
            <w:pPr>
              <w:spacing w:before="40" w:after="40"/>
            </w:pPr>
            <w:r>
              <w:rPr>
                <w:rFonts w:ascii="Calibri" w:hAnsi="Calibri"/>
                <w:b w:val="0"/>
                <w:i w:val="0"/>
                <w:color w:val="333333"/>
                <w:sz w:val="17"/>
              </w:rPr>
              <w:t>Élevée</w:t>
            </w:r>
          </w:p>
        </w:tc>
        <w:tc>
          <w:tcPr>
            <w:tcW w:type="dxa" w:w="2126"/>
            <w:shd w:val="clear" w:fill="F2F6FA"/>
          </w:tcPr>
          <w:p>
            <w:pPr>
              <w:spacing w:before="40" w:after="40"/>
            </w:pPr>
            <w:r>
              <w:rPr>
                <w:rFonts w:ascii="Calibri" w:hAnsi="Calibri"/>
                <w:b/>
                <w:i w:val="0"/>
                <w:color w:val="333333"/>
                <w:sz w:val="17"/>
              </w:rPr>
              <w:t>Critique</w:t>
            </w:r>
          </w:p>
        </w:tc>
        <w:tc>
          <w:tcPr>
            <w:tcW w:type="dxa" w:w="2126"/>
            <w:shd w:val="clear" w:fill="F2F6FA"/>
          </w:tcPr>
          <w:p>
            <w:pPr>
              <w:spacing w:before="40" w:after="40"/>
            </w:pPr>
            <w:r>
              <w:rPr>
                <w:rFonts w:ascii="Calibri" w:hAnsi="Calibri"/>
                <w:b w:val="0"/>
                <w:i w:val="0"/>
                <w:color w:val="333333"/>
                <w:sz w:val="17"/>
              </w:rPr>
              <w:t>Moyenne</w:t>
            </w:r>
          </w:p>
        </w:tc>
      </w:tr>
    </w:tbl>
    <w:p>
      <w:pPr>
        <w:spacing w:after="40"/>
      </w:pPr>
    </w:p>
    <w:p>
      <w:pPr>
        <w:pStyle w:val="Heading2"/>
        <w:spacing w:before="280" w:after="80"/>
        <w:keepNext/>
      </w:pPr>
      <w:bookmarkStart w:id="108" w:name="_Toc_s007"/>
      <w:r>
        <w:rPr>
          <w:rFonts w:ascii="Calibri" w:hAnsi="Calibri"/>
          <w:b/>
          <w:color w:val="1B3A5C"/>
          <w:sz w:val="24"/>
        </w:rPr>
        <w:t>2.2 Objectifs de sécurité</w:t>
      </w:r>
      <w:bookmarkEnd w:id="108"/>
    </w:p>
    <w:p>
      <w:pPr>
        <w:spacing w:after="40"/>
        <w:ind w:left="312" w:hanging="198"/>
      </w:pPr>
      <w:r>
        <w:rPr>
          <w:rFonts w:ascii="Calibri" w:hAnsi="Calibri"/>
          <w:b/>
          <w:color w:val="2C5F8A"/>
          <w:sz w:val="20"/>
        </w:rPr>
        <w:t xml:space="preserve">1.  </w:t>
      </w:r>
      <w:r>
        <w:rPr>
          <w:rFonts w:ascii="Calibri" w:hAnsi="Calibri"/>
          <w:b/>
          <w:i w:val="0"/>
          <w:color w:val="333333"/>
          <w:sz w:val="20"/>
        </w:rPr>
        <w:t>Aucune prime encaissée ne peut être perdue, altérée ou comptée deux fois.</w:t>
      </w:r>
    </w:p>
    <w:p>
      <w:pPr>
        <w:spacing w:after="40"/>
        <w:ind w:left="312" w:hanging="198"/>
      </w:pPr>
      <w:r>
        <w:rPr>
          <w:rFonts w:ascii="Calibri" w:hAnsi="Calibri"/>
          <w:b/>
          <w:color w:val="2C5F8A"/>
          <w:sz w:val="20"/>
        </w:rPr>
        <w:t xml:space="preserve">2.  </w:t>
      </w:r>
      <w:r>
        <w:rPr>
          <w:rFonts w:ascii="Calibri" w:hAnsi="Calibri"/>
          <w:b/>
          <w:i w:val="0"/>
          <w:color w:val="333333"/>
          <w:sz w:val="20"/>
        </w:rPr>
        <w:t>Aucune prime ne peut être détournée sans laisser une trace identifiant qui, quand et où.</w:t>
      </w:r>
    </w:p>
    <w:p>
      <w:pPr>
        <w:spacing w:after="40"/>
        <w:ind w:left="312" w:hanging="198"/>
      </w:pPr>
      <w:r>
        <w:rPr>
          <w:rFonts w:ascii="Calibri" w:hAnsi="Calibri"/>
          <w:b/>
          <w:color w:val="2C5F8A"/>
          <w:sz w:val="20"/>
        </w:rPr>
        <w:t xml:space="preserve">3.  </w:t>
      </w:r>
      <w:r>
        <w:rPr>
          <w:rFonts w:ascii="Calibri" w:hAnsi="Calibri"/>
          <w:b/>
          <w:i w:val="0"/>
          <w:color w:val="333333"/>
          <w:sz w:val="20"/>
        </w:rPr>
        <w:t>Les données personnelles des assurés ne sont divulguées à personne hors du périmètre SUNU autorisé.</w:t>
      </w:r>
    </w:p>
    <w:p>
      <w:pPr>
        <w:spacing w:after="40"/>
        <w:ind w:left="312" w:hanging="198"/>
      </w:pPr>
      <w:r>
        <w:rPr>
          <w:rFonts w:ascii="Calibri" w:hAnsi="Calibri"/>
          <w:b/>
          <w:color w:val="2C5F8A"/>
          <w:sz w:val="20"/>
        </w:rPr>
        <w:t xml:space="preserve">4.  </w:t>
      </w:r>
      <w:r>
        <w:rPr>
          <w:rFonts w:ascii="Calibri" w:hAnsi="Calibri"/>
          <w:b/>
          <w:i w:val="0"/>
          <w:color w:val="333333"/>
          <w:sz w:val="20"/>
        </w:rPr>
        <w:t>Un terminal volé ou une carte volée ne rapporte ni argent ni donnée personnelle exploitable.</w:t>
      </w:r>
    </w:p>
    <w:p>
      <w:pPr>
        <w:spacing w:after="40"/>
        <w:ind w:left="312" w:hanging="198"/>
      </w:pPr>
      <w:r>
        <w:rPr>
          <w:rFonts w:ascii="Calibri" w:hAnsi="Calibri"/>
          <w:b/>
          <w:color w:val="2C5F8A"/>
          <w:sz w:val="20"/>
        </w:rPr>
        <w:t xml:space="preserve">5.  </w:t>
      </w:r>
      <w:r>
        <w:rPr>
          <w:rFonts w:ascii="Calibri" w:hAnsi="Calibri"/>
          <w:b/>
          <w:i w:val="0"/>
          <w:color w:val="333333"/>
          <w:sz w:val="20"/>
        </w:rPr>
        <w:t>Toute action sensible est imputable à une personne nommément identifiée.</w:t>
      </w:r>
    </w:p>
    <w:p>
      <w:pPr>
        <w:spacing w:after="40"/>
        <w:ind w:left="312" w:hanging="198"/>
      </w:pPr>
      <w:r>
        <w:rPr>
          <w:rFonts w:ascii="Calibri" w:hAnsi="Calibri"/>
          <w:b/>
          <w:color w:val="2C5F8A"/>
          <w:sz w:val="20"/>
        </w:rPr>
        <w:t xml:space="preserve">6.  </w:t>
      </w:r>
      <w:r>
        <w:rPr>
          <w:rFonts w:ascii="Calibri" w:hAnsi="Calibri"/>
          <w:b/>
          <w:i w:val="0"/>
          <w:color w:val="333333"/>
          <w:sz w:val="20"/>
        </w:rPr>
        <w:t>Une défaillance de sécurité dégrade le service ; elle ne détruit pas l'enregistrement des encaissements.</w:t>
      </w:r>
    </w:p>
    <w:p>
      <w:pPr>
        <w:pStyle w:val="Heading1"/>
        <w:pageBreakBefore/>
        <w:spacing w:before="360" w:after="80"/>
        <w:keepNext/>
        <w:pBdr>
          <w:bottom w:val="single" w:sz="8" w:space="6" w:color="1B3A5C"/>
        </w:pBdr>
      </w:pPr>
      <w:bookmarkStart w:id="109" w:name="_Toc_s008"/>
      <w:r>
        <w:rPr>
          <w:rFonts w:ascii="Calibri" w:hAnsi="Calibri"/>
          <w:b/>
          <w:color w:val="1B3A5C"/>
          <w:sz w:val="30"/>
        </w:rPr>
        <w:t>3. Modèle de menaces</w:t>
      </w:r>
      <w:bookmarkEnd w:id="109"/>
    </w:p>
    <w:p>
      <w:pPr>
        <w:pStyle w:val="Heading2"/>
        <w:spacing w:before="280" w:after="80"/>
        <w:keepNext/>
      </w:pPr>
      <w:bookmarkStart w:id="110" w:name="_Toc_s009"/>
      <w:r>
        <w:rPr>
          <w:rFonts w:ascii="Calibri" w:hAnsi="Calibri"/>
          <w:b/>
          <w:color w:val="1B3A5C"/>
          <w:sz w:val="24"/>
        </w:rPr>
        <w:t>3.1 Acteurs de menace</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Acteur</w:t>
            </w:r>
          </w:p>
        </w:tc>
        <w:tc>
          <w:tcPr>
            <w:tcW w:type="dxa" w:w="2436"/>
            <w:shd w:val="clear" w:fill="1B3A5C"/>
          </w:tcPr>
          <w:p>
            <w:pPr>
              <w:spacing w:before="60" w:after="60"/>
            </w:pPr>
            <w:r>
              <w:rPr>
                <w:rFonts w:ascii="Calibri" w:hAnsi="Calibri"/>
                <w:b/>
                <w:color w:val="FFFFFF"/>
                <w:sz w:val="17"/>
              </w:rPr>
              <w:t>Motivation</w:t>
            </w:r>
          </w:p>
        </w:tc>
        <w:tc>
          <w:tcPr>
            <w:tcW w:type="dxa" w:w="2436"/>
            <w:shd w:val="clear" w:fill="1B3A5C"/>
          </w:tcPr>
          <w:p>
            <w:pPr>
              <w:spacing w:before="60" w:after="60"/>
            </w:pPr>
            <w:r>
              <w:rPr>
                <w:rFonts w:ascii="Calibri" w:hAnsi="Calibri"/>
                <w:b/>
                <w:color w:val="FFFFFF"/>
                <w:sz w:val="17"/>
              </w:rPr>
              <w:t>Capacité</w:t>
            </w:r>
          </w:p>
        </w:tc>
        <w:tc>
          <w:tcPr>
            <w:tcW w:type="dxa" w:w="2436"/>
            <w:shd w:val="clear" w:fill="1B3A5C"/>
          </w:tcPr>
          <w:p>
            <w:pPr>
              <w:spacing w:before="60" w:after="60"/>
            </w:pPr>
            <w:r>
              <w:rPr>
                <w:rFonts w:ascii="Calibri" w:hAnsi="Calibri"/>
                <w:b/>
                <w:color w:val="FFFFFF"/>
                <w:sz w:val="17"/>
              </w:rPr>
              <w:t>Priorité</w:t>
            </w:r>
          </w:p>
        </w:tc>
      </w:tr>
      <w:tr>
        <w:tc>
          <w:tcPr>
            <w:tcW w:type="dxa" w:w="2436"/>
          </w:tcPr>
          <w:p>
            <w:pPr>
              <w:spacing w:before="40" w:after="40"/>
            </w:pPr>
            <w:r>
              <w:rPr>
                <w:rFonts w:ascii="Calibri" w:hAnsi="Calibri"/>
                <w:b/>
                <w:i w:val="0"/>
                <w:color w:val="333333"/>
                <w:sz w:val="17"/>
              </w:rPr>
              <w:t>T1 — Collecteur malhonnête</w:t>
            </w:r>
          </w:p>
        </w:tc>
        <w:tc>
          <w:tcPr>
            <w:tcW w:type="dxa" w:w="2436"/>
          </w:tcPr>
          <w:p>
            <w:pPr>
              <w:spacing w:before="40" w:after="40"/>
            </w:pPr>
            <w:r>
              <w:rPr>
                <w:rFonts w:ascii="Calibri" w:hAnsi="Calibri"/>
                <w:b w:val="0"/>
                <w:i w:val="0"/>
                <w:color w:val="333333"/>
                <w:sz w:val="17"/>
              </w:rPr>
              <w:t>Détourner des primes encaissées, émettre de faux reçus, sous-déclarer</w:t>
            </w:r>
          </w:p>
        </w:tc>
        <w:tc>
          <w:tcPr>
            <w:tcW w:type="dxa" w:w="2436"/>
          </w:tcPr>
          <w:p>
            <w:pPr>
              <w:spacing w:before="40" w:after="40"/>
            </w:pPr>
            <w:r>
              <w:rPr>
                <w:rFonts w:ascii="Calibri" w:hAnsi="Calibri"/>
                <w:b w:val="0"/>
                <w:i w:val="0"/>
                <w:color w:val="333333"/>
                <w:sz w:val="17"/>
              </w:rPr>
              <w:t>Justificatifs légitimes, possession physique du terminal, autonomie sur le terrain</w:t>
            </w:r>
          </w:p>
        </w:tc>
        <w:tc>
          <w:tcPr>
            <w:tcW w:type="dxa" w:w="2436"/>
          </w:tcPr>
          <w:p>
            <w:pPr>
              <w:spacing w:before="40" w:after="40"/>
            </w:pPr>
            <w:r>
              <w:rPr>
                <w:rFonts w:ascii="Calibri" w:hAnsi="Calibri"/>
                <w:b/>
                <w:i w:val="0"/>
                <w:color w:val="333333"/>
                <w:sz w:val="17"/>
              </w:rPr>
              <w:t>La plus élevée</w:t>
            </w:r>
          </w:p>
        </w:tc>
      </w:tr>
      <w:tr>
        <w:tc>
          <w:tcPr>
            <w:tcW w:type="dxa" w:w="2436"/>
            <w:shd w:val="clear" w:fill="F2F6FA"/>
          </w:tcPr>
          <w:p>
            <w:pPr>
              <w:spacing w:before="40" w:after="40"/>
            </w:pPr>
            <w:r>
              <w:rPr>
                <w:rFonts w:ascii="Calibri" w:hAnsi="Calibri"/>
                <w:b/>
                <w:i w:val="0"/>
                <w:color w:val="333333"/>
                <w:sz w:val="17"/>
              </w:rPr>
              <w:t>T2 — Voleur</w:t>
            </w:r>
          </w:p>
        </w:tc>
        <w:tc>
          <w:tcPr>
            <w:tcW w:type="dxa" w:w="2436"/>
            <w:shd w:val="clear" w:fill="F2F6FA"/>
          </w:tcPr>
          <w:p>
            <w:pPr>
              <w:spacing w:before="40" w:after="40"/>
            </w:pPr>
            <w:r>
              <w:rPr>
                <w:rFonts w:ascii="Calibri" w:hAnsi="Calibri"/>
                <w:b w:val="0"/>
                <w:i w:val="0"/>
                <w:color w:val="333333"/>
                <w:sz w:val="17"/>
              </w:rPr>
              <w:t>Revendre un terminal ou une carte volés, en faire un usage frauduleux</w:t>
            </w:r>
          </w:p>
        </w:tc>
        <w:tc>
          <w:tcPr>
            <w:tcW w:type="dxa" w:w="2436"/>
            <w:shd w:val="clear" w:fill="F2F6FA"/>
          </w:tcPr>
          <w:p>
            <w:pPr>
              <w:spacing w:before="40" w:after="40"/>
            </w:pPr>
            <w:r>
              <w:rPr>
                <w:rFonts w:ascii="Calibri" w:hAnsi="Calibri"/>
                <w:b w:val="0"/>
                <w:i w:val="0"/>
                <w:color w:val="333333"/>
                <w:sz w:val="17"/>
              </w:rPr>
              <w:t>Accès physique uniquement</w:t>
            </w:r>
          </w:p>
        </w:tc>
        <w:tc>
          <w:tcPr>
            <w:tcW w:type="dxa" w:w="2436"/>
            <w:shd w:val="clear" w:fill="F2F6FA"/>
          </w:tcPr>
          <w:p>
            <w:pPr>
              <w:spacing w:before="40" w:after="40"/>
            </w:pPr>
            <w:r>
              <w:rPr>
                <w:rFonts w:ascii="Calibri" w:hAnsi="Calibri"/>
                <w:b w:val="0"/>
                <w:i w:val="0"/>
                <w:color w:val="333333"/>
                <w:sz w:val="17"/>
              </w:rPr>
              <w:t>Élevée</w:t>
            </w:r>
          </w:p>
        </w:tc>
      </w:tr>
      <w:tr>
        <w:tc>
          <w:tcPr>
            <w:tcW w:type="dxa" w:w="2436"/>
          </w:tcPr>
          <w:p>
            <w:pPr>
              <w:spacing w:before="40" w:after="40"/>
            </w:pPr>
            <w:r>
              <w:rPr>
                <w:rFonts w:ascii="Calibri" w:hAnsi="Calibri"/>
                <w:b/>
                <w:i w:val="0"/>
                <w:color w:val="333333"/>
                <w:sz w:val="17"/>
              </w:rPr>
              <w:t>T3 — Assuré agissant frauduleusement</w:t>
            </w:r>
          </w:p>
        </w:tc>
        <w:tc>
          <w:tcPr>
            <w:tcW w:type="dxa" w:w="2436"/>
          </w:tcPr>
          <w:p>
            <w:pPr>
              <w:spacing w:before="40" w:after="40"/>
            </w:pPr>
            <w:r>
              <w:rPr>
                <w:rFonts w:ascii="Calibri" w:hAnsi="Calibri"/>
                <w:b w:val="0"/>
                <w:i w:val="0"/>
                <w:color w:val="333333"/>
                <w:sz w:val="17"/>
              </w:rPr>
              <w:t>Obtenir un reçu sans payer, revendiquer un paiement non effectué, réutiliser un QR</w:t>
            </w:r>
          </w:p>
        </w:tc>
        <w:tc>
          <w:tcPr>
            <w:tcW w:type="dxa" w:w="2436"/>
          </w:tcPr>
          <w:p>
            <w:pPr>
              <w:spacing w:before="40" w:after="40"/>
            </w:pPr>
            <w:r>
              <w:rPr>
                <w:rFonts w:ascii="Calibri" w:hAnsi="Calibri"/>
                <w:b w:val="0"/>
                <w:i w:val="0"/>
                <w:color w:val="333333"/>
                <w:sz w:val="17"/>
              </w:rPr>
              <w:t>Interaction avec le collecteur</w:t>
            </w:r>
          </w:p>
        </w:tc>
        <w:tc>
          <w:tcPr>
            <w:tcW w:type="dxa" w:w="2436"/>
          </w:tcPr>
          <w:p>
            <w:pPr>
              <w:spacing w:before="40" w:after="40"/>
            </w:pPr>
            <w:r>
              <w:rPr>
                <w:rFonts w:ascii="Calibri" w:hAnsi="Calibri"/>
                <w:b w:val="0"/>
                <w:i w:val="0"/>
                <w:color w:val="333333"/>
                <w:sz w:val="17"/>
              </w:rPr>
              <w:t>Élevée</w:t>
            </w:r>
          </w:p>
        </w:tc>
      </w:tr>
      <w:tr>
        <w:tc>
          <w:tcPr>
            <w:tcW w:type="dxa" w:w="2436"/>
            <w:shd w:val="clear" w:fill="F2F6FA"/>
          </w:tcPr>
          <w:p>
            <w:pPr>
              <w:spacing w:before="40" w:after="40"/>
            </w:pPr>
            <w:r>
              <w:rPr>
                <w:rFonts w:ascii="Calibri" w:hAnsi="Calibri"/>
                <w:b/>
                <w:i w:val="0"/>
                <w:color w:val="333333"/>
                <w:sz w:val="17"/>
              </w:rPr>
              <w:t>T4 — Attaquant externe</w:t>
            </w:r>
          </w:p>
        </w:tc>
        <w:tc>
          <w:tcPr>
            <w:tcW w:type="dxa" w:w="2436"/>
            <w:shd w:val="clear" w:fill="F2F6FA"/>
          </w:tcPr>
          <w:p>
            <w:pPr>
              <w:spacing w:before="40" w:after="40"/>
            </w:pPr>
            <w:r>
              <w:rPr>
                <w:rFonts w:ascii="Calibri" w:hAnsi="Calibri"/>
                <w:b w:val="0"/>
                <w:i w:val="0"/>
                <w:color w:val="333333"/>
                <w:sz w:val="17"/>
              </w:rPr>
              <w:t>Voler la base de données personnelles, extorquer, perturber</w:t>
            </w:r>
          </w:p>
        </w:tc>
        <w:tc>
          <w:tcPr>
            <w:tcW w:type="dxa" w:w="2436"/>
            <w:shd w:val="clear" w:fill="F2F6FA"/>
          </w:tcPr>
          <w:p>
            <w:pPr>
              <w:spacing w:before="40" w:after="40"/>
            </w:pPr>
            <w:r>
              <w:rPr>
                <w:rFonts w:ascii="Calibri" w:hAnsi="Calibri"/>
                <w:b w:val="0"/>
                <w:i w:val="0"/>
                <w:color w:val="333333"/>
                <w:sz w:val="17"/>
              </w:rPr>
              <w:t>Accès Internet, outillage courant</w:t>
            </w:r>
          </w:p>
        </w:tc>
        <w:tc>
          <w:tcPr>
            <w:tcW w:type="dxa" w:w="2436"/>
            <w:shd w:val="clear" w:fill="F2F6FA"/>
          </w:tcPr>
          <w:p>
            <w:pPr>
              <w:spacing w:before="40" w:after="40"/>
            </w:pPr>
            <w:r>
              <w:rPr>
                <w:rFonts w:ascii="Calibri" w:hAnsi="Calibri"/>
                <w:b w:val="0"/>
                <w:i w:val="0"/>
                <w:color w:val="333333"/>
                <w:sz w:val="17"/>
              </w:rPr>
              <w:t>Élevée</w:t>
            </w:r>
          </w:p>
        </w:tc>
      </w:tr>
      <w:tr>
        <w:tc>
          <w:tcPr>
            <w:tcW w:type="dxa" w:w="2436"/>
          </w:tcPr>
          <w:p>
            <w:pPr>
              <w:spacing w:before="40" w:after="40"/>
            </w:pPr>
            <w:r>
              <w:rPr>
                <w:rFonts w:ascii="Calibri" w:hAnsi="Calibri"/>
                <w:b/>
                <w:i w:val="0"/>
                <w:color w:val="333333"/>
                <w:sz w:val="17"/>
              </w:rPr>
              <w:t>T5 — Utilisateur back-office interne malhonnête</w:t>
            </w:r>
          </w:p>
        </w:tc>
        <w:tc>
          <w:tcPr>
            <w:tcW w:type="dxa" w:w="2436"/>
          </w:tcPr>
          <w:p>
            <w:pPr>
              <w:spacing w:before="40" w:after="40"/>
            </w:pPr>
            <w:r>
              <w:rPr>
                <w:rFonts w:ascii="Calibri" w:hAnsi="Calibri"/>
                <w:b w:val="0"/>
                <w:i w:val="0"/>
                <w:color w:val="333333"/>
                <w:sz w:val="17"/>
              </w:rPr>
              <w:t>Confirmer un faux versement, altérer un encaissement, exfiltrer des données</w:t>
            </w:r>
          </w:p>
        </w:tc>
        <w:tc>
          <w:tcPr>
            <w:tcW w:type="dxa" w:w="2436"/>
          </w:tcPr>
          <w:p>
            <w:pPr>
              <w:spacing w:before="40" w:after="40"/>
            </w:pPr>
            <w:r>
              <w:rPr>
                <w:rFonts w:ascii="Calibri" w:hAnsi="Calibri"/>
                <w:b w:val="0"/>
                <w:i w:val="0"/>
                <w:color w:val="333333"/>
                <w:sz w:val="17"/>
              </w:rPr>
              <w:t>Accès applicatif privilégié</w:t>
            </w:r>
          </w:p>
        </w:tc>
        <w:tc>
          <w:tcPr>
            <w:tcW w:type="dxa" w:w="2436"/>
          </w:tcPr>
          <w:p>
            <w:pPr>
              <w:spacing w:before="40" w:after="40"/>
            </w:pPr>
            <w:r>
              <w:rPr>
                <w:rFonts w:ascii="Calibri" w:hAnsi="Calibri"/>
                <w:b w:val="0"/>
                <w:i w:val="0"/>
                <w:color w:val="333333"/>
                <w:sz w:val="17"/>
              </w:rPr>
              <w:t>Élevée</w:t>
            </w:r>
          </w:p>
        </w:tc>
      </w:tr>
      <w:tr>
        <w:tc>
          <w:tcPr>
            <w:tcW w:type="dxa" w:w="2436"/>
            <w:shd w:val="clear" w:fill="F2F6FA"/>
          </w:tcPr>
          <w:p>
            <w:pPr>
              <w:spacing w:before="40" w:after="40"/>
            </w:pPr>
            <w:r>
              <w:rPr>
                <w:rFonts w:ascii="Calibri" w:hAnsi="Calibri"/>
                <w:b/>
                <w:i w:val="0"/>
                <w:color w:val="333333"/>
                <w:sz w:val="17"/>
              </w:rPr>
              <w:t>T6 — Interception sur le réseau mobile</w:t>
            </w:r>
          </w:p>
        </w:tc>
        <w:tc>
          <w:tcPr>
            <w:tcW w:type="dxa" w:w="2436"/>
            <w:shd w:val="clear" w:fill="F2F6FA"/>
          </w:tcPr>
          <w:p>
            <w:pPr>
              <w:spacing w:before="40" w:after="40"/>
            </w:pPr>
            <w:r>
              <w:rPr>
                <w:rFonts w:ascii="Calibri" w:hAnsi="Calibri"/>
                <w:b w:val="0"/>
                <w:i w:val="0"/>
                <w:color w:val="333333"/>
                <w:sz w:val="17"/>
              </w:rPr>
              <w:t>Capter le trafic entre le terminal et la plateforme</w:t>
            </w:r>
          </w:p>
        </w:tc>
        <w:tc>
          <w:tcPr>
            <w:tcW w:type="dxa" w:w="2436"/>
            <w:shd w:val="clear" w:fill="F2F6FA"/>
          </w:tcPr>
          <w:p>
            <w:pPr>
              <w:spacing w:before="40" w:after="40"/>
            </w:pPr>
            <w:r>
              <w:rPr>
                <w:rFonts w:ascii="Calibri" w:hAnsi="Calibri"/>
                <w:b w:val="0"/>
                <w:i w:val="0"/>
                <w:color w:val="333333"/>
                <w:sz w:val="17"/>
              </w:rPr>
              <w:t>Position réseau, Wi-Fi public</w:t>
            </w:r>
          </w:p>
        </w:tc>
        <w:tc>
          <w:tcPr>
            <w:tcW w:type="dxa" w:w="2436"/>
            <w:shd w:val="clear" w:fill="F2F6FA"/>
          </w:tcPr>
          <w:p>
            <w:pPr>
              <w:spacing w:before="40" w:after="40"/>
            </w:pPr>
            <w:r>
              <w:rPr>
                <w:rFonts w:ascii="Calibri" w:hAnsi="Calibri"/>
                <w:b w:val="0"/>
                <w:i w:val="0"/>
                <w:color w:val="333333"/>
                <w:sz w:val="17"/>
              </w:rPr>
              <w:t>Moyenne</w:t>
            </w:r>
          </w:p>
        </w:tc>
      </w:tr>
      <w:tr>
        <w:tc>
          <w:tcPr>
            <w:tcW w:type="dxa" w:w="2436"/>
          </w:tcPr>
          <w:p>
            <w:pPr>
              <w:spacing w:before="40" w:after="40"/>
            </w:pPr>
            <w:r>
              <w:rPr>
                <w:rFonts w:ascii="Calibri" w:hAnsi="Calibri"/>
                <w:b/>
                <w:i w:val="0"/>
                <w:color w:val="333333"/>
                <w:sz w:val="17"/>
              </w:rPr>
              <w:t>T7 — Tiers compromis</w:t>
            </w:r>
            <w:r>
              <w:rPr>
                <w:rFonts w:ascii="Calibri" w:hAnsi="Calibri"/>
                <w:b w:val="0"/>
                <w:i w:val="0"/>
                <w:color w:val="333333"/>
                <w:sz w:val="17"/>
              </w:rPr>
              <w:t xml:space="preserve"> (agrégateur, opérateur SMS, hébergeur)</w:t>
            </w:r>
          </w:p>
        </w:tc>
        <w:tc>
          <w:tcPr>
            <w:tcW w:type="dxa" w:w="2436"/>
          </w:tcPr>
          <w:p>
            <w:pPr>
              <w:spacing w:before="40" w:after="40"/>
            </w:pPr>
            <w:r>
              <w:rPr>
                <w:rFonts w:ascii="Calibri" w:hAnsi="Calibri"/>
                <w:b w:val="0"/>
                <w:i w:val="0"/>
                <w:color w:val="333333"/>
                <w:sz w:val="17"/>
              </w:rPr>
              <w:t>Accéder aux données en transit ou au repos</w:t>
            </w:r>
          </w:p>
        </w:tc>
        <w:tc>
          <w:tcPr>
            <w:tcW w:type="dxa" w:w="2436"/>
          </w:tcPr>
          <w:p>
            <w:pPr>
              <w:spacing w:before="40" w:after="40"/>
            </w:pPr>
            <w:r>
              <w:rPr>
                <w:rFonts w:ascii="Calibri" w:hAnsi="Calibri"/>
                <w:b w:val="0"/>
                <w:i w:val="0"/>
                <w:color w:val="333333"/>
                <w:sz w:val="17"/>
              </w:rPr>
              <w:t>Accès d'intégration légitime</w:t>
            </w:r>
          </w:p>
        </w:tc>
        <w:tc>
          <w:tcPr>
            <w:tcW w:type="dxa" w:w="2436"/>
          </w:tcPr>
          <w:p>
            <w:pPr>
              <w:spacing w:before="40" w:after="40"/>
            </w:pPr>
            <w:r>
              <w:rPr>
                <w:rFonts w:ascii="Calibri" w:hAnsi="Calibri"/>
                <w:b w:val="0"/>
                <w:i w:val="0"/>
                <w:color w:val="333333"/>
                <w:sz w:val="17"/>
              </w:rPr>
              <w:t>Moyenne</w:t>
            </w:r>
          </w:p>
        </w:tc>
      </w:tr>
    </w:tbl>
    <w:p>
      <w:pPr>
        <w:spacing w:after="40"/>
      </w:pPr>
    </w:p>
    <w:p>
      <w:pPr>
        <w:pStyle w:val="Heading2"/>
        <w:spacing w:before="280" w:after="80"/>
        <w:keepNext/>
      </w:pPr>
      <w:bookmarkStart w:id="111" w:name="_Toc_s010"/>
      <w:r>
        <w:rPr>
          <w:rFonts w:ascii="Calibri" w:hAnsi="Calibri"/>
          <w:b/>
          <w:color w:val="1B3A5C"/>
          <w:sz w:val="24"/>
        </w:rPr>
        <w:t>3.2 Principaux scénarios de menace et contre-mesures</w:t>
      </w:r>
      <w:bookmarkEnd w:id="11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t>
            </w:r>
          </w:p>
        </w:tc>
        <w:tc>
          <w:tcPr>
            <w:tcW w:type="dxa" w:w="3249"/>
            <w:shd w:val="clear" w:fill="1B3A5C"/>
          </w:tcPr>
          <w:p>
            <w:pPr>
              <w:spacing w:before="60" w:after="60"/>
            </w:pPr>
            <w:r>
              <w:rPr>
                <w:rFonts w:ascii="Calibri" w:hAnsi="Calibri"/>
                <w:b/>
                <w:color w:val="FFFFFF"/>
                <w:sz w:val="17"/>
              </w:rPr>
              <w:t>Scénario</w:t>
            </w:r>
          </w:p>
        </w:tc>
        <w:tc>
          <w:tcPr>
            <w:tcW w:type="dxa" w:w="3249"/>
            <w:shd w:val="clear" w:fill="1B3A5C"/>
          </w:tcPr>
          <w:p>
            <w:pPr>
              <w:spacing w:before="60" w:after="60"/>
            </w:pPr>
            <w:r>
              <w:rPr>
                <w:rFonts w:ascii="Calibri" w:hAnsi="Calibri"/>
                <w:b/>
                <w:color w:val="FFFFFF"/>
                <w:sz w:val="17"/>
              </w:rPr>
              <w:t>Contre-mesures</w:t>
            </w:r>
          </w:p>
        </w:tc>
      </w:tr>
      <w:tr>
        <w:tc>
          <w:tcPr>
            <w:tcW w:type="dxa" w:w="3249"/>
          </w:tcPr>
          <w:p>
            <w:pPr>
              <w:spacing w:before="40" w:after="40"/>
            </w:pPr>
            <w:r>
              <w:rPr>
                <w:rFonts w:ascii="Calibri" w:hAnsi="Calibri"/>
                <w:b/>
                <w:i w:val="0"/>
                <w:color w:val="333333"/>
                <w:sz w:val="17"/>
              </w:rPr>
              <w:t>TH-1</w:t>
            </w:r>
          </w:p>
        </w:tc>
        <w:tc>
          <w:tcPr>
            <w:tcW w:type="dxa" w:w="3249"/>
          </w:tcPr>
          <w:p>
            <w:pPr>
              <w:spacing w:before="40" w:after="40"/>
            </w:pPr>
            <w:r>
              <w:rPr>
                <w:rFonts w:ascii="Calibri" w:hAnsi="Calibri"/>
                <w:b w:val="0"/>
                <w:i w:val="0"/>
                <w:color w:val="333333"/>
                <w:sz w:val="17"/>
              </w:rPr>
              <w:t>Le collecteur encaisse une prime et la garde, sans imprimer de reçu</w:t>
            </w:r>
          </w:p>
        </w:tc>
        <w:tc>
          <w:tcPr>
            <w:tcW w:type="dxa" w:w="3249"/>
          </w:tcPr>
          <w:p>
            <w:pPr>
              <w:spacing w:before="40" w:after="40"/>
            </w:pPr>
            <w:r>
              <w:rPr>
                <w:rFonts w:ascii="Calibri" w:hAnsi="Calibri"/>
                <w:b w:val="0"/>
                <w:i w:val="0"/>
                <w:color w:val="333333"/>
                <w:sz w:val="17"/>
              </w:rPr>
              <w:t>Le reçu est produit par le système, non par le collecteur ; numérotation séquentielle des reçus par terminal avec détection des ruptures ; confirmation SMS à l'assuré (§8.4) ; sensibilisation de l'assuré au fait qu'un paiement sans reçu imprimé n'est pas valable ; encaissements rapprochés du plafond et des versements du collecteur</w:t>
            </w:r>
          </w:p>
        </w:tc>
      </w:tr>
      <w:tr>
        <w:tc>
          <w:tcPr>
            <w:tcW w:type="dxa" w:w="3249"/>
            <w:shd w:val="clear" w:fill="F2F6FA"/>
          </w:tcPr>
          <w:p>
            <w:pPr>
              <w:spacing w:before="40" w:after="40"/>
            </w:pPr>
            <w:r>
              <w:rPr>
                <w:rFonts w:ascii="Calibri" w:hAnsi="Calibri"/>
                <w:b/>
                <w:i w:val="0"/>
                <w:color w:val="333333"/>
                <w:sz w:val="17"/>
              </w:rPr>
              <w:t>TH-2</w:t>
            </w:r>
          </w:p>
        </w:tc>
        <w:tc>
          <w:tcPr>
            <w:tcW w:type="dxa" w:w="3249"/>
            <w:shd w:val="clear" w:fill="F2F6FA"/>
          </w:tcPr>
          <w:p>
            <w:pPr>
              <w:spacing w:before="40" w:after="40"/>
            </w:pPr>
            <w:r>
              <w:rPr>
                <w:rFonts w:ascii="Calibri" w:hAnsi="Calibri"/>
                <w:b w:val="0"/>
                <w:i w:val="0"/>
                <w:color w:val="333333"/>
                <w:sz w:val="17"/>
              </w:rPr>
              <w:t>Le collecteur imprime un reçu puis annule ou supprime l'enregistrement</w:t>
            </w:r>
          </w:p>
        </w:tc>
        <w:tc>
          <w:tcPr>
            <w:tcW w:type="dxa" w:w="3249"/>
            <w:shd w:val="clear" w:fill="F2F6FA"/>
          </w:tcPr>
          <w:p>
            <w:pPr>
              <w:spacing w:before="40" w:after="40"/>
            </w:pPr>
            <w:r>
              <w:rPr>
                <w:rFonts w:ascii="Calibri" w:hAnsi="Calibri"/>
                <w:b w:val="0"/>
                <w:i w:val="0"/>
                <w:color w:val="333333"/>
                <w:sz w:val="17"/>
              </w:rPr>
              <w:t xml:space="preserve">Les encaissements sont en </w:t>
            </w:r>
            <w:r>
              <w:rPr>
                <w:rFonts w:ascii="Calibri" w:hAnsi="Calibri"/>
                <w:b/>
                <w:i w:val="0"/>
                <w:color w:val="333333"/>
                <w:sz w:val="17"/>
              </w:rPr>
              <w:t>ajout seul</w:t>
            </w:r>
            <w:r>
              <w:rPr>
                <w:rFonts w:ascii="Calibri" w:hAnsi="Calibri"/>
                <w:b w:val="0"/>
                <w:i w:val="0"/>
                <w:color w:val="333333"/>
                <w:sz w:val="17"/>
              </w:rPr>
              <w:t xml:space="preserve"> ; aucune suppression sur l'appareil ni au back-office ; une correction est une écriture d'extourne nouvelle, soumise à habilitation et auditée ; la file locale du terminal n'est pas accessible à l'utilisateur</w:t>
            </w:r>
          </w:p>
        </w:tc>
      </w:tr>
      <w:tr>
        <w:tc>
          <w:tcPr>
            <w:tcW w:type="dxa" w:w="3249"/>
          </w:tcPr>
          <w:p>
            <w:pPr>
              <w:spacing w:before="40" w:after="40"/>
            </w:pPr>
            <w:r>
              <w:rPr>
                <w:rFonts w:ascii="Calibri" w:hAnsi="Calibri"/>
                <w:b/>
                <w:i w:val="0"/>
                <w:color w:val="333333"/>
                <w:sz w:val="17"/>
              </w:rPr>
              <w:t>TH-3</w:t>
            </w:r>
          </w:p>
        </w:tc>
        <w:tc>
          <w:tcPr>
            <w:tcW w:type="dxa" w:w="3249"/>
          </w:tcPr>
          <w:p>
            <w:pPr>
              <w:spacing w:before="40" w:after="40"/>
            </w:pPr>
            <w:r>
              <w:rPr>
                <w:rFonts w:ascii="Calibri" w:hAnsi="Calibri"/>
                <w:b w:val="0"/>
                <w:i w:val="0"/>
                <w:color w:val="333333"/>
                <w:sz w:val="17"/>
              </w:rPr>
              <w:t>Le collecteur accumule des espèces et disparaît</w:t>
            </w:r>
          </w:p>
        </w:tc>
        <w:tc>
          <w:tcPr>
            <w:tcW w:type="dxa" w:w="3249"/>
          </w:tcPr>
          <w:p>
            <w:pPr>
              <w:spacing w:before="40" w:after="40"/>
            </w:pPr>
            <w:r>
              <w:rPr>
                <w:rFonts w:ascii="Calibri" w:hAnsi="Calibri"/>
                <w:b w:val="0"/>
                <w:i w:val="0"/>
                <w:color w:val="333333"/>
                <w:sz w:val="17"/>
              </w:rPr>
              <w:t>Le plafond par collecteur (Doc 1 §6.3) borne l'exposition maximale ; le terminal bloque les nouveaux encaissements au plafond ; suivi quotidien des soldes non versés ; alerte d'ancienneté sur les collecteurs au-dessus du seuil depuis plus de N jours</w:t>
            </w:r>
          </w:p>
        </w:tc>
      </w:tr>
      <w:tr>
        <w:tc>
          <w:tcPr>
            <w:tcW w:type="dxa" w:w="3249"/>
            <w:shd w:val="clear" w:fill="F2F6FA"/>
          </w:tcPr>
          <w:p>
            <w:pPr>
              <w:spacing w:before="40" w:after="40"/>
            </w:pPr>
            <w:r>
              <w:rPr>
                <w:rFonts w:ascii="Calibri" w:hAnsi="Calibri"/>
                <w:b/>
                <w:i w:val="0"/>
                <w:color w:val="333333"/>
                <w:sz w:val="17"/>
              </w:rPr>
              <w:t>TH-4</w:t>
            </w:r>
          </w:p>
        </w:tc>
        <w:tc>
          <w:tcPr>
            <w:tcW w:type="dxa" w:w="3249"/>
            <w:shd w:val="clear" w:fill="F2F6FA"/>
          </w:tcPr>
          <w:p>
            <w:pPr>
              <w:spacing w:before="40" w:after="40"/>
            </w:pPr>
            <w:r>
              <w:rPr>
                <w:rFonts w:ascii="Calibri" w:hAnsi="Calibri"/>
                <w:b w:val="0"/>
                <w:i w:val="0"/>
                <w:color w:val="333333"/>
                <w:sz w:val="17"/>
              </w:rPr>
              <w:t>Le collecteur déclare un versement supérieur au dépôt réel</w:t>
            </w:r>
          </w:p>
        </w:tc>
        <w:tc>
          <w:tcPr>
            <w:tcW w:type="dxa" w:w="3249"/>
            <w:shd w:val="clear" w:fill="F2F6FA"/>
          </w:tcPr>
          <w:p>
            <w:pPr>
              <w:spacing w:before="40" w:after="40"/>
            </w:pPr>
            <w:r>
              <w:rPr>
                <w:rFonts w:ascii="Calibri" w:hAnsi="Calibri"/>
                <w:b w:val="0"/>
                <w:i w:val="0"/>
                <w:color w:val="333333"/>
                <w:sz w:val="17"/>
              </w:rPr>
              <w:t xml:space="preserve">Le versement est une </w:t>
            </w:r>
            <w:r>
              <w:rPr>
                <w:rFonts w:ascii="Calibri" w:hAnsi="Calibri"/>
                <w:b w:val="0"/>
                <w:i/>
                <w:color w:val="333333"/>
                <w:sz w:val="17"/>
              </w:rPr>
              <w:t>déclaration</w:t>
            </w:r>
            <w:r>
              <w:rPr>
                <w:rFonts w:ascii="Calibri" w:hAnsi="Calibri"/>
                <w:b w:val="0"/>
                <w:i w:val="0"/>
                <w:color w:val="333333"/>
                <w:sz w:val="17"/>
              </w:rPr>
              <w:t xml:space="preserve"> ; seule la confirmation back-office face au relevé bancaire ou au comptage en caisse réduit le solde ; écart consigné ; confirmation à deux personnes au-delà d'un montant paramétrable</w:t>
            </w:r>
          </w:p>
        </w:tc>
      </w:tr>
      <w:tr>
        <w:tc>
          <w:tcPr>
            <w:tcW w:type="dxa" w:w="3249"/>
          </w:tcPr>
          <w:p>
            <w:pPr>
              <w:spacing w:before="40" w:after="40"/>
            </w:pPr>
            <w:r>
              <w:rPr>
                <w:rFonts w:ascii="Calibri" w:hAnsi="Calibri"/>
                <w:b/>
                <w:i w:val="0"/>
                <w:color w:val="333333"/>
                <w:sz w:val="17"/>
              </w:rPr>
              <w:t>TH-5</w:t>
            </w:r>
          </w:p>
        </w:tc>
        <w:tc>
          <w:tcPr>
            <w:tcW w:type="dxa" w:w="3249"/>
          </w:tcPr>
          <w:p>
            <w:pPr>
              <w:spacing w:before="40" w:after="40"/>
            </w:pPr>
            <w:r>
              <w:rPr>
                <w:rFonts w:ascii="Calibri" w:hAnsi="Calibri"/>
                <w:b w:val="0"/>
                <w:i w:val="0"/>
                <w:color w:val="333333"/>
                <w:sz w:val="17"/>
              </w:rPr>
              <w:t>Terminal volé</w:t>
            </w:r>
          </w:p>
        </w:tc>
        <w:tc>
          <w:tcPr>
            <w:tcW w:type="dxa" w:w="3249"/>
          </w:tcPr>
          <w:p>
            <w:pPr>
              <w:spacing w:before="40" w:after="40"/>
            </w:pPr>
            <w:r>
              <w:rPr>
                <w:rFonts w:ascii="Calibri" w:hAnsi="Calibri"/>
                <w:b w:val="0"/>
                <w:i w:val="0"/>
                <w:color w:val="333333"/>
                <w:sz w:val="17"/>
              </w:rPr>
              <w:t>Appareil verrouillé par les justificatifs de l'agent et l'expiration sur inactivité ; aucune espèce sur l'appareil ; données locales chiffrées et cloisonnées à cet agent ; désactivation à distance du compte agent et du terminal depuis le back-office ; encaissements non synchronisés récupérables au retour</w:t>
            </w:r>
          </w:p>
        </w:tc>
      </w:tr>
      <w:tr>
        <w:tc>
          <w:tcPr>
            <w:tcW w:type="dxa" w:w="3249"/>
            <w:shd w:val="clear" w:fill="F2F6FA"/>
          </w:tcPr>
          <w:p>
            <w:pPr>
              <w:spacing w:before="40" w:after="40"/>
            </w:pPr>
            <w:r>
              <w:rPr>
                <w:rFonts w:ascii="Calibri" w:hAnsi="Calibri"/>
                <w:b/>
                <w:i w:val="0"/>
                <w:color w:val="333333"/>
                <w:sz w:val="17"/>
              </w:rPr>
              <w:t>TH-6</w:t>
            </w:r>
          </w:p>
        </w:tc>
        <w:tc>
          <w:tcPr>
            <w:tcW w:type="dxa" w:w="3249"/>
            <w:shd w:val="clear" w:fill="F2F6FA"/>
          </w:tcPr>
          <w:p>
            <w:pPr>
              <w:spacing w:before="40" w:after="40"/>
            </w:pPr>
            <w:r>
              <w:rPr>
                <w:rFonts w:ascii="Calibri" w:hAnsi="Calibri"/>
                <w:b w:val="0"/>
                <w:i w:val="0"/>
                <w:color w:val="333333"/>
                <w:sz w:val="17"/>
              </w:rPr>
              <w:t>Carte volée ou clonée</w:t>
            </w:r>
          </w:p>
        </w:tc>
        <w:tc>
          <w:tcPr>
            <w:tcW w:type="dxa" w:w="3249"/>
            <w:shd w:val="clear" w:fill="F2F6FA"/>
          </w:tcPr>
          <w:p>
            <w:pPr>
              <w:spacing w:before="40" w:after="40"/>
            </w:pPr>
            <w:r>
              <w:rPr>
                <w:rFonts w:ascii="Calibri" w:hAnsi="Calibri"/>
                <w:b w:val="0"/>
                <w:i w:val="0"/>
                <w:color w:val="333333"/>
                <w:sz w:val="17"/>
              </w:rPr>
              <w:t xml:space="preserve">La carte porte un identifiant, </w:t>
            </w:r>
            <w:r>
              <w:rPr>
                <w:rFonts w:ascii="Calibri" w:hAnsi="Calibri"/>
                <w:b/>
                <w:i w:val="0"/>
                <w:color w:val="333333"/>
                <w:sz w:val="17"/>
              </w:rPr>
              <w:t>jamais de monnaie ni de solde</w:t>
            </w:r>
            <w:r>
              <w:rPr>
                <w:rFonts w:ascii="Calibri" w:hAnsi="Calibri"/>
                <w:b w:val="0"/>
                <w:i w:val="0"/>
                <w:color w:val="333333"/>
                <w:sz w:val="17"/>
              </w:rPr>
              <w:t xml:space="preserve"> ; une carte identifie, elle n'autorise pas un paiement — c'est la session authentifiée du collecteur qui le fait ; blocage instantané au back-office ; recommandation du sans contact avec clés par carte plutôt que de la piste magnétique clonable (Doc 1 §7.2)</w:t>
            </w:r>
          </w:p>
        </w:tc>
      </w:tr>
      <w:tr>
        <w:tc>
          <w:tcPr>
            <w:tcW w:type="dxa" w:w="3249"/>
          </w:tcPr>
          <w:p>
            <w:pPr>
              <w:spacing w:before="40" w:after="40"/>
            </w:pPr>
            <w:r>
              <w:rPr>
                <w:rFonts w:ascii="Calibri" w:hAnsi="Calibri"/>
                <w:b/>
                <w:i w:val="0"/>
                <w:color w:val="333333"/>
                <w:sz w:val="17"/>
              </w:rPr>
              <w:t>TH-7</w:t>
            </w:r>
          </w:p>
        </w:tc>
        <w:tc>
          <w:tcPr>
            <w:tcW w:type="dxa" w:w="3249"/>
          </w:tcPr>
          <w:p>
            <w:pPr>
              <w:spacing w:before="40" w:after="40"/>
            </w:pPr>
            <w:r>
              <w:rPr>
                <w:rFonts w:ascii="Calibri" w:hAnsi="Calibri"/>
                <w:b w:val="0"/>
                <w:i w:val="0"/>
                <w:color w:val="333333"/>
                <w:sz w:val="17"/>
              </w:rPr>
              <w:t>QR de carte virtuelle contrefait ou rejoué</w:t>
            </w:r>
          </w:p>
        </w:tc>
        <w:tc>
          <w:tcPr>
            <w:tcW w:type="dxa" w:w="3249"/>
          </w:tcPr>
          <w:p>
            <w:pPr>
              <w:spacing w:before="40" w:after="40"/>
            </w:pPr>
            <w:r>
              <w:rPr>
                <w:rFonts w:ascii="Calibri" w:hAnsi="Calibri"/>
                <w:b w:val="0"/>
                <w:i w:val="0"/>
                <w:color w:val="333333"/>
                <w:sz w:val="17"/>
              </w:rPr>
              <w:t>Signature cryptographique vérifiée hors ligne sur le terminal ; expiration du justificatif ; liste de révocation synchronisée vers les terminaux ; le QR identifie mais n'autorise pas ; présenter un QR produit malgré tout un reçu au nom du véritable assuré, si bien que le rejeu n'apporte aucun gain financier</w:t>
            </w:r>
          </w:p>
        </w:tc>
      </w:tr>
      <w:tr>
        <w:tc>
          <w:tcPr>
            <w:tcW w:type="dxa" w:w="3249"/>
            <w:shd w:val="clear" w:fill="F2F6FA"/>
          </w:tcPr>
          <w:p>
            <w:pPr>
              <w:spacing w:before="40" w:after="40"/>
            </w:pPr>
            <w:r>
              <w:rPr>
                <w:rFonts w:ascii="Calibri" w:hAnsi="Calibri"/>
                <w:b/>
                <w:i w:val="0"/>
                <w:color w:val="333333"/>
                <w:sz w:val="17"/>
              </w:rPr>
              <w:t>TH-8</w:t>
            </w:r>
          </w:p>
        </w:tc>
        <w:tc>
          <w:tcPr>
            <w:tcW w:type="dxa" w:w="3249"/>
            <w:shd w:val="clear" w:fill="F2F6FA"/>
          </w:tcPr>
          <w:p>
            <w:pPr>
              <w:spacing w:before="40" w:after="40"/>
            </w:pPr>
            <w:r>
              <w:rPr>
                <w:rFonts w:ascii="Calibri" w:hAnsi="Calibri"/>
                <w:b w:val="0"/>
                <w:i w:val="0"/>
                <w:color w:val="333333"/>
                <w:sz w:val="17"/>
              </w:rPr>
              <w:t>Interception du trafic TPE ↔ plateforme</w:t>
            </w:r>
          </w:p>
        </w:tc>
        <w:tc>
          <w:tcPr>
            <w:tcW w:type="dxa" w:w="3249"/>
            <w:shd w:val="clear" w:fill="F2F6FA"/>
          </w:tcPr>
          <w:p>
            <w:pPr>
              <w:spacing w:before="40" w:after="40"/>
            </w:pPr>
            <w:r>
              <w:rPr>
                <w:rFonts w:ascii="Calibri" w:hAnsi="Calibri"/>
                <w:b w:val="0"/>
                <w:i w:val="0"/>
                <w:color w:val="333333"/>
                <w:sz w:val="17"/>
              </w:rPr>
              <w:t>TLS 1.2+ obligatoire ; épinglage de certificat dans l'application TPE ; aucune donnée sensible dans les URL ; refus du HTTP en clair</w:t>
            </w:r>
          </w:p>
        </w:tc>
      </w:tr>
      <w:tr>
        <w:tc>
          <w:tcPr>
            <w:tcW w:type="dxa" w:w="3249"/>
          </w:tcPr>
          <w:p>
            <w:pPr>
              <w:spacing w:before="40" w:after="40"/>
            </w:pPr>
            <w:r>
              <w:rPr>
                <w:rFonts w:ascii="Calibri" w:hAnsi="Calibri"/>
                <w:b/>
                <w:i w:val="0"/>
                <w:color w:val="333333"/>
                <w:sz w:val="17"/>
              </w:rPr>
              <w:t>TH-9</w:t>
            </w:r>
          </w:p>
        </w:tc>
        <w:tc>
          <w:tcPr>
            <w:tcW w:type="dxa" w:w="3249"/>
          </w:tcPr>
          <w:p>
            <w:pPr>
              <w:spacing w:before="40" w:after="40"/>
            </w:pPr>
            <w:r>
              <w:rPr>
                <w:rFonts w:ascii="Calibri" w:hAnsi="Calibri"/>
                <w:b w:val="0"/>
                <w:i w:val="0"/>
                <w:color w:val="333333"/>
                <w:sz w:val="17"/>
              </w:rPr>
              <w:t>Vol de la base de données personnelles</w:t>
            </w:r>
          </w:p>
        </w:tc>
        <w:tc>
          <w:tcPr>
            <w:tcW w:type="dxa" w:w="3249"/>
          </w:tcPr>
          <w:p>
            <w:pPr>
              <w:spacing w:before="40" w:after="40"/>
            </w:pPr>
            <w:r>
              <w:rPr>
                <w:rFonts w:ascii="Calibri" w:hAnsi="Calibri"/>
                <w:b w:val="0"/>
                <w:i w:val="0"/>
                <w:color w:val="333333"/>
                <w:sz w:val="17"/>
              </w:rPr>
              <w:t>Chiffrement au repos ; base non exposée sur Internet ; comptes de base au moindre privilège ; sauvegardes chiffrées ; journalisation des accès ; alerte sur les volumes d'export anormaux</w:t>
            </w:r>
          </w:p>
        </w:tc>
      </w:tr>
      <w:tr>
        <w:tc>
          <w:tcPr>
            <w:tcW w:type="dxa" w:w="3249"/>
            <w:shd w:val="clear" w:fill="F2F6FA"/>
          </w:tcPr>
          <w:p>
            <w:pPr>
              <w:spacing w:before="40" w:after="40"/>
            </w:pPr>
            <w:r>
              <w:rPr>
                <w:rFonts w:ascii="Calibri" w:hAnsi="Calibri"/>
                <w:b/>
                <w:i w:val="0"/>
                <w:color w:val="333333"/>
                <w:sz w:val="17"/>
              </w:rPr>
              <w:t>TH-10</w:t>
            </w:r>
          </w:p>
        </w:tc>
        <w:tc>
          <w:tcPr>
            <w:tcW w:type="dxa" w:w="3249"/>
            <w:shd w:val="clear" w:fill="F2F6FA"/>
          </w:tcPr>
          <w:p>
            <w:pPr>
              <w:spacing w:before="40" w:after="40"/>
            </w:pPr>
            <w:r>
              <w:rPr>
                <w:rFonts w:ascii="Calibri" w:hAnsi="Calibri"/>
                <w:b w:val="0"/>
                <w:i w:val="0"/>
                <w:color w:val="333333"/>
                <w:sz w:val="17"/>
              </w:rPr>
              <w:t>Compromission d'une clé d'API</w:t>
            </w:r>
          </w:p>
        </w:tc>
        <w:tc>
          <w:tcPr>
            <w:tcW w:type="dxa" w:w="3249"/>
            <w:shd w:val="clear" w:fill="F2F6FA"/>
          </w:tcPr>
          <w:p>
            <w:pPr>
              <w:spacing w:before="40" w:after="40"/>
            </w:pPr>
            <w:r>
              <w:rPr>
                <w:rFonts w:ascii="Calibri" w:hAnsi="Calibri"/>
                <w:b w:val="0"/>
                <w:i w:val="0"/>
                <w:color w:val="333333"/>
                <w:sz w:val="17"/>
              </w:rPr>
              <w:t>Clés par unité d'exploitation, hachées au repos, révocables instantanément, limitées en débit, usage journalisé avec horodatage de dernière utilisation ; procédure de rotation (§5.4)</w:t>
            </w:r>
          </w:p>
        </w:tc>
      </w:tr>
      <w:tr>
        <w:tc>
          <w:tcPr>
            <w:tcW w:type="dxa" w:w="3249"/>
          </w:tcPr>
          <w:p>
            <w:pPr>
              <w:spacing w:before="40" w:after="40"/>
            </w:pPr>
            <w:r>
              <w:rPr>
                <w:rFonts w:ascii="Calibri" w:hAnsi="Calibri"/>
                <w:b/>
                <w:i w:val="0"/>
                <w:color w:val="333333"/>
                <w:sz w:val="17"/>
              </w:rPr>
              <w:t>TH-11</w:t>
            </w:r>
          </w:p>
        </w:tc>
        <w:tc>
          <w:tcPr>
            <w:tcW w:type="dxa" w:w="3249"/>
          </w:tcPr>
          <w:p>
            <w:pPr>
              <w:spacing w:before="40" w:after="40"/>
            </w:pPr>
            <w:r>
              <w:rPr>
                <w:rFonts w:ascii="Calibri" w:hAnsi="Calibri"/>
                <w:b w:val="0"/>
                <w:i w:val="0"/>
                <w:color w:val="333333"/>
                <w:sz w:val="17"/>
              </w:rPr>
              <w:t>Un utilisateur back-office exporte tout le portefeuille clients</w:t>
            </w:r>
          </w:p>
        </w:tc>
        <w:tc>
          <w:tcPr>
            <w:tcW w:type="dxa" w:w="3249"/>
          </w:tcPr>
          <w:p>
            <w:pPr>
              <w:spacing w:before="40" w:after="40"/>
            </w:pPr>
            <w:r>
              <w:rPr>
                <w:rFonts w:ascii="Calibri" w:hAnsi="Calibri"/>
                <w:b w:val="0"/>
                <w:i w:val="0"/>
                <w:color w:val="333333"/>
                <w:sz w:val="17"/>
              </w:rPr>
              <w:t>L'export est soumis à habilitation ; chaque export est journalisé avec l'acteur, les filtres et le nombre de lignes ; alerte volumétrique ; exports marqués au nom du demandeur</w:t>
            </w:r>
          </w:p>
        </w:tc>
      </w:tr>
      <w:tr>
        <w:tc>
          <w:tcPr>
            <w:tcW w:type="dxa" w:w="3249"/>
            <w:shd w:val="clear" w:fill="F2F6FA"/>
          </w:tcPr>
          <w:p>
            <w:pPr>
              <w:spacing w:before="40" w:after="40"/>
            </w:pPr>
            <w:r>
              <w:rPr>
                <w:rFonts w:ascii="Calibri" w:hAnsi="Calibri"/>
                <w:b/>
                <w:i w:val="0"/>
                <w:color w:val="333333"/>
                <w:sz w:val="17"/>
              </w:rPr>
              <w:t>TH-12</w:t>
            </w:r>
          </w:p>
        </w:tc>
        <w:tc>
          <w:tcPr>
            <w:tcW w:type="dxa" w:w="3249"/>
            <w:shd w:val="clear" w:fill="F2F6FA"/>
          </w:tcPr>
          <w:p>
            <w:pPr>
              <w:spacing w:before="40" w:after="40"/>
            </w:pPr>
            <w:r>
              <w:rPr>
                <w:rFonts w:ascii="Calibri" w:hAnsi="Calibri"/>
                <w:b w:val="0"/>
                <w:i w:val="0"/>
                <w:color w:val="333333"/>
                <w:sz w:val="17"/>
              </w:rPr>
              <w:t>Injection / XSS / CSRF sur le back-office</w:t>
            </w:r>
          </w:p>
        </w:tc>
        <w:tc>
          <w:tcPr>
            <w:tcW w:type="dxa" w:w="3249"/>
            <w:shd w:val="clear" w:fill="F2F6FA"/>
          </w:tcPr>
          <w:p>
            <w:pPr>
              <w:spacing w:before="40" w:after="40"/>
            </w:pPr>
            <w:r>
              <w:rPr>
                <w:rFonts w:ascii="Calibri" w:hAnsi="Calibri"/>
                <w:b w:val="0"/>
                <w:i w:val="0"/>
                <w:color w:val="333333"/>
                <w:sz w:val="17"/>
              </w:rPr>
              <w:t>Requêtes paramétrées au niveau du framework, échappement en sortie, jetons CSRF sur toutes les requêtes web modifiant l'état, validation stricte côté serveur sur chaque point d'entrée</w:t>
            </w:r>
          </w:p>
        </w:tc>
      </w:tr>
      <w:tr>
        <w:tc>
          <w:tcPr>
            <w:tcW w:type="dxa" w:w="3249"/>
          </w:tcPr>
          <w:p>
            <w:pPr>
              <w:spacing w:before="40" w:after="40"/>
            </w:pPr>
            <w:r>
              <w:rPr>
                <w:rFonts w:ascii="Calibri" w:hAnsi="Calibri"/>
                <w:b/>
                <w:i w:val="0"/>
                <w:color w:val="333333"/>
                <w:sz w:val="17"/>
              </w:rPr>
              <w:t>TH-13</w:t>
            </w:r>
          </w:p>
        </w:tc>
        <w:tc>
          <w:tcPr>
            <w:tcW w:type="dxa" w:w="3249"/>
          </w:tcPr>
          <w:p>
            <w:pPr>
              <w:spacing w:before="40" w:after="40"/>
            </w:pPr>
            <w:r>
              <w:rPr>
                <w:rFonts w:ascii="Calibri" w:hAnsi="Calibri"/>
                <w:b w:val="0"/>
                <w:i w:val="0"/>
                <w:color w:val="333333"/>
                <w:sz w:val="17"/>
              </w:rPr>
              <w:t>Force brute sur les justificatifs de collecteur ou d'utilisateur</w:t>
            </w:r>
          </w:p>
        </w:tc>
        <w:tc>
          <w:tcPr>
            <w:tcW w:type="dxa" w:w="3249"/>
          </w:tcPr>
          <w:p>
            <w:pPr>
              <w:spacing w:before="40" w:after="40"/>
            </w:pPr>
            <w:r>
              <w:rPr>
                <w:rFonts w:ascii="Calibri" w:hAnsi="Calibri"/>
                <w:b w:val="0"/>
                <w:i w:val="0"/>
                <w:color w:val="333333"/>
                <w:sz w:val="17"/>
              </w:rPr>
              <w:t>Limitation de débit et verrouillage progressif, protection contre le bourrage d'identifiants, absence d'énumération des comptes dans les messages d'erreur, alerte en cas d'échecs répétés</w:t>
            </w:r>
          </w:p>
        </w:tc>
      </w:tr>
      <w:tr>
        <w:tc>
          <w:tcPr>
            <w:tcW w:type="dxa" w:w="3249"/>
            <w:shd w:val="clear" w:fill="F2F6FA"/>
          </w:tcPr>
          <w:p>
            <w:pPr>
              <w:spacing w:before="40" w:after="40"/>
            </w:pPr>
            <w:r>
              <w:rPr>
                <w:rFonts w:ascii="Calibri" w:hAnsi="Calibri"/>
                <w:b/>
                <w:i w:val="0"/>
                <w:color w:val="333333"/>
                <w:sz w:val="17"/>
              </w:rPr>
              <w:t>TH-14</w:t>
            </w:r>
          </w:p>
        </w:tc>
        <w:tc>
          <w:tcPr>
            <w:tcW w:type="dxa" w:w="3249"/>
            <w:shd w:val="clear" w:fill="F2F6FA"/>
          </w:tcPr>
          <w:p>
            <w:pPr>
              <w:spacing w:before="40" w:after="40"/>
            </w:pPr>
            <w:r>
              <w:rPr>
                <w:rFonts w:ascii="Calibri" w:hAnsi="Calibri"/>
                <w:b w:val="0"/>
                <w:i w:val="0"/>
                <w:color w:val="333333"/>
                <w:sz w:val="17"/>
              </w:rPr>
              <w:t>Injection de données SUNULIFE malveillantes ou erronées corrompant les polices</w:t>
            </w:r>
          </w:p>
        </w:tc>
        <w:tc>
          <w:tcPr>
            <w:tcW w:type="dxa" w:w="3249"/>
            <w:shd w:val="clear" w:fill="F2F6FA"/>
          </w:tcPr>
          <w:p>
            <w:pPr>
              <w:spacing w:before="40" w:after="40"/>
            </w:pPr>
            <w:r>
              <w:rPr>
                <w:rFonts w:ascii="Calibri" w:hAnsi="Calibri"/>
                <w:b w:val="0"/>
                <w:i w:val="0"/>
                <w:color w:val="333333"/>
                <w:sz w:val="17"/>
              </w:rPr>
              <w:t>Validation stricte du schéma à l'ingestion ; une synchronisation ne supprime jamais un encaissement local ; les anomalies sont mises en quarantaine plutôt qu'appliquées</w:t>
            </w:r>
          </w:p>
        </w:tc>
      </w:tr>
    </w:tbl>
    <w:p>
      <w:pPr>
        <w:spacing w:after="40"/>
      </w:pPr>
    </w:p>
    <w:p>
      <w:pPr>
        <w:pStyle w:val="Heading1"/>
        <w:pageBreakBefore/>
        <w:spacing w:before="360" w:after="80"/>
        <w:keepNext/>
        <w:pBdr>
          <w:bottom w:val="single" w:sz="8" w:space="6" w:color="1B3A5C"/>
        </w:pBdr>
      </w:pPr>
      <w:bookmarkStart w:id="112" w:name="_Toc_s011"/>
      <w:r>
        <w:rPr>
          <w:rFonts w:ascii="Calibri" w:hAnsi="Calibri"/>
          <w:b/>
          <w:color w:val="1B3A5C"/>
          <w:sz w:val="30"/>
        </w:rPr>
        <w:t>4. Défense en profondeur — vue par couches</w:t>
      </w:r>
      <w:bookmarkEnd w:id="112"/>
    </w:p>
    <w:p>
      <w:pPr>
        <w:spacing w:before="120" w:after="160" w:line="240" w:lineRule="auto"/>
        <w:ind w:left="113"/>
        <w:shd w:val="clear" w:fill="F4F5F2"/>
        <w:pBdr>
          <w:left w:val="single" w:sz="12" w:space="6" w:color="1B3A5C"/>
        </w:pBdr>
      </w:pPr>
      <w:r>
        <w:rPr>
          <w:rFonts w:ascii="Consolas" w:hAnsi="Consolas" w:cs="Consolas"/>
          <w:color w:val="333333"/>
          <w:sz w:val="15"/>
        </w:rPr>
        <w:t xml:space="preserve"> ┌───────────────────────────────────────────────────────────────────┐</w:t>
        <w:br/>
      </w:r>
      <w:r>
        <w:rPr>
          <w:rFonts w:ascii="Consolas" w:hAnsi="Consolas" w:cs="Consolas"/>
          <w:color w:val="333333"/>
          <w:sz w:val="15"/>
        </w:rPr>
        <w:t xml:space="preserve"> │ N7 GOUVERNANCE  politique de sécurité · rôles · formation ·       │</w:t>
        <w:br/>
      </w:r>
      <w:r>
        <w:rPr>
          <w:rFonts w:ascii="Consolas" w:hAnsi="Consolas" w:cs="Consolas"/>
          <w:color w:val="333333"/>
          <w:sz w:val="15"/>
        </w:rPr>
        <w:t xml:space="preserve"> │                 déclaration CIL · revue fournisseurs · plan       │</w:t>
        <w:br/>
      </w:r>
      <w:r>
        <w:rPr>
          <w:rFonts w:ascii="Consolas" w:hAnsi="Consolas" w:cs="Consolas"/>
          <w:color w:val="333333"/>
          <w:sz w:val="15"/>
        </w:rPr>
        <w:t xml:space="preserve"> ├───────────────────────────────────────────────────────────────────┤</w:t>
        <w:br/>
      </w:r>
      <w:r>
        <w:rPr>
          <w:rFonts w:ascii="Consolas" w:hAnsi="Consolas" w:cs="Consolas"/>
          <w:color w:val="333333"/>
          <w:sz w:val="15"/>
        </w:rPr>
        <w:t xml:space="preserve"> │ N6 SURVEILLANCE piste d'audit · journaux API · alertes ·          │</w:t>
        <w:br/>
      </w:r>
      <w:r>
        <w:rPr>
          <w:rFonts w:ascii="Consolas" w:hAnsi="Consolas" w:cs="Consolas"/>
          <w:color w:val="333333"/>
          <w:sz w:val="15"/>
        </w:rPr>
        <w:t xml:space="preserve"> │                 indicateurs de fraude · revue trimestrielle       │</w:t>
        <w:br/>
      </w:r>
      <w:r>
        <w:rPr>
          <w:rFonts w:ascii="Consolas" w:hAnsi="Consolas" w:cs="Consolas"/>
          <w:color w:val="333333"/>
          <w:sz w:val="15"/>
        </w:rPr>
        <w:t xml:space="preserve"> ├───────────────────────────────────────────────────────────────────┤</w:t>
        <w:br/>
      </w:r>
      <w:r>
        <w:rPr>
          <w:rFonts w:ascii="Consolas" w:hAnsi="Consolas" w:cs="Consolas"/>
          <w:color w:val="333333"/>
          <w:sz w:val="15"/>
        </w:rPr>
        <w:t xml:space="preserve"> │ N5 DONNÉES      chiffrement au repos · classification ·           │</w:t>
        <w:br/>
      </w:r>
      <w:r>
        <w:rPr>
          <w:rFonts w:ascii="Consolas" w:hAnsi="Consolas" w:cs="Consolas"/>
          <w:color w:val="333333"/>
          <w:sz w:val="15"/>
        </w:rPr>
        <w:t xml:space="preserve"> │                 minimisation · conservation · sauvegardes         │</w:t>
        <w:br/>
      </w:r>
      <w:r>
        <w:rPr>
          <w:rFonts w:ascii="Consolas" w:hAnsi="Consolas" w:cs="Consolas"/>
          <w:color w:val="333333"/>
          <w:sz w:val="15"/>
        </w:rPr>
        <w:t xml:space="preserve"> ├───────────────────────────────────────────────────────────────────┤</w:t>
        <w:br/>
      </w:r>
      <w:r>
        <w:rPr>
          <w:rFonts w:ascii="Consolas" w:hAnsi="Consolas" w:cs="Consolas"/>
          <w:color w:val="333333"/>
          <w:sz w:val="15"/>
        </w:rPr>
        <w:t xml:space="preserve"> │ N4 APPLICATION  habilitations · validation des entrées ·          │</w:t>
        <w:br/>
      </w:r>
      <w:r>
        <w:rPr>
          <w:rFonts w:ascii="Consolas" w:hAnsi="Consolas" w:cs="Consolas"/>
          <w:color w:val="333333"/>
          <w:sz w:val="15"/>
        </w:rPr>
        <w:t xml:space="preserve"> │                 idempotence · registre en ajout seul ·            │</w:t>
        <w:br/>
      </w:r>
      <w:r>
        <w:rPr>
          <w:rFonts w:ascii="Consolas" w:hAnsi="Consolas" w:cs="Consolas"/>
          <w:color w:val="333333"/>
          <w:sz w:val="15"/>
        </w:rPr>
        <w:t xml:space="preserve"> │                 maker-checker · plafonds                          │</w:t>
        <w:br/>
      </w:r>
      <w:r>
        <w:rPr>
          <w:rFonts w:ascii="Consolas" w:hAnsi="Consolas" w:cs="Consolas"/>
          <w:color w:val="333333"/>
          <w:sz w:val="15"/>
        </w:rPr>
        <w:t xml:space="preserve"> ├───────────────────────────────────────────────────────────────────┤</w:t>
        <w:br/>
      </w:r>
      <w:r>
        <w:rPr>
          <w:rFonts w:ascii="Consolas" w:hAnsi="Consolas" w:cs="Consolas"/>
          <w:color w:val="333333"/>
          <w:sz w:val="15"/>
        </w:rPr>
        <w:t xml:space="preserve"> │ N3 IDENTITÉ     authentification · MFA administrateurs ·          │</w:t>
        <w:br/>
      </w:r>
      <w:r>
        <w:rPr>
          <w:rFonts w:ascii="Consolas" w:hAnsi="Consolas" w:cs="Consolas"/>
          <w:color w:val="333333"/>
          <w:sz w:val="15"/>
        </w:rPr>
        <w:t xml:space="preserve"> │                 authentification agent · clés d'API ·             │</w:t>
        <w:br/>
      </w:r>
      <w:r>
        <w:rPr>
          <w:rFonts w:ascii="Consolas" w:hAnsi="Consolas" w:cs="Consolas"/>
          <w:color w:val="333333"/>
          <w:sz w:val="15"/>
        </w:rPr>
        <w:t xml:space="preserve"> │                 liaison au terminal · contrôle de session         │</w:t>
        <w:br/>
      </w:r>
      <w:r>
        <w:rPr>
          <w:rFonts w:ascii="Consolas" w:hAnsi="Consolas" w:cs="Consolas"/>
          <w:color w:val="333333"/>
          <w:sz w:val="15"/>
        </w:rPr>
        <w:t xml:space="preserve"> ├───────────────────────────────────────────────────────────────────┤</w:t>
        <w:br/>
      </w:r>
      <w:r>
        <w:rPr>
          <w:rFonts w:ascii="Consolas" w:hAnsi="Consolas" w:cs="Consolas"/>
          <w:color w:val="333333"/>
          <w:sz w:val="15"/>
        </w:rPr>
        <w:t xml:space="preserve"> │ N2 RÉSEAU       TLS 1.2+ · épinglage · WAF · limitation de débit ·│</w:t>
        <w:br/>
      </w:r>
      <w:r>
        <w:rPr>
          <w:rFonts w:ascii="Consolas" w:hAnsi="Consolas" w:cs="Consolas"/>
          <w:color w:val="333333"/>
          <w:sz w:val="15"/>
        </w:rPr>
        <w:t xml:space="preserve"> │                 listes d'autorisation · pas de base publique      │</w:t>
        <w:br/>
      </w:r>
      <w:r>
        <w:rPr>
          <w:rFonts w:ascii="Consolas" w:hAnsi="Consolas" w:cs="Consolas"/>
          <w:color w:val="333333"/>
          <w:sz w:val="15"/>
        </w:rPr>
        <w:t xml:space="preserve"> ├───────────────────────────────────────────────────────────────────┤</w:t>
        <w:br/>
      </w:r>
      <w:r>
        <w:rPr>
          <w:rFonts w:ascii="Consolas" w:hAnsi="Consolas" w:cs="Consolas"/>
          <w:color w:val="333333"/>
          <w:sz w:val="15"/>
        </w:rPr>
        <w:t xml:space="preserve"> │ N1 PHYSIQUE     garde des terminaux · contrôle du stock cartes ·  │</w:t>
        <w:br/>
      </w:r>
      <w:r>
        <w:rPr>
          <w:rFonts w:ascii="Consolas" w:hAnsi="Consolas" w:cs="Consolas"/>
          <w:color w:val="333333"/>
          <w:sz w:val="15"/>
        </w:rPr>
        <w:t xml:space="preserve"> │                 station de personnalisation · centre de données   │</w:t>
        <w:br/>
      </w:r>
      <w:r>
        <w:rPr>
          <w:rFonts w:ascii="Consolas" w:hAnsi="Consolas" w:cs="Consolas"/>
          <w:color w:val="333333"/>
          <w:sz w:val="15"/>
        </w:rPr>
        <w:t xml:space="preserve"> └───────────────────────────────────────────────────────────────────┘</w:t>
      </w:r>
    </w:p>
    <w:p>
      <w:r>
        <w:rPr>
          <w:rFonts w:ascii="Calibri" w:hAnsi="Calibri"/>
          <w:b w:val="0"/>
          <w:i w:val="0"/>
          <w:color w:val="333333"/>
          <w:sz w:val="20"/>
        </w:rPr>
        <w:t>Aucun contrôle n'est pris isolément. Le plafond (N4) borne la perte qu'un collecteur compromis (N1/N3) peut causer ; la piste d'audit (N6) la rend détectable ; la confirmation de versement (N4) la rend récupérable.</w:t>
      </w:r>
    </w:p>
    <w:p>
      <w:pPr>
        <w:pStyle w:val="Heading1"/>
        <w:pageBreakBefore/>
        <w:spacing w:before="360" w:after="80"/>
        <w:keepNext/>
        <w:pBdr>
          <w:bottom w:val="single" w:sz="8" w:space="6" w:color="1B3A5C"/>
        </w:pBdr>
      </w:pPr>
      <w:bookmarkStart w:id="113" w:name="_Toc_s012"/>
      <w:r>
        <w:rPr>
          <w:rFonts w:ascii="Calibri" w:hAnsi="Calibri"/>
          <w:b/>
          <w:color w:val="1B3A5C"/>
          <w:sz w:val="30"/>
        </w:rPr>
        <w:t>5. Gestion des identités et des accès</w:t>
      </w:r>
      <w:bookmarkEnd w:id="113"/>
    </w:p>
    <w:p>
      <w:pPr>
        <w:pStyle w:val="Heading2"/>
        <w:spacing w:before="280" w:after="80"/>
        <w:keepNext/>
      </w:pPr>
      <w:bookmarkStart w:id="114" w:name="_Toc_s013"/>
      <w:r>
        <w:rPr>
          <w:rFonts w:ascii="Calibri" w:hAnsi="Calibri"/>
          <w:b/>
          <w:color w:val="1B3A5C"/>
          <w:sz w:val="24"/>
        </w:rPr>
        <w:t>5.1 Utilisateurs back-office</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Authentification</w:t>
            </w:r>
          </w:p>
        </w:tc>
        <w:tc>
          <w:tcPr>
            <w:tcW w:type="dxa" w:w="4873"/>
          </w:tcPr>
          <w:p>
            <w:pPr>
              <w:spacing w:before="40" w:after="40"/>
            </w:pPr>
            <w:r>
              <w:rPr>
                <w:rFonts w:ascii="Calibri" w:hAnsi="Calibri"/>
                <w:b w:val="0"/>
                <w:i w:val="0"/>
                <w:color w:val="333333"/>
                <w:sz w:val="17"/>
              </w:rPr>
              <w:t>Identifiant/courriel + mot de passe sur HTTPS</w:t>
            </w:r>
          </w:p>
        </w:tc>
      </w:tr>
      <w:tr>
        <w:tc>
          <w:tcPr>
            <w:tcW w:type="dxa" w:w="4873"/>
            <w:shd w:val="clear" w:fill="F2F6FA"/>
          </w:tcPr>
          <w:p>
            <w:pPr>
              <w:spacing w:before="40" w:after="40"/>
            </w:pPr>
            <w:r>
              <w:rPr>
                <w:rFonts w:ascii="Calibri" w:hAnsi="Calibri"/>
                <w:b w:val="0"/>
                <w:i w:val="0"/>
                <w:color w:val="333333"/>
                <w:sz w:val="17"/>
              </w:rPr>
              <w:t>Stockage des mots de passe</w:t>
            </w:r>
          </w:p>
        </w:tc>
        <w:tc>
          <w:tcPr>
            <w:tcW w:type="dxa" w:w="4873"/>
            <w:shd w:val="clear" w:fill="F2F6FA"/>
          </w:tcPr>
          <w:p>
            <w:pPr>
              <w:spacing w:before="40" w:after="40"/>
            </w:pPr>
            <w:r>
              <w:rPr>
                <w:rFonts w:ascii="Calibri" w:hAnsi="Calibri"/>
                <w:b w:val="0"/>
                <w:i w:val="0"/>
                <w:color w:val="333333"/>
                <w:sz w:val="17"/>
              </w:rPr>
              <w:t>bcrypt avec sel par mot de passe ; jamais réversible, jamais journalisé</w:t>
            </w:r>
          </w:p>
        </w:tc>
      </w:tr>
      <w:tr>
        <w:tc>
          <w:tcPr>
            <w:tcW w:type="dxa" w:w="4873"/>
          </w:tcPr>
          <w:p>
            <w:pPr>
              <w:spacing w:before="40" w:after="40"/>
            </w:pPr>
            <w:r>
              <w:rPr>
                <w:rFonts w:ascii="Calibri" w:hAnsi="Calibri"/>
                <w:b w:val="0"/>
                <w:i w:val="0"/>
                <w:color w:val="333333"/>
                <w:sz w:val="17"/>
              </w:rPr>
              <w:t>Politique de mot de passe</w:t>
            </w:r>
          </w:p>
        </w:tc>
        <w:tc>
          <w:tcPr>
            <w:tcW w:type="dxa" w:w="4873"/>
          </w:tcPr>
          <w:p>
            <w:pPr>
              <w:spacing w:before="40" w:after="40"/>
            </w:pPr>
            <w:r>
              <w:rPr>
                <w:rFonts w:ascii="Calibri" w:hAnsi="Calibri"/>
                <w:b w:val="0"/>
                <w:i w:val="0"/>
                <w:color w:val="333333"/>
                <w:sz w:val="17"/>
              </w:rPr>
              <w:t>12 caractères minimum, trois classes de caractères, blocage sur liste de mots de passe courants, pas de réutilisation des 5 derniers, expiration paramétrable (90 jours par défaut pour les profils privilégiés)</w:t>
            </w:r>
          </w:p>
        </w:tc>
      </w:tr>
      <w:tr>
        <w:tc>
          <w:tcPr>
            <w:tcW w:type="dxa" w:w="4873"/>
            <w:shd w:val="clear" w:fill="F2F6FA"/>
          </w:tcPr>
          <w:p>
            <w:pPr>
              <w:spacing w:before="40" w:after="40"/>
            </w:pPr>
            <w:r>
              <w:rPr>
                <w:rFonts w:ascii="Calibri" w:hAnsi="Calibri"/>
                <w:b w:val="0"/>
                <w:i w:val="0"/>
                <w:color w:val="333333"/>
                <w:sz w:val="17"/>
              </w:rPr>
              <w:t>Première connexion</w:t>
            </w:r>
          </w:p>
        </w:tc>
        <w:tc>
          <w:tcPr>
            <w:tcW w:type="dxa" w:w="4873"/>
            <w:shd w:val="clear" w:fill="F2F6FA"/>
          </w:tcPr>
          <w:p>
            <w:pPr>
              <w:spacing w:before="40" w:after="40"/>
            </w:pPr>
            <w:r>
              <w:rPr>
                <w:rFonts w:ascii="Calibri" w:hAnsi="Calibri"/>
                <w:b w:val="0"/>
                <w:i w:val="0"/>
                <w:color w:val="333333"/>
                <w:sz w:val="17"/>
              </w:rPr>
              <w:t>Changement de mot de passe imposé</w:t>
            </w:r>
          </w:p>
        </w:tc>
      </w:tr>
      <w:tr>
        <w:tc>
          <w:tcPr>
            <w:tcW w:type="dxa" w:w="4873"/>
          </w:tcPr>
          <w:p>
            <w:pPr>
              <w:spacing w:before="40" w:after="40"/>
            </w:pPr>
            <w:r>
              <w:rPr>
                <w:rFonts w:ascii="Calibri" w:hAnsi="Calibri"/>
                <w:b w:val="0"/>
                <w:i w:val="0"/>
                <w:color w:val="333333"/>
                <w:sz w:val="17"/>
              </w:rPr>
              <w:t>Tentatives échouées</w:t>
            </w:r>
          </w:p>
        </w:tc>
        <w:tc>
          <w:tcPr>
            <w:tcW w:type="dxa" w:w="4873"/>
          </w:tcPr>
          <w:p>
            <w:pPr>
              <w:spacing w:before="40" w:after="40"/>
            </w:pPr>
            <w:r>
              <w:rPr>
                <w:rFonts w:ascii="Calibri" w:hAnsi="Calibri"/>
                <w:b w:val="0"/>
                <w:i w:val="0"/>
                <w:color w:val="333333"/>
                <w:sz w:val="17"/>
              </w:rPr>
              <w:t>Temporisation progressive puis verrouillage temporaire ; alerte à l'administrateur</w:t>
            </w:r>
          </w:p>
        </w:tc>
      </w:tr>
      <w:tr>
        <w:tc>
          <w:tcPr>
            <w:tcW w:type="dxa" w:w="4873"/>
            <w:shd w:val="clear" w:fill="F2F6FA"/>
          </w:tcPr>
          <w:p>
            <w:pPr>
              <w:spacing w:before="40" w:after="40"/>
            </w:pPr>
            <w:r>
              <w:rPr>
                <w:rFonts w:ascii="Calibri" w:hAnsi="Calibri"/>
                <w:b/>
                <w:i w:val="0"/>
                <w:color w:val="333333"/>
                <w:sz w:val="17"/>
              </w:rPr>
              <w:t>Authentification multifacteur</w:t>
            </w:r>
          </w:p>
        </w:tc>
        <w:tc>
          <w:tcPr>
            <w:tcW w:type="dxa" w:w="4873"/>
            <w:shd w:val="clear" w:fill="F2F6FA"/>
          </w:tcPr>
          <w:p>
            <w:pPr>
              <w:spacing w:before="40" w:after="40"/>
            </w:pPr>
            <w:r>
              <w:rPr>
                <w:rFonts w:ascii="Calibri" w:hAnsi="Calibri"/>
                <w:b/>
                <w:i w:val="0"/>
                <w:color w:val="333333"/>
                <w:sz w:val="17"/>
              </w:rPr>
              <w:t>Obligatoire pour les profils Administrateur et DSI</w:t>
            </w:r>
            <w:r>
              <w:rPr>
                <w:rFonts w:ascii="Calibri" w:hAnsi="Calibri"/>
                <w:b w:val="0"/>
                <w:i w:val="0"/>
                <w:color w:val="333333"/>
                <w:sz w:val="17"/>
              </w:rPr>
              <w:t xml:space="preserve"> ; application TOTP ou code SMS. Voir §12 point H-5</w:t>
            </w:r>
          </w:p>
        </w:tc>
      </w:tr>
      <w:tr>
        <w:tc>
          <w:tcPr>
            <w:tcW w:type="dxa" w:w="4873"/>
          </w:tcPr>
          <w:p>
            <w:pPr>
              <w:spacing w:before="40" w:after="40"/>
            </w:pPr>
            <w:r>
              <w:rPr>
                <w:rFonts w:ascii="Calibri" w:hAnsi="Calibri"/>
                <w:b w:val="0"/>
                <w:i w:val="0"/>
                <w:color w:val="333333"/>
                <w:sz w:val="17"/>
              </w:rPr>
              <w:t>Session</w:t>
            </w:r>
          </w:p>
        </w:tc>
        <w:tc>
          <w:tcPr>
            <w:tcW w:type="dxa" w:w="4873"/>
          </w:tcPr>
          <w:p>
            <w:pPr>
              <w:spacing w:before="40" w:after="40"/>
            </w:pPr>
            <w:r>
              <w:rPr>
                <w:rFonts w:ascii="Calibri" w:hAnsi="Calibri"/>
                <w:b w:val="0"/>
                <w:i w:val="0"/>
                <w:color w:val="333333"/>
                <w:sz w:val="17"/>
              </w:rPr>
              <w:t>Expiration sur inactivité (15 min par défaut pour les profils privilégiés, 30 min sinon) ; durée de vie absolue ; session régénérée à la connexion ; cookies secure, HttpOnly, SameSite</w:t>
            </w:r>
          </w:p>
        </w:tc>
      </w:tr>
      <w:tr>
        <w:tc>
          <w:tcPr>
            <w:tcW w:type="dxa" w:w="4873"/>
            <w:shd w:val="clear" w:fill="F2F6FA"/>
          </w:tcPr>
          <w:p>
            <w:pPr>
              <w:spacing w:before="40" w:after="40"/>
            </w:pPr>
            <w:r>
              <w:rPr>
                <w:rFonts w:ascii="Calibri" w:hAnsi="Calibri"/>
                <w:b w:val="0"/>
                <w:i w:val="0"/>
                <w:color w:val="333333"/>
                <w:sz w:val="17"/>
              </w:rPr>
              <w:t>Désactivation</w:t>
            </w:r>
          </w:p>
        </w:tc>
        <w:tc>
          <w:tcPr>
            <w:tcW w:type="dxa" w:w="4873"/>
            <w:shd w:val="clear" w:fill="F2F6FA"/>
          </w:tcPr>
          <w:p>
            <w:pPr>
              <w:spacing w:before="40" w:after="40"/>
            </w:pPr>
            <w:r>
              <w:rPr>
                <w:rFonts w:ascii="Calibri" w:hAnsi="Calibri"/>
                <w:b w:val="0"/>
                <w:i w:val="0"/>
                <w:color w:val="333333"/>
                <w:sz w:val="17"/>
              </w:rPr>
              <w:t>Immédiate au départ ; les comptes sont désactivés, jamais supprimés, afin de préserver la piste d'audit</w:t>
            </w:r>
          </w:p>
        </w:tc>
      </w:tr>
      <w:tr>
        <w:tc>
          <w:tcPr>
            <w:tcW w:type="dxa" w:w="4873"/>
          </w:tcPr>
          <w:p>
            <w:pPr>
              <w:spacing w:before="40" w:after="40"/>
            </w:pPr>
            <w:r>
              <w:rPr>
                <w:rFonts w:ascii="Calibri" w:hAnsi="Calibri"/>
                <w:b w:val="0"/>
                <w:i w:val="0"/>
                <w:color w:val="333333"/>
                <w:sz w:val="17"/>
              </w:rPr>
              <w:t>Revue</w:t>
            </w:r>
          </w:p>
        </w:tc>
        <w:tc>
          <w:tcPr>
            <w:tcW w:type="dxa" w:w="4873"/>
          </w:tcPr>
          <w:p>
            <w:pPr>
              <w:spacing w:before="40" w:after="40"/>
            </w:pPr>
            <w:r>
              <w:rPr>
                <w:rFonts w:ascii="Calibri" w:hAnsi="Calibri"/>
                <w:b w:val="0"/>
                <w:i w:val="0"/>
                <w:color w:val="333333"/>
                <w:sz w:val="17"/>
              </w:rPr>
              <w:t>Revue trimestrielle des comptes et habilitations par SUNU (§14.2)</w:t>
            </w:r>
          </w:p>
        </w:tc>
      </w:tr>
    </w:tbl>
    <w:p>
      <w:pPr>
        <w:spacing w:after="40"/>
      </w:pPr>
    </w:p>
    <w:p>
      <w:pPr>
        <w:pStyle w:val="Heading2"/>
        <w:spacing w:before="280" w:after="80"/>
        <w:keepNext/>
      </w:pPr>
      <w:bookmarkStart w:id="115" w:name="_Toc_s014"/>
      <w:r>
        <w:rPr>
          <w:rFonts w:ascii="Calibri" w:hAnsi="Calibri"/>
          <w:b/>
          <w:color w:val="1B3A5C"/>
          <w:sz w:val="24"/>
        </w:rPr>
        <w:t>5.2 Contrôle d'accès fondé sur les rôles</w:t>
      </w:r>
      <w:bookmarkEnd w:id="115"/>
    </w:p>
    <w:p>
      <w:r>
        <w:rPr>
          <w:rFonts w:ascii="Calibri" w:hAnsi="Calibri"/>
          <w:b w:val="0"/>
          <w:i w:val="0"/>
          <w:color w:val="333333"/>
          <w:sz w:val="20"/>
        </w:rPr>
        <w:t>La plateforme met en œuvre des habilitations granulaires regroupées en rôles, attribuables globalement ou par unité d'exploitation. Profils définis pour SUNU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Profil</w:t>
            </w:r>
          </w:p>
        </w:tc>
        <w:tc>
          <w:tcPr>
            <w:tcW w:type="dxa" w:w="2436"/>
            <w:shd w:val="clear" w:fill="1B3A5C"/>
          </w:tcPr>
          <w:p>
            <w:pPr>
              <w:spacing w:before="60" w:after="60"/>
            </w:pPr>
            <w:r>
              <w:rPr>
                <w:rFonts w:ascii="Calibri" w:hAnsi="Calibri"/>
                <w:b/>
                <w:color w:val="FFFFFF"/>
                <w:sz w:val="17"/>
              </w:rPr>
              <w:t>Rôle</w:t>
            </w:r>
          </w:p>
        </w:tc>
        <w:tc>
          <w:tcPr>
            <w:tcW w:type="dxa" w:w="2436"/>
            <w:shd w:val="clear" w:fill="1B3A5C"/>
          </w:tcPr>
          <w:p>
            <w:pPr>
              <w:spacing w:before="60" w:after="60"/>
            </w:pPr>
            <w:r>
              <w:rPr>
                <w:rFonts w:ascii="Calibri" w:hAnsi="Calibri"/>
                <w:b/>
                <w:color w:val="FFFFFF"/>
                <w:sz w:val="17"/>
              </w:rPr>
              <w:t>Habilitations notables</w:t>
            </w:r>
          </w:p>
        </w:tc>
        <w:tc>
          <w:tcPr>
            <w:tcW w:type="dxa" w:w="2436"/>
            <w:shd w:val="clear" w:fill="1B3A5C"/>
          </w:tcPr>
          <w:p>
            <w:pPr>
              <w:spacing w:before="60" w:after="60"/>
            </w:pPr>
            <w:r>
              <w:rPr>
                <w:rFonts w:ascii="Calibri" w:hAnsi="Calibri"/>
                <w:b/>
                <w:color w:val="FFFFFF"/>
                <w:sz w:val="17"/>
              </w:rPr>
              <w:t>Explicitement refusé</w:t>
            </w:r>
          </w:p>
        </w:tc>
      </w:tr>
      <w:tr>
        <w:tc>
          <w:tcPr>
            <w:tcW w:type="dxa" w:w="2436"/>
          </w:tcPr>
          <w:p>
            <w:pPr>
              <w:spacing w:before="40" w:after="40"/>
            </w:pPr>
            <w:r>
              <w:rPr>
                <w:rFonts w:ascii="Calibri" w:hAnsi="Calibri"/>
                <w:b/>
                <w:i w:val="0"/>
                <w:color w:val="333333"/>
                <w:sz w:val="17"/>
              </w:rPr>
              <w:t>Agent collecteur (TPE)</w:t>
            </w:r>
          </w:p>
        </w:tc>
        <w:tc>
          <w:tcPr>
            <w:tcW w:type="dxa" w:w="2436"/>
          </w:tcPr>
          <w:p>
            <w:pPr>
              <w:spacing w:before="40" w:after="40"/>
            </w:pPr>
            <w:r>
              <w:rPr>
                <w:rFonts w:ascii="Calibri" w:hAnsi="Calibri"/>
                <w:b w:val="0"/>
                <w:i w:val="0"/>
                <w:color w:val="333333"/>
                <w:sz w:val="17"/>
              </w:rPr>
              <w:t>Encaissement terrain</w:t>
            </w:r>
          </w:p>
        </w:tc>
        <w:tc>
          <w:tcPr>
            <w:tcW w:type="dxa" w:w="2436"/>
          </w:tcPr>
          <w:p>
            <w:pPr>
              <w:spacing w:before="40" w:after="40"/>
            </w:pPr>
            <w:r>
              <w:rPr>
                <w:rFonts w:ascii="Calibri" w:hAnsi="Calibri"/>
                <w:b w:val="0"/>
                <w:i w:val="0"/>
                <w:color w:val="333333"/>
                <w:sz w:val="17"/>
              </w:rPr>
              <w:t>Souscrire, encaisser une prime, déclarer un versement, imprimer/réimprimer ses propres reçus, consulter ses encaissements</w:t>
            </w:r>
          </w:p>
        </w:tc>
        <w:tc>
          <w:tcPr>
            <w:tcW w:type="dxa" w:w="2436"/>
          </w:tcPr>
          <w:p>
            <w:pPr>
              <w:spacing w:before="40" w:after="40"/>
            </w:pPr>
            <w:r>
              <w:rPr>
                <w:rFonts w:ascii="Calibri" w:hAnsi="Calibri"/>
                <w:b w:val="0"/>
                <w:i w:val="0"/>
                <w:color w:val="333333"/>
                <w:sz w:val="17"/>
              </w:rPr>
              <w:t>Tout accès back-office ; consultation des données d'autres agents ; confirmation d'un versement ; modification d'un encaissement</w:t>
            </w:r>
          </w:p>
        </w:tc>
      </w:tr>
      <w:tr>
        <w:tc>
          <w:tcPr>
            <w:tcW w:type="dxa" w:w="2436"/>
            <w:shd w:val="clear" w:fill="F2F6FA"/>
          </w:tcPr>
          <w:p>
            <w:pPr>
              <w:spacing w:before="40" w:after="40"/>
            </w:pPr>
            <w:r>
              <w:rPr>
                <w:rFonts w:ascii="Calibri" w:hAnsi="Calibri"/>
                <w:b/>
                <w:i w:val="0"/>
                <w:color w:val="333333"/>
                <w:sz w:val="17"/>
              </w:rPr>
              <w:t>Agent back-office</w:t>
            </w:r>
          </w:p>
        </w:tc>
        <w:tc>
          <w:tcPr>
            <w:tcW w:type="dxa" w:w="2436"/>
            <w:shd w:val="clear" w:fill="F2F6FA"/>
          </w:tcPr>
          <w:p>
            <w:pPr>
              <w:spacing w:before="40" w:after="40"/>
            </w:pPr>
            <w:r>
              <w:rPr>
                <w:rFonts w:ascii="Calibri" w:hAnsi="Calibri"/>
                <w:b w:val="0"/>
                <w:i w:val="0"/>
                <w:color w:val="333333"/>
                <w:sz w:val="17"/>
              </w:rPr>
              <w:t>Traitement quotidien</w:t>
            </w:r>
          </w:p>
        </w:tc>
        <w:tc>
          <w:tcPr>
            <w:tcW w:type="dxa" w:w="2436"/>
            <w:shd w:val="clear" w:fill="F2F6FA"/>
          </w:tcPr>
          <w:p>
            <w:pPr>
              <w:spacing w:before="40" w:after="40"/>
            </w:pPr>
            <w:r>
              <w:rPr>
                <w:rFonts w:ascii="Calibri" w:hAnsi="Calibri"/>
                <w:b w:val="0"/>
                <w:i w:val="0"/>
                <w:color w:val="333333"/>
                <w:sz w:val="17"/>
              </w:rPr>
              <w:t>Revoir les propositions, consulter tous les encaissements, générer et télécharger les exports, gérer les dossiers des assurés</w:t>
            </w:r>
          </w:p>
        </w:tc>
        <w:tc>
          <w:tcPr>
            <w:tcW w:type="dxa" w:w="2436"/>
            <w:shd w:val="clear" w:fill="F2F6FA"/>
          </w:tcPr>
          <w:p>
            <w:pPr>
              <w:spacing w:before="40" w:after="40"/>
            </w:pPr>
            <w:r>
              <w:rPr>
                <w:rFonts w:ascii="Calibri" w:hAnsi="Calibri"/>
                <w:b w:val="0"/>
                <w:i w:val="0"/>
                <w:color w:val="333333"/>
                <w:sz w:val="17"/>
              </w:rPr>
              <w:t>Confirmation des versements ; gestion des utilisateurs ; modification des plafonds ou des frais</w:t>
            </w:r>
          </w:p>
        </w:tc>
      </w:tr>
      <w:tr>
        <w:tc>
          <w:tcPr>
            <w:tcW w:type="dxa" w:w="2436"/>
          </w:tcPr>
          <w:p>
            <w:pPr>
              <w:spacing w:before="40" w:after="40"/>
            </w:pPr>
            <w:r>
              <w:rPr>
                <w:rFonts w:ascii="Calibri" w:hAnsi="Calibri"/>
                <w:b/>
                <w:i w:val="0"/>
                <w:color w:val="333333"/>
                <w:sz w:val="17"/>
              </w:rPr>
              <w:t>Superviseur / Contrôleur</w:t>
            </w:r>
          </w:p>
        </w:tc>
        <w:tc>
          <w:tcPr>
            <w:tcW w:type="dxa" w:w="2436"/>
          </w:tcPr>
          <w:p>
            <w:pPr>
              <w:spacing w:before="40" w:after="40"/>
            </w:pPr>
            <w:r>
              <w:rPr>
                <w:rFonts w:ascii="Calibri" w:hAnsi="Calibri"/>
                <w:b w:val="0"/>
                <w:i w:val="0"/>
                <w:color w:val="333333"/>
                <w:sz w:val="17"/>
              </w:rPr>
              <w:t>Contrôle financier</w:t>
            </w:r>
          </w:p>
        </w:tc>
        <w:tc>
          <w:tcPr>
            <w:tcW w:type="dxa" w:w="2436"/>
          </w:tcPr>
          <w:p>
            <w:pPr>
              <w:spacing w:before="40" w:after="40"/>
            </w:pPr>
            <w:r>
              <w:rPr>
                <w:rFonts w:ascii="Calibri" w:hAnsi="Calibri"/>
                <w:b w:val="0"/>
                <w:i w:val="0"/>
                <w:color w:val="333333"/>
                <w:sz w:val="17"/>
              </w:rPr>
              <w:t>Confirmer les versements, consulter plafonds et soldes, traiter les files d'anomalies, effectuer les rapprochements</w:t>
            </w:r>
          </w:p>
        </w:tc>
        <w:tc>
          <w:tcPr>
            <w:tcW w:type="dxa" w:w="2436"/>
          </w:tcPr>
          <w:p>
            <w:pPr>
              <w:spacing w:before="40" w:after="40"/>
            </w:pPr>
            <w:r>
              <w:rPr>
                <w:rFonts w:ascii="Calibri" w:hAnsi="Calibri"/>
                <w:b w:val="0"/>
                <w:i w:val="0"/>
                <w:color w:val="333333"/>
                <w:sz w:val="17"/>
              </w:rPr>
              <w:t>Gestion des utilisateurs ; modification de la configuration système</w:t>
            </w:r>
          </w:p>
        </w:tc>
      </w:tr>
      <w:tr>
        <w:tc>
          <w:tcPr>
            <w:tcW w:type="dxa" w:w="2436"/>
            <w:shd w:val="clear" w:fill="F2F6FA"/>
          </w:tcPr>
          <w:p>
            <w:pPr>
              <w:spacing w:before="40" w:after="40"/>
            </w:pPr>
            <w:r>
              <w:rPr>
                <w:rFonts w:ascii="Calibri" w:hAnsi="Calibri"/>
                <w:b/>
                <w:i w:val="0"/>
                <w:color w:val="333333"/>
                <w:sz w:val="17"/>
              </w:rPr>
              <w:t>Agent d'émission des cartes</w:t>
            </w:r>
          </w:p>
        </w:tc>
        <w:tc>
          <w:tcPr>
            <w:tcW w:type="dxa" w:w="2436"/>
            <w:shd w:val="clear" w:fill="F2F6FA"/>
          </w:tcPr>
          <w:p>
            <w:pPr>
              <w:spacing w:before="40" w:after="40"/>
            </w:pPr>
            <w:r>
              <w:rPr>
                <w:rFonts w:ascii="Calibri" w:hAnsi="Calibri"/>
                <w:b w:val="0"/>
                <w:i w:val="0"/>
                <w:color w:val="333333"/>
                <w:sz w:val="17"/>
              </w:rPr>
              <w:t>Chaîne carte</w:t>
            </w:r>
          </w:p>
        </w:tc>
        <w:tc>
          <w:tcPr>
            <w:tcW w:type="dxa" w:w="2436"/>
            <w:shd w:val="clear" w:fill="F2F6FA"/>
          </w:tcPr>
          <w:p>
            <w:pPr>
              <w:spacing w:before="40" w:after="40"/>
            </w:pPr>
            <w:r>
              <w:rPr>
                <w:rFonts w:ascii="Calibri" w:hAnsi="Calibri"/>
                <w:b w:val="0"/>
                <w:i w:val="0"/>
                <w:color w:val="333333"/>
                <w:sz w:val="17"/>
              </w:rPr>
              <w:t>Affecter des cartes, générer les fichiers de personnalisation, marquer les cartes comme écrites, bloquer/remplacer</w:t>
            </w:r>
          </w:p>
        </w:tc>
        <w:tc>
          <w:tcPr>
            <w:tcW w:type="dxa" w:w="2436"/>
            <w:shd w:val="clear" w:fill="F2F6FA"/>
          </w:tcPr>
          <w:p>
            <w:pPr>
              <w:spacing w:before="40" w:after="40"/>
            </w:pPr>
            <w:r>
              <w:rPr>
                <w:rFonts w:ascii="Calibri" w:hAnsi="Calibri"/>
                <w:b w:val="0"/>
                <w:i w:val="0"/>
                <w:color w:val="333333"/>
                <w:sz w:val="17"/>
              </w:rPr>
              <w:t>Opérations financières ; gestion des utilisateurs</w:t>
            </w:r>
          </w:p>
        </w:tc>
      </w:tr>
      <w:tr>
        <w:tc>
          <w:tcPr>
            <w:tcW w:type="dxa" w:w="2436"/>
          </w:tcPr>
          <w:p>
            <w:pPr>
              <w:spacing w:before="40" w:after="40"/>
            </w:pPr>
            <w:r>
              <w:rPr>
                <w:rFonts w:ascii="Calibri" w:hAnsi="Calibri"/>
                <w:b/>
                <w:i w:val="0"/>
                <w:color w:val="333333"/>
                <w:sz w:val="17"/>
              </w:rPr>
              <w:t>Administrateur (SUNU)</w:t>
            </w:r>
          </w:p>
        </w:tc>
        <w:tc>
          <w:tcPr>
            <w:tcW w:type="dxa" w:w="2436"/>
          </w:tcPr>
          <w:p>
            <w:pPr>
              <w:spacing w:before="40" w:after="40"/>
            </w:pPr>
            <w:r>
              <w:rPr>
                <w:rFonts w:ascii="Calibri" w:hAnsi="Calibri"/>
                <w:b w:val="0"/>
                <w:i w:val="0"/>
                <w:color w:val="333333"/>
                <w:sz w:val="17"/>
              </w:rPr>
              <w:t>Configuration</w:t>
            </w:r>
          </w:p>
        </w:tc>
        <w:tc>
          <w:tcPr>
            <w:tcW w:type="dxa" w:w="2436"/>
          </w:tcPr>
          <w:p>
            <w:pPr>
              <w:spacing w:before="40" w:after="40"/>
            </w:pPr>
            <w:r>
              <w:rPr>
                <w:rFonts w:ascii="Calibri" w:hAnsi="Calibri"/>
                <w:b w:val="0"/>
                <w:i w:val="0"/>
                <w:color w:val="333333"/>
                <w:sz w:val="17"/>
              </w:rPr>
              <w:t>Gérer utilisateurs, rôles, agents, terminaux, produits, plafonds, frais</w:t>
            </w:r>
          </w:p>
        </w:tc>
        <w:tc>
          <w:tcPr>
            <w:tcW w:type="dxa" w:w="2436"/>
          </w:tcPr>
          <w:p>
            <w:pPr>
              <w:spacing w:before="40" w:after="40"/>
            </w:pPr>
            <w:r>
              <w:rPr>
                <w:rFonts w:ascii="Calibri" w:hAnsi="Calibri"/>
                <w:b w:val="0"/>
                <w:i w:val="0"/>
                <w:color w:val="333333"/>
                <w:sz w:val="17"/>
              </w:rPr>
              <w:t>Accès direct à la base ; suppression d'enregistrements d'audit</w:t>
            </w:r>
          </w:p>
        </w:tc>
      </w:tr>
      <w:tr>
        <w:tc>
          <w:tcPr>
            <w:tcW w:type="dxa" w:w="2436"/>
            <w:shd w:val="clear" w:fill="F2F6FA"/>
          </w:tcPr>
          <w:p>
            <w:pPr>
              <w:spacing w:before="40" w:after="40"/>
            </w:pPr>
            <w:r>
              <w:rPr>
                <w:rFonts w:ascii="Calibri" w:hAnsi="Calibri"/>
                <w:b/>
                <w:i w:val="0"/>
                <w:color w:val="333333"/>
                <w:sz w:val="17"/>
              </w:rPr>
              <w:t>DSI / Super administrateur</w:t>
            </w:r>
          </w:p>
        </w:tc>
        <w:tc>
          <w:tcPr>
            <w:tcW w:type="dxa" w:w="2436"/>
            <w:shd w:val="clear" w:fill="F2F6FA"/>
          </w:tcPr>
          <w:p>
            <w:pPr>
              <w:spacing w:before="40" w:after="40"/>
            </w:pPr>
            <w:r>
              <w:rPr>
                <w:rFonts w:ascii="Calibri" w:hAnsi="Calibri"/>
                <w:b w:val="0"/>
                <w:i w:val="0"/>
                <w:color w:val="333333"/>
                <w:sz w:val="17"/>
              </w:rPr>
              <w:t>Technique</w:t>
            </w:r>
          </w:p>
        </w:tc>
        <w:tc>
          <w:tcPr>
            <w:tcW w:type="dxa" w:w="2436"/>
            <w:shd w:val="clear" w:fill="F2F6FA"/>
          </w:tcPr>
          <w:p>
            <w:pPr>
              <w:spacing w:before="40" w:after="40"/>
            </w:pPr>
            <w:r>
              <w:rPr>
                <w:rFonts w:ascii="Calibri" w:hAnsi="Calibri"/>
                <w:b w:val="0"/>
                <w:i w:val="0"/>
                <w:color w:val="333333"/>
                <w:sz w:val="17"/>
              </w:rPr>
              <w:t>Configuration des environnements, intégrations, identifiants, supervision technique</w:t>
            </w:r>
          </w:p>
        </w:tc>
        <w:tc>
          <w:tcPr>
            <w:tcW w:type="dxa" w:w="2436"/>
            <w:shd w:val="clear" w:fill="F2F6FA"/>
          </w:tcPr>
          <w:p>
            <w:pPr>
              <w:spacing w:before="40" w:after="40"/>
            </w:pPr>
            <w:r>
              <w:rPr>
                <w:rFonts w:ascii="Calibri" w:hAnsi="Calibri"/>
                <w:b w:val="0"/>
                <w:i/>
                <w:color w:val="333333"/>
                <w:sz w:val="17"/>
              </w:rPr>
              <w:t>Configuré sans habilitation de confirmation des versements</w:t>
            </w:r>
            <w:r>
              <w:rPr>
                <w:rFonts w:ascii="Calibri" w:hAnsi="Calibri"/>
                <w:b w:val="0"/>
                <w:i w:val="0"/>
                <w:color w:val="333333"/>
                <w:sz w:val="17"/>
              </w:rPr>
              <w:t xml:space="preserve"> — le pouvoir technique ne doit pas égaler le pouvoir financier</w:t>
            </w:r>
          </w:p>
        </w:tc>
      </w:tr>
    </w:tbl>
    <w:p>
      <w:pPr>
        <w:spacing w:after="40"/>
      </w:pPr>
    </w:p>
    <w:p>
      <w:r>
        <w:rPr>
          <w:rFonts w:ascii="Calibri" w:hAnsi="Calibri"/>
          <w:b/>
          <w:i w:val="0"/>
          <w:color w:val="333333"/>
          <w:sz w:val="20"/>
        </w:rPr>
        <w:t>Principe appliqué de bout en bout : séparation entre celui qui encaisse, celui qui confirme et celui qui configure.</w:t>
      </w:r>
      <w:r>
        <w:rPr>
          <w:rFonts w:ascii="Calibri" w:hAnsi="Calibri"/>
          <w:b w:val="0"/>
          <w:i w:val="0"/>
          <w:color w:val="333333"/>
          <w:sz w:val="20"/>
        </w:rPr>
        <w:t xml:space="preserve"> Aucun profil ne détient les trois.</w:t>
      </w:r>
    </w:p>
    <w:p>
      <w:pPr>
        <w:pStyle w:val="Heading2"/>
        <w:spacing w:before="280" w:after="80"/>
        <w:keepNext/>
      </w:pPr>
      <w:bookmarkStart w:id="116" w:name="_Toc_s015"/>
      <w:r>
        <w:rPr>
          <w:rFonts w:ascii="Calibri" w:hAnsi="Calibri"/>
          <w:b/>
          <w:color w:val="1B3A5C"/>
          <w:sz w:val="24"/>
        </w:rPr>
        <w:t>5.3 Authentification du collecteur sur le TPE</w:t>
      </w:r>
      <w:bookmarkEnd w:id="11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Justificatif</w:t>
            </w:r>
          </w:p>
        </w:tc>
        <w:tc>
          <w:tcPr>
            <w:tcW w:type="dxa" w:w="4873"/>
          </w:tcPr>
          <w:p>
            <w:pPr>
              <w:spacing w:before="40" w:after="40"/>
            </w:pPr>
            <w:r>
              <w:rPr>
                <w:rFonts w:ascii="Calibri" w:hAnsi="Calibri"/>
                <w:b w:val="0"/>
                <w:i w:val="0"/>
                <w:color w:val="333333"/>
                <w:sz w:val="17"/>
              </w:rPr>
              <w:t>Identifiant individuel + mot de passe/code, vérifié côté serveur contre l'empreinte bcrypt</w:t>
            </w:r>
          </w:p>
        </w:tc>
      </w:tr>
      <w:tr>
        <w:tc>
          <w:tcPr>
            <w:tcW w:type="dxa" w:w="4873"/>
            <w:shd w:val="clear" w:fill="F2F6FA"/>
          </w:tcPr>
          <w:p>
            <w:pPr>
              <w:spacing w:before="40" w:after="40"/>
            </w:pPr>
            <w:r>
              <w:rPr>
                <w:rFonts w:ascii="Calibri" w:hAnsi="Calibri"/>
                <w:b w:val="0"/>
                <w:i w:val="0"/>
                <w:color w:val="333333"/>
                <w:sz w:val="17"/>
              </w:rPr>
              <w:t>Première utilisation</w:t>
            </w:r>
          </w:p>
        </w:tc>
        <w:tc>
          <w:tcPr>
            <w:tcW w:type="dxa" w:w="4873"/>
            <w:shd w:val="clear" w:fill="F2F6FA"/>
          </w:tcPr>
          <w:p>
            <w:pPr>
              <w:spacing w:before="40" w:after="40"/>
            </w:pPr>
            <w:r>
              <w:rPr>
                <w:rFonts w:ascii="Calibri" w:hAnsi="Calibri"/>
                <w:b w:val="0"/>
                <w:i w:val="0"/>
                <w:color w:val="333333"/>
                <w:sz w:val="17"/>
              </w:rPr>
              <w:t>Changement de code imposé à la première connexion</w:t>
            </w:r>
          </w:p>
        </w:tc>
      </w:tr>
      <w:tr>
        <w:tc>
          <w:tcPr>
            <w:tcW w:type="dxa" w:w="4873"/>
          </w:tcPr>
          <w:p>
            <w:pPr>
              <w:spacing w:before="40" w:after="40"/>
            </w:pPr>
            <w:r>
              <w:rPr>
                <w:rFonts w:ascii="Calibri" w:hAnsi="Calibri"/>
                <w:b w:val="0"/>
                <w:i w:val="0"/>
                <w:color w:val="333333"/>
                <w:sz w:val="17"/>
              </w:rPr>
              <w:t>Jeton de session</w:t>
            </w:r>
          </w:p>
        </w:tc>
        <w:tc>
          <w:tcPr>
            <w:tcW w:type="dxa" w:w="4873"/>
          </w:tcPr>
          <w:p>
            <w:pPr>
              <w:spacing w:before="40" w:after="40"/>
            </w:pPr>
            <w:r>
              <w:rPr>
                <w:rFonts w:ascii="Calibri" w:hAnsi="Calibri"/>
                <w:b w:val="0"/>
                <w:i w:val="0"/>
                <w:color w:val="333333"/>
                <w:sz w:val="17"/>
              </w:rPr>
              <w:t>Jeton signé de courte durée émis à la connexion, renouvelé à l'activité, invalide après l'expiration sur inactivité. Voir §12 point H-2</w:t>
            </w:r>
          </w:p>
        </w:tc>
      </w:tr>
      <w:tr>
        <w:tc>
          <w:tcPr>
            <w:tcW w:type="dxa" w:w="4873"/>
            <w:shd w:val="clear" w:fill="F2F6FA"/>
          </w:tcPr>
          <w:p>
            <w:pPr>
              <w:spacing w:before="40" w:after="40"/>
            </w:pPr>
            <w:r>
              <w:rPr>
                <w:rFonts w:ascii="Calibri" w:hAnsi="Calibri"/>
                <w:b w:val="0"/>
                <w:i w:val="0"/>
                <w:color w:val="333333"/>
                <w:sz w:val="17"/>
              </w:rPr>
              <w:t>Authentification hors ligne</w:t>
            </w:r>
          </w:p>
        </w:tc>
        <w:tc>
          <w:tcPr>
            <w:tcW w:type="dxa" w:w="4873"/>
            <w:shd w:val="clear" w:fill="F2F6FA"/>
          </w:tcPr>
          <w:p>
            <w:pPr>
              <w:spacing w:before="40" w:after="40"/>
            </w:pPr>
            <w:r>
              <w:rPr>
                <w:rFonts w:ascii="Calibri" w:hAnsi="Calibri"/>
                <w:b w:val="0"/>
                <w:i w:val="0"/>
                <w:color w:val="333333"/>
                <w:sz w:val="17"/>
              </w:rPr>
              <w:t>Déverrouillage hors ligne autorisé pendant une période bornée au moyen d'un vérificateur stocké localement ; au-delà, le terminal exige une réauthentification en ligne avant tout nouvel encaissement</w:t>
            </w:r>
          </w:p>
        </w:tc>
      </w:tr>
      <w:tr>
        <w:tc>
          <w:tcPr>
            <w:tcW w:type="dxa" w:w="4873"/>
          </w:tcPr>
          <w:p>
            <w:pPr>
              <w:spacing w:before="40" w:after="40"/>
            </w:pPr>
            <w:r>
              <w:rPr>
                <w:rFonts w:ascii="Calibri" w:hAnsi="Calibri"/>
                <w:b w:val="0"/>
                <w:i w:val="0"/>
                <w:color w:val="333333"/>
                <w:sz w:val="17"/>
              </w:rPr>
              <w:t>Liaison au terminal</w:t>
            </w:r>
          </w:p>
        </w:tc>
        <w:tc>
          <w:tcPr>
            <w:tcW w:type="dxa" w:w="4873"/>
          </w:tcPr>
          <w:p>
            <w:pPr>
              <w:spacing w:before="40" w:after="40"/>
            </w:pPr>
            <w:r>
              <w:rPr>
                <w:rFonts w:ascii="Calibri" w:hAnsi="Calibri"/>
                <w:b w:val="0"/>
                <w:i w:val="0"/>
                <w:color w:val="333333"/>
                <w:sz w:val="17"/>
              </w:rPr>
              <w:t>L'agent est affecté à un terminal déterminé au back-office ; une connexion depuis un terminal non affecté est refusée et donne lieu à alerte. L'identité du terminal est son numéro de série enregistré</w:t>
            </w:r>
          </w:p>
        </w:tc>
      </w:tr>
      <w:tr>
        <w:tc>
          <w:tcPr>
            <w:tcW w:type="dxa" w:w="4873"/>
            <w:shd w:val="clear" w:fill="F2F6FA"/>
          </w:tcPr>
          <w:p>
            <w:pPr>
              <w:spacing w:before="40" w:after="40"/>
            </w:pPr>
            <w:r>
              <w:rPr>
                <w:rFonts w:ascii="Calibri" w:hAnsi="Calibri"/>
                <w:b w:val="0"/>
                <w:i w:val="0"/>
                <w:color w:val="333333"/>
                <w:sz w:val="17"/>
              </w:rPr>
              <w:t>Révocation</w:t>
            </w:r>
          </w:p>
        </w:tc>
        <w:tc>
          <w:tcPr>
            <w:tcW w:type="dxa" w:w="4873"/>
            <w:shd w:val="clear" w:fill="F2F6FA"/>
          </w:tcPr>
          <w:p>
            <w:pPr>
              <w:spacing w:before="40" w:after="40"/>
            </w:pPr>
            <w:r>
              <w:rPr>
                <w:rFonts w:ascii="Calibri" w:hAnsi="Calibri"/>
                <w:b w:val="0"/>
                <w:i w:val="0"/>
                <w:color w:val="333333"/>
                <w:sz w:val="17"/>
              </w:rPr>
              <w:t>La désactivation de l'agent au back-office refuse l'authentification suivante et rejette les synchronisations de cet agent</w:t>
            </w:r>
          </w:p>
        </w:tc>
      </w:tr>
      <w:tr>
        <w:tc>
          <w:tcPr>
            <w:tcW w:type="dxa" w:w="4873"/>
          </w:tcPr>
          <w:p>
            <w:pPr>
              <w:spacing w:before="40" w:after="40"/>
            </w:pPr>
            <w:r>
              <w:rPr>
                <w:rFonts w:ascii="Calibri" w:hAnsi="Calibri"/>
                <w:b w:val="0"/>
                <w:i w:val="0"/>
                <w:color w:val="333333"/>
                <w:sz w:val="17"/>
              </w:rPr>
              <w:t>Inactivité</w:t>
            </w:r>
          </w:p>
        </w:tc>
        <w:tc>
          <w:tcPr>
            <w:tcW w:type="dxa" w:w="4873"/>
          </w:tcPr>
          <w:p>
            <w:pPr>
              <w:spacing w:before="40" w:after="40"/>
            </w:pPr>
            <w:r>
              <w:rPr>
                <w:rFonts w:ascii="Calibri" w:hAnsi="Calibri"/>
                <w:b w:val="0"/>
                <w:i w:val="0"/>
                <w:color w:val="333333"/>
                <w:sz w:val="17"/>
              </w:rPr>
              <w:t>Verrouillage automatique ; ressaisie du code exigée</w:t>
            </w:r>
          </w:p>
        </w:tc>
      </w:tr>
    </w:tbl>
    <w:p>
      <w:pPr>
        <w:spacing w:after="40"/>
      </w:pPr>
    </w:p>
    <w:p>
      <w:pPr>
        <w:pStyle w:val="Heading2"/>
        <w:spacing w:before="280" w:after="80"/>
        <w:keepNext/>
      </w:pPr>
      <w:bookmarkStart w:id="117" w:name="_Toc_s016"/>
      <w:r>
        <w:rPr>
          <w:rFonts w:ascii="Calibri" w:hAnsi="Calibri"/>
          <w:b/>
          <w:color w:val="1B3A5C"/>
          <w:sz w:val="24"/>
        </w:rPr>
        <w:t>5.4 Justificatifs machine à machine (clés d'API)</w:t>
      </w:r>
      <w:bookmarkEnd w:id="11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Portée</w:t>
            </w:r>
          </w:p>
        </w:tc>
        <w:tc>
          <w:tcPr>
            <w:tcW w:type="dxa" w:w="4873"/>
          </w:tcPr>
          <w:p>
            <w:pPr>
              <w:spacing w:before="40" w:after="40"/>
            </w:pPr>
            <w:r>
              <w:rPr>
                <w:rFonts w:ascii="Calibri" w:hAnsi="Calibri"/>
                <w:b w:val="0"/>
                <w:i w:val="0"/>
                <w:color w:val="333333"/>
                <w:sz w:val="17"/>
              </w:rPr>
              <w:t>Une clé par unité d'exploitation, transmise dans un en-tête dédié</w:t>
            </w:r>
          </w:p>
        </w:tc>
      </w:tr>
      <w:tr>
        <w:tc>
          <w:tcPr>
            <w:tcW w:type="dxa" w:w="4873"/>
            <w:shd w:val="clear" w:fill="F2F6FA"/>
          </w:tcPr>
          <w:p>
            <w:pPr>
              <w:spacing w:before="40" w:after="40"/>
            </w:pPr>
            <w:r>
              <w:rPr>
                <w:rFonts w:ascii="Calibri" w:hAnsi="Calibri"/>
                <w:b w:val="0"/>
                <w:i w:val="0"/>
                <w:color w:val="333333"/>
                <w:sz w:val="17"/>
              </w:rPr>
              <w:t>Stockage</w:t>
            </w:r>
          </w:p>
        </w:tc>
        <w:tc>
          <w:tcPr>
            <w:tcW w:type="dxa" w:w="4873"/>
            <w:shd w:val="clear" w:fill="F2F6FA"/>
          </w:tcPr>
          <w:p>
            <w:pPr>
              <w:spacing w:before="40" w:after="40"/>
            </w:pPr>
            <w:r>
              <w:rPr>
                <w:rFonts w:ascii="Calibri" w:hAnsi="Calibri"/>
                <w:b w:val="0"/>
                <w:i w:val="0"/>
                <w:color w:val="333333"/>
                <w:sz w:val="17"/>
              </w:rPr>
              <w:t>Hachée au repos ; la valeur en clair est affichée une seule fois à la création et n'est jamais récupérable ensuite</w:t>
            </w:r>
          </w:p>
        </w:tc>
      </w:tr>
      <w:tr>
        <w:tc>
          <w:tcPr>
            <w:tcW w:type="dxa" w:w="4873"/>
          </w:tcPr>
          <w:p>
            <w:pPr>
              <w:spacing w:before="40" w:after="40"/>
            </w:pPr>
            <w:r>
              <w:rPr>
                <w:rFonts w:ascii="Calibri" w:hAnsi="Calibri"/>
                <w:b w:val="0"/>
                <w:i w:val="0"/>
                <w:color w:val="333333"/>
                <w:sz w:val="17"/>
              </w:rPr>
              <w:t>Cycle de vie</w:t>
            </w:r>
          </w:p>
        </w:tc>
        <w:tc>
          <w:tcPr>
            <w:tcW w:type="dxa" w:w="4873"/>
          </w:tcPr>
          <w:p>
            <w:pPr>
              <w:spacing w:before="40" w:after="40"/>
            </w:pPr>
            <w:r>
              <w:rPr>
                <w:rFonts w:ascii="Calibri" w:hAnsi="Calibri"/>
                <w:b w:val="0"/>
                <w:i w:val="0"/>
                <w:color w:val="333333"/>
                <w:sz w:val="17"/>
              </w:rPr>
              <w:t>Indicateur d'activation permettant une révocation instantanée ; horodatage de dernière utilisation ; usage journalisé par requête</w:t>
            </w:r>
          </w:p>
        </w:tc>
      </w:tr>
      <w:tr>
        <w:tc>
          <w:tcPr>
            <w:tcW w:type="dxa" w:w="4873"/>
            <w:shd w:val="clear" w:fill="F2F6FA"/>
          </w:tcPr>
          <w:p>
            <w:pPr>
              <w:spacing w:before="40" w:after="40"/>
            </w:pPr>
            <w:r>
              <w:rPr>
                <w:rFonts w:ascii="Calibri" w:hAnsi="Calibri"/>
                <w:b w:val="0"/>
                <w:i w:val="0"/>
                <w:color w:val="333333"/>
                <w:sz w:val="17"/>
              </w:rPr>
              <w:t>Rotation</w:t>
            </w:r>
          </w:p>
        </w:tc>
        <w:tc>
          <w:tcPr>
            <w:tcW w:type="dxa" w:w="4873"/>
            <w:shd w:val="clear" w:fill="F2F6FA"/>
          </w:tcPr>
          <w:p>
            <w:pPr>
              <w:spacing w:before="40" w:after="40"/>
            </w:pPr>
            <w:r>
              <w:rPr>
                <w:rFonts w:ascii="Calibri" w:hAnsi="Calibri"/>
                <w:b w:val="0"/>
                <w:i w:val="0"/>
                <w:color w:val="333333"/>
                <w:sz w:val="17"/>
              </w:rPr>
              <w:t>Procédure documentée : créer la nouvelle clé → configurer les terminaux → vérifier le trafic sur la nouvelle clé → révoquer l'ancienne. Rotation au moins annuelle et immédiate en cas de suspicion de compromission</w:t>
            </w:r>
          </w:p>
        </w:tc>
      </w:tr>
      <w:tr>
        <w:tc>
          <w:tcPr>
            <w:tcW w:type="dxa" w:w="4873"/>
          </w:tcPr>
          <w:p>
            <w:pPr>
              <w:spacing w:before="40" w:after="40"/>
            </w:pPr>
            <w:r>
              <w:rPr>
                <w:rFonts w:ascii="Calibri" w:hAnsi="Calibri"/>
                <w:b w:val="0"/>
                <w:i w:val="0"/>
                <w:color w:val="333333"/>
                <w:sz w:val="17"/>
              </w:rPr>
              <w:t>Limitation de débit</w:t>
            </w:r>
          </w:p>
        </w:tc>
        <w:tc>
          <w:tcPr>
            <w:tcW w:type="dxa" w:w="4873"/>
          </w:tcPr>
          <w:p>
            <w:pPr>
              <w:spacing w:before="40" w:after="40"/>
            </w:pPr>
            <w:r>
              <w:rPr>
                <w:rFonts w:ascii="Calibri" w:hAnsi="Calibri"/>
                <w:b w:val="0"/>
                <w:i w:val="0"/>
                <w:color w:val="333333"/>
                <w:sz w:val="17"/>
              </w:rPr>
              <w:t>Par clé et par IP. Voir §12 point H-3</w:t>
            </w:r>
          </w:p>
        </w:tc>
      </w:tr>
    </w:tbl>
    <w:p>
      <w:pPr>
        <w:spacing w:after="40"/>
      </w:pPr>
    </w:p>
    <w:p>
      <w:pPr>
        <w:pStyle w:val="Heading2"/>
        <w:spacing w:before="280" w:after="80"/>
        <w:keepNext/>
      </w:pPr>
      <w:bookmarkStart w:id="118" w:name="_Toc_s017"/>
      <w:r>
        <w:rPr>
          <w:rFonts w:ascii="Calibri" w:hAnsi="Calibri"/>
          <w:b/>
          <w:color w:val="1B3A5C"/>
          <w:sz w:val="24"/>
        </w:rPr>
        <w:t>5.5 Identifiants d'intégration tiers</w:t>
      </w:r>
      <w:bookmarkEnd w:id="118"/>
    </w:p>
    <w:p>
      <w:r>
        <w:rPr>
          <w:rFonts w:ascii="Calibri" w:hAnsi="Calibri"/>
          <w:b w:val="0"/>
          <w:i w:val="0"/>
          <w:color w:val="333333"/>
          <w:sz w:val="20"/>
        </w:rPr>
        <w:t>Les identifiants SUNULIFE, Mobile Money et SMS sont détenus par unité d'exploitation dans un coffre dédié, séparé des définitions d'intégration, chiffrés au repos avec la clé applicative, jamais écrits dans les journaux et jamais réaffichés après saisie. Seul le profil DSI peut les modifier, et chaque modification est auditée.</w:t>
      </w:r>
    </w:p>
    <w:p>
      <w:pPr>
        <w:pStyle w:val="Heading1"/>
        <w:pageBreakBefore/>
        <w:spacing w:before="360" w:after="80"/>
        <w:keepNext/>
        <w:pBdr>
          <w:bottom w:val="single" w:sz="8" w:space="6" w:color="1B3A5C"/>
        </w:pBdr>
      </w:pPr>
      <w:bookmarkStart w:id="119" w:name="_Toc_s018"/>
      <w:r>
        <w:rPr>
          <w:rFonts w:ascii="Calibri" w:hAnsi="Calibri"/>
          <w:b/>
          <w:color w:val="1B3A5C"/>
          <w:sz w:val="30"/>
        </w:rPr>
        <w:t>6. Protection des données</w:t>
      </w:r>
      <w:bookmarkEnd w:id="119"/>
    </w:p>
    <w:p>
      <w:pPr>
        <w:pStyle w:val="Heading2"/>
        <w:spacing w:before="280" w:after="80"/>
        <w:keepNext/>
      </w:pPr>
      <w:bookmarkStart w:id="120" w:name="_Toc_s019"/>
      <w:r>
        <w:rPr>
          <w:rFonts w:ascii="Calibri" w:hAnsi="Calibri"/>
          <w:b/>
          <w:color w:val="1B3A5C"/>
          <w:sz w:val="24"/>
        </w:rPr>
        <w:t>6.1 Classification</w:t>
      </w:r>
      <w:bookmarkEnd w:id="12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Classe</w:t>
            </w:r>
          </w:p>
        </w:tc>
        <w:tc>
          <w:tcPr>
            <w:tcW w:type="dxa" w:w="3249"/>
            <w:shd w:val="clear" w:fill="1B3A5C"/>
          </w:tcPr>
          <w:p>
            <w:pPr>
              <w:spacing w:before="60" w:after="60"/>
            </w:pPr>
            <w:r>
              <w:rPr>
                <w:rFonts w:ascii="Calibri" w:hAnsi="Calibri"/>
                <w:b/>
                <w:color w:val="FFFFFF"/>
                <w:sz w:val="17"/>
              </w:rPr>
              <w:t>Exemples</w:t>
            </w:r>
          </w:p>
        </w:tc>
        <w:tc>
          <w:tcPr>
            <w:tcW w:type="dxa" w:w="3249"/>
            <w:shd w:val="clear" w:fill="1B3A5C"/>
          </w:tcPr>
          <w:p>
            <w:pPr>
              <w:spacing w:before="60" w:after="60"/>
            </w:pPr>
            <w:r>
              <w:rPr>
                <w:rFonts w:ascii="Calibri" w:hAnsi="Calibri"/>
                <w:b/>
                <w:color w:val="FFFFFF"/>
                <w:sz w:val="17"/>
              </w:rPr>
              <w:t>Traitement</w:t>
            </w:r>
          </w:p>
        </w:tc>
      </w:tr>
      <w:tr>
        <w:tc>
          <w:tcPr>
            <w:tcW w:type="dxa" w:w="3249"/>
          </w:tcPr>
          <w:p>
            <w:pPr>
              <w:spacing w:before="40" w:after="40"/>
            </w:pPr>
            <w:r>
              <w:rPr>
                <w:rFonts w:ascii="Calibri" w:hAnsi="Calibri"/>
                <w:b/>
                <w:i w:val="0"/>
                <w:color w:val="333333"/>
                <w:sz w:val="17"/>
              </w:rPr>
              <w:t>C4 — Critique</w:t>
            </w:r>
          </w:p>
        </w:tc>
        <w:tc>
          <w:tcPr>
            <w:tcW w:type="dxa" w:w="3249"/>
          </w:tcPr>
          <w:p>
            <w:pPr>
              <w:spacing w:before="40" w:after="40"/>
            </w:pPr>
            <w:r>
              <w:rPr>
                <w:rFonts w:ascii="Calibri" w:hAnsi="Calibri"/>
                <w:b w:val="0"/>
                <w:i w:val="0"/>
                <w:color w:val="333333"/>
                <w:sz w:val="17"/>
              </w:rPr>
              <w:t>Mots de passe, codes, clés de signature, identifiants d'intégration, gabarits biométriques</w:t>
            </w:r>
          </w:p>
        </w:tc>
        <w:tc>
          <w:tcPr>
            <w:tcW w:type="dxa" w:w="3249"/>
          </w:tcPr>
          <w:p>
            <w:pPr>
              <w:spacing w:before="40" w:after="40"/>
            </w:pPr>
            <w:r>
              <w:rPr>
                <w:rFonts w:ascii="Calibri" w:hAnsi="Calibri"/>
                <w:b w:val="0"/>
                <w:i w:val="0"/>
                <w:color w:val="333333"/>
                <w:sz w:val="17"/>
              </w:rPr>
              <w:t>Chiffrés ou hachés ; jamais journalisés ; jamais exportés ; aucun affichage</w:t>
            </w:r>
          </w:p>
        </w:tc>
      </w:tr>
      <w:tr>
        <w:tc>
          <w:tcPr>
            <w:tcW w:type="dxa" w:w="3249"/>
            <w:shd w:val="clear" w:fill="F2F6FA"/>
          </w:tcPr>
          <w:p>
            <w:pPr>
              <w:spacing w:before="40" w:after="40"/>
            </w:pPr>
            <w:r>
              <w:rPr>
                <w:rFonts w:ascii="Calibri" w:hAnsi="Calibri"/>
                <w:b/>
                <w:i w:val="0"/>
                <w:color w:val="333333"/>
                <w:sz w:val="17"/>
              </w:rPr>
              <w:t>C3 — Confidentiel</w:t>
            </w:r>
          </w:p>
        </w:tc>
        <w:tc>
          <w:tcPr>
            <w:tcW w:type="dxa" w:w="3249"/>
            <w:shd w:val="clear" w:fill="F2F6FA"/>
          </w:tcPr>
          <w:p>
            <w:pPr>
              <w:spacing w:before="40" w:after="40"/>
            </w:pPr>
            <w:r>
              <w:rPr>
                <w:rFonts w:ascii="Calibri" w:hAnsi="Calibri"/>
                <w:b w:val="0"/>
                <w:i w:val="0"/>
                <w:color w:val="333333"/>
                <w:sz w:val="17"/>
              </w:rPr>
              <w:t>Numéros CNIB, images d'identité, données personnelles des assurés, données de polices</w:t>
            </w:r>
          </w:p>
        </w:tc>
        <w:tc>
          <w:tcPr>
            <w:tcW w:type="dxa" w:w="3249"/>
            <w:shd w:val="clear" w:fill="F2F6FA"/>
          </w:tcPr>
          <w:p>
            <w:pPr>
              <w:spacing w:before="40" w:after="40"/>
            </w:pPr>
            <w:r>
              <w:rPr>
                <w:rFonts w:ascii="Calibri" w:hAnsi="Calibri"/>
                <w:b w:val="0"/>
                <w:i w:val="0"/>
                <w:color w:val="333333"/>
                <w:sz w:val="17"/>
              </w:rPr>
              <w:t>Chiffrés au repos et en transit ; accès soumis à habilitation ; accès journalisé ; masqués dans les listes</w:t>
            </w:r>
          </w:p>
        </w:tc>
      </w:tr>
      <w:tr>
        <w:tc>
          <w:tcPr>
            <w:tcW w:type="dxa" w:w="3249"/>
          </w:tcPr>
          <w:p>
            <w:pPr>
              <w:spacing w:before="40" w:after="40"/>
            </w:pPr>
            <w:r>
              <w:rPr>
                <w:rFonts w:ascii="Calibri" w:hAnsi="Calibri"/>
                <w:b/>
                <w:i w:val="0"/>
                <w:color w:val="333333"/>
                <w:sz w:val="17"/>
              </w:rPr>
              <w:t>C2 — Interne</w:t>
            </w:r>
          </w:p>
        </w:tc>
        <w:tc>
          <w:tcPr>
            <w:tcW w:type="dxa" w:w="3249"/>
          </w:tcPr>
          <w:p>
            <w:pPr>
              <w:spacing w:before="40" w:after="40"/>
            </w:pPr>
            <w:r>
              <w:rPr>
                <w:rFonts w:ascii="Calibri" w:hAnsi="Calibri"/>
                <w:b w:val="0"/>
                <w:i w:val="0"/>
                <w:color w:val="333333"/>
                <w:sz w:val="17"/>
              </w:rPr>
              <w:t>Encaissements, transactions, plafonds, rapports</w:t>
            </w:r>
          </w:p>
        </w:tc>
        <w:tc>
          <w:tcPr>
            <w:tcW w:type="dxa" w:w="3249"/>
          </w:tcPr>
          <w:p>
            <w:pPr>
              <w:spacing w:before="40" w:after="40"/>
            </w:pPr>
            <w:r>
              <w:rPr>
                <w:rFonts w:ascii="Calibri" w:hAnsi="Calibri"/>
                <w:b w:val="0"/>
                <w:i w:val="0"/>
                <w:color w:val="333333"/>
                <w:sz w:val="17"/>
              </w:rPr>
              <w:t>Accès par profil ; audité ; exportable par les seuls profils autorisés</w:t>
            </w:r>
          </w:p>
        </w:tc>
      </w:tr>
      <w:tr>
        <w:tc>
          <w:tcPr>
            <w:tcW w:type="dxa" w:w="3249"/>
            <w:shd w:val="clear" w:fill="F2F6FA"/>
          </w:tcPr>
          <w:p>
            <w:pPr>
              <w:spacing w:before="40" w:after="40"/>
            </w:pPr>
            <w:r>
              <w:rPr>
                <w:rFonts w:ascii="Calibri" w:hAnsi="Calibri"/>
                <w:b/>
                <w:i w:val="0"/>
                <w:color w:val="333333"/>
                <w:sz w:val="17"/>
              </w:rPr>
              <w:t>C1 — Public</w:t>
            </w:r>
          </w:p>
        </w:tc>
        <w:tc>
          <w:tcPr>
            <w:tcW w:type="dxa" w:w="3249"/>
            <w:shd w:val="clear" w:fill="F2F6FA"/>
          </w:tcPr>
          <w:p>
            <w:pPr>
              <w:spacing w:before="40" w:after="40"/>
            </w:pPr>
            <w:r>
              <w:rPr>
                <w:rFonts w:ascii="Calibri" w:hAnsi="Calibri"/>
                <w:b w:val="0"/>
                <w:i w:val="0"/>
                <w:color w:val="333333"/>
                <w:sz w:val="17"/>
              </w:rPr>
              <w:t>Noms de produits, documentation générale</w:t>
            </w:r>
          </w:p>
        </w:tc>
        <w:tc>
          <w:tcPr>
            <w:tcW w:type="dxa" w:w="3249"/>
            <w:shd w:val="clear" w:fill="F2F6FA"/>
          </w:tcPr>
          <w:p>
            <w:pPr>
              <w:spacing w:before="40" w:after="40"/>
            </w:pPr>
            <w:r>
              <w:rPr>
                <w:rFonts w:ascii="Calibri" w:hAnsi="Calibri"/>
                <w:b w:val="0"/>
                <w:i w:val="0"/>
                <w:color w:val="333333"/>
                <w:sz w:val="17"/>
              </w:rPr>
              <w:t>Aucune restriction</w:t>
            </w:r>
          </w:p>
        </w:tc>
      </w:tr>
    </w:tbl>
    <w:p>
      <w:pPr>
        <w:spacing w:after="40"/>
      </w:pPr>
    </w:p>
    <w:p>
      <w:pPr>
        <w:pStyle w:val="Heading2"/>
        <w:spacing w:before="280" w:after="80"/>
        <w:keepNext/>
      </w:pPr>
      <w:bookmarkStart w:id="121" w:name="_Toc_s020"/>
      <w:r>
        <w:rPr>
          <w:rFonts w:ascii="Calibri" w:hAnsi="Calibri"/>
          <w:b/>
          <w:color w:val="1B3A5C"/>
          <w:sz w:val="24"/>
        </w:rPr>
        <w:t>6.2 Chiffrement en transit</w:t>
      </w:r>
      <w:bookmarkEnd w:id="121"/>
    </w:p>
    <w:p>
      <w:pPr>
        <w:spacing w:after="40"/>
        <w:ind w:left="312" w:hanging="198"/>
      </w:pPr>
      <w:r>
        <w:rPr>
          <w:rFonts w:ascii="Calibri" w:hAnsi="Calibri"/>
          <w:b w:val="0"/>
          <w:color w:val="2C5F8A"/>
          <w:sz w:val="20"/>
        </w:rPr>
        <w:t xml:space="preserve">•  </w:t>
      </w:r>
      <w:r>
        <w:rPr>
          <w:rFonts w:ascii="Calibri" w:hAnsi="Calibri"/>
          <w:b/>
          <w:i w:val="0"/>
          <w:color w:val="333333"/>
          <w:sz w:val="20"/>
        </w:rPr>
        <w:t>HTTPS/TLS 1.2 minimum, TLS 1.3 de préférence</w:t>
      </w:r>
      <w:r>
        <w:rPr>
          <w:rFonts w:ascii="Calibri" w:hAnsi="Calibri"/>
          <w:b w:val="0"/>
          <w:i w:val="0"/>
          <w:color w:val="333333"/>
          <w:sz w:val="20"/>
        </w:rPr>
        <w:t>, sur chaque canal : TPE ↔ plateforme, navigateur ↔ plateforme, plateforme ↔ SUNULIFE, plateforme ↔ Mobile Money.</w:t>
      </w:r>
    </w:p>
    <w:p>
      <w:pPr>
        <w:spacing w:after="40"/>
        <w:ind w:left="312" w:hanging="198"/>
      </w:pPr>
      <w:r>
        <w:rPr>
          <w:rFonts w:ascii="Calibri" w:hAnsi="Calibri"/>
          <w:b w:val="0"/>
          <w:color w:val="2C5F8A"/>
          <w:sz w:val="20"/>
        </w:rPr>
        <w:t xml:space="preserve">•  </w:t>
      </w:r>
      <w:r>
        <w:rPr>
          <w:rFonts w:ascii="Calibri" w:hAnsi="Calibri"/>
          <w:b w:val="0"/>
          <w:i w:val="0"/>
          <w:color w:val="333333"/>
          <w:sz w:val="20"/>
        </w:rPr>
        <w:t>Suites cryptographiques modernes uniquement ; SSLv3, TLS 1.0 et 1.1 désactivés ; HSTS activé.</w:t>
      </w:r>
    </w:p>
    <w:p>
      <w:pPr>
        <w:spacing w:after="40"/>
        <w:ind w:left="312" w:hanging="198"/>
      </w:pPr>
      <w:r>
        <w:rPr>
          <w:rFonts w:ascii="Calibri" w:hAnsi="Calibri"/>
          <w:b w:val="0"/>
          <w:color w:val="2C5F8A"/>
          <w:sz w:val="20"/>
        </w:rPr>
        <w:t xml:space="preserve">•  </w:t>
      </w:r>
      <w:r>
        <w:rPr>
          <w:rFonts w:ascii="Calibri" w:hAnsi="Calibri"/>
          <w:b/>
          <w:i w:val="0"/>
          <w:color w:val="333333"/>
          <w:sz w:val="20"/>
        </w:rPr>
        <w:t>Épinglage de certificat dans l'application TPE</w:t>
      </w:r>
      <w:r>
        <w:rPr>
          <w:rFonts w:ascii="Calibri" w:hAnsi="Calibri"/>
          <w:b w:val="0"/>
          <w:i w:val="0"/>
          <w:color w:val="333333"/>
          <w:sz w:val="20"/>
        </w:rPr>
        <w:t>, ce qui met en échec l'interception par un proxy malveillant sur un réseau mobile hostile.</w:t>
      </w:r>
    </w:p>
    <w:p>
      <w:pPr>
        <w:spacing w:after="40"/>
        <w:ind w:left="312" w:hanging="198"/>
      </w:pPr>
      <w:r>
        <w:rPr>
          <w:rFonts w:ascii="Calibri" w:hAnsi="Calibri"/>
          <w:b w:val="0"/>
          <w:color w:val="2C5F8A"/>
          <w:sz w:val="20"/>
        </w:rPr>
        <w:t xml:space="preserve">•  </w:t>
      </w:r>
      <w:r>
        <w:rPr>
          <w:rFonts w:ascii="Calibri" w:hAnsi="Calibri"/>
          <w:b w:val="0"/>
          <w:i w:val="0"/>
          <w:color w:val="333333"/>
          <w:sz w:val="20"/>
        </w:rPr>
        <w:t>HTTP en clair refusé, et non redirigé, sur les points d'entrée d'API. Voir §12 point H-1.</w:t>
      </w:r>
    </w:p>
    <w:p>
      <w:pPr>
        <w:pStyle w:val="Heading2"/>
        <w:spacing w:before="280" w:after="80"/>
        <w:keepNext/>
      </w:pPr>
      <w:bookmarkStart w:id="122" w:name="_Toc_s021"/>
      <w:r>
        <w:rPr>
          <w:rFonts w:ascii="Calibri" w:hAnsi="Calibri"/>
          <w:b/>
          <w:color w:val="1B3A5C"/>
          <w:sz w:val="24"/>
        </w:rPr>
        <w:t>6.3 Chiffrement au repos</w:t>
      </w:r>
      <w:bookmarkEnd w:id="12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Donnée</w:t>
            </w:r>
          </w:p>
        </w:tc>
        <w:tc>
          <w:tcPr>
            <w:tcW w:type="dxa" w:w="4873"/>
            <w:shd w:val="clear" w:fill="1B3A5C"/>
          </w:tcPr>
          <w:p>
            <w:pPr>
              <w:spacing w:before="60" w:after="60"/>
            </w:pPr>
            <w:r>
              <w:rPr>
                <w:rFonts w:ascii="Calibri" w:hAnsi="Calibri"/>
                <w:b/>
                <w:color w:val="FFFFFF"/>
                <w:sz w:val="17"/>
              </w:rPr>
              <w:t>Protection</w:t>
            </w:r>
          </w:p>
        </w:tc>
      </w:tr>
      <w:tr>
        <w:tc>
          <w:tcPr>
            <w:tcW w:type="dxa" w:w="4873"/>
          </w:tcPr>
          <w:p>
            <w:pPr>
              <w:spacing w:before="40" w:after="40"/>
            </w:pPr>
            <w:r>
              <w:rPr>
                <w:rFonts w:ascii="Calibri" w:hAnsi="Calibri"/>
                <w:b w:val="0"/>
                <w:i w:val="0"/>
                <w:color w:val="333333"/>
                <w:sz w:val="17"/>
              </w:rPr>
              <w:t>Mots de passe et codes</w:t>
            </w:r>
          </w:p>
        </w:tc>
        <w:tc>
          <w:tcPr>
            <w:tcW w:type="dxa" w:w="4873"/>
          </w:tcPr>
          <w:p>
            <w:pPr>
              <w:spacing w:before="40" w:after="40"/>
            </w:pPr>
            <w:r>
              <w:rPr>
                <w:rFonts w:ascii="Calibri" w:hAnsi="Calibri"/>
                <w:b w:val="0"/>
                <w:i w:val="0"/>
                <w:color w:val="333333"/>
                <w:sz w:val="17"/>
              </w:rPr>
              <w:t>Empreinte bcrypt, jamais chiffrée (irréversible par conception)</w:t>
            </w:r>
          </w:p>
        </w:tc>
      </w:tr>
      <w:tr>
        <w:tc>
          <w:tcPr>
            <w:tcW w:type="dxa" w:w="4873"/>
            <w:shd w:val="clear" w:fill="F2F6FA"/>
          </w:tcPr>
          <w:p>
            <w:pPr>
              <w:spacing w:before="40" w:after="40"/>
            </w:pPr>
            <w:r>
              <w:rPr>
                <w:rFonts w:ascii="Calibri" w:hAnsi="Calibri"/>
                <w:b w:val="0"/>
                <w:i w:val="0"/>
                <w:color w:val="333333"/>
                <w:sz w:val="17"/>
              </w:rPr>
              <w:t>Identifiants d'intégration</w:t>
            </w:r>
          </w:p>
        </w:tc>
        <w:tc>
          <w:tcPr>
            <w:tcW w:type="dxa" w:w="4873"/>
            <w:shd w:val="clear" w:fill="F2F6FA"/>
          </w:tcPr>
          <w:p>
            <w:pPr>
              <w:spacing w:before="40" w:after="40"/>
            </w:pPr>
            <w:r>
              <w:rPr>
                <w:rFonts w:ascii="Calibri" w:hAnsi="Calibri"/>
                <w:b w:val="0"/>
                <w:i w:val="0"/>
                <w:color w:val="333333"/>
                <w:sz w:val="17"/>
              </w:rPr>
              <w:t>Chiffrement symétrique avec la clé applicative, détenue hors du dépôt de code</w:t>
            </w:r>
          </w:p>
        </w:tc>
      </w:tr>
      <w:tr>
        <w:tc>
          <w:tcPr>
            <w:tcW w:type="dxa" w:w="4873"/>
          </w:tcPr>
          <w:p>
            <w:pPr>
              <w:spacing w:before="40" w:after="40"/>
            </w:pPr>
            <w:r>
              <w:rPr>
                <w:rFonts w:ascii="Calibri" w:hAnsi="Calibri"/>
                <w:b w:val="0"/>
                <w:i w:val="0"/>
                <w:color w:val="333333"/>
                <w:sz w:val="17"/>
              </w:rPr>
              <w:t>Images d'identité (proposition, CNIB)</w:t>
            </w:r>
          </w:p>
        </w:tc>
        <w:tc>
          <w:tcPr>
            <w:tcW w:type="dxa" w:w="4873"/>
          </w:tcPr>
          <w:p>
            <w:pPr>
              <w:spacing w:before="40" w:after="40"/>
            </w:pPr>
            <w:r>
              <w:rPr>
                <w:rFonts w:ascii="Calibri" w:hAnsi="Calibri"/>
                <w:b w:val="0"/>
                <w:i w:val="0"/>
                <w:color w:val="333333"/>
                <w:sz w:val="17"/>
              </w:rPr>
              <w:t>Volume de stockage chiffré ; noms de fichiers non devinables ; servies uniquement par un lien authentifié, contrôlé en habilitation et limité dans le temps — jamais par une URL publique</w:t>
            </w:r>
          </w:p>
        </w:tc>
      </w:tr>
      <w:tr>
        <w:tc>
          <w:tcPr>
            <w:tcW w:type="dxa" w:w="4873"/>
            <w:shd w:val="clear" w:fill="F2F6FA"/>
          </w:tcPr>
          <w:p>
            <w:pPr>
              <w:spacing w:before="40" w:after="40"/>
            </w:pPr>
            <w:r>
              <w:rPr>
                <w:rFonts w:ascii="Calibri" w:hAnsi="Calibri"/>
                <w:b w:val="0"/>
                <w:i w:val="0"/>
                <w:color w:val="333333"/>
                <w:sz w:val="17"/>
              </w:rPr>
              <w:t>Base de données</w:t>
            </w:r>
          </w:p>
        </w:tc>
        <w:tc>
          <w:tcPr>
            <w:tcW w:type="dxa" w:w="4873"/>
            <w:shd w:val="clear" w:fill="F2F6FA"/>
          </w:tcPr>
          <w:p>
            <w:pPr>
              <w:spacing w:before="40" w:after="40"/>
            </w:pPr>
            <w:r>
              <w:rPr>
                <w:rFonts w:ascii="Calibri" w:hAnsi="Calibri"/>
                <w:b w:val="0"/>
                <w:i w:val="0"/>
                <w:color w:val="333333"/>
                <w:sz w:val="17"/>
              </w:rPr>
              <w:t>Chiffrement au repos au niveau du volume ; chiffrement au niveau colonne pour les champs les plus sensibles</w:t>
            </w:r>
          </w:p>
        </w:tc>
      </w:tr>
      <w:tr>
        <w:tc>
          <w:tcPr>
            <w:tcW w:type="dxa" w:w="4873"/>
          </w:tcPr>
          <w:p>
            <w:pPr>
              <w:spacing w:before="40" w:after="40"/>
            </w:pPr>
            <w:r>
              <w:rPr>
                <w:rFonts w:ascii="Calibri" w:hAnsi="Calibri"/>
                <w:b w:val="0"/>
                <w:i w:val="0"/>
                <w:color w:val="333333"/>
                <w:sz w:val="17"/>
              </w:rPr>
              <w:t>Sauvegardes</w:t>
            </w:r>
          </w:p>
        </w:tc>
        <w:tc>
          <w:tcPr>
            <w:tcW w:type="dxa" w:w="4873"/>
          </w:tcPr>
          <w:p>
            <w:pPr>
              <w:spacing w:before="40" w:after="40"/>
            </w:pPr>
            <w:r>
              <w:rPr>
                <w:rFonts w:ascii="Calibri" w:hAnsi="Calibri"/>
                <w:b w:val="0"/>
                <w:i w:val="0"/>
                <w:color w:val="333333"/>
                <w:sz w:val="17"/>
              </w:rPr>
              <w:t>Chiffrées avant de quitter le serveur ; clé détenue séparément des sauvegardes</w:t>
            </w:r>
          </w:p>
        </w:tc>
      </w:tr>
      <w:tr>
        <w:tc>
          <w:tcPr>
            <w:tcW w:type="dxa" w:w="4873"/>
            <w:shd w:val="clear" w:fill="F2F6FA"/>
          </w:tcPr>
          <w:p>
            <w:pPr>
              <w:spacing w:before="40" w:after="40"/>
            </w:pPr>
            <w:r>
              <w:rPr>
                <w:rFonts w:ascii="Calibri" w:hAnsi="Calibri"/>
                <w:b w:val="0"/>
                <w:i w:val="0"/>
                <w:color w:val="333333"/>
                <w:sz w:val="17"/>
              </w:rPr>
              <w:t>Base locale du TPE</w:t>
            </w:r>
          </w:p>
        </w:tc>
        <w:tc>
          <w:tcPr>
            <w:tcW w:type="dxa" w:w="4873"/>
            <w:shd w:val="clear" w:fill="F2F6FA"/>
          </w:tcPr>
          <w:p>
            <w:pPr>
              <w:spacing w:before="40" w:after="40"/>
            </w:pPr>
            <w:r>
              <w:rPr>
                <w:rFonts w:ascii="Calibri" w:hAnsi="Calibri"/>
                <w:b w:val="0"/>
                <w:i w:val="0"/>
                <w:color w:val="333333"/>
                <w:sz w:val="17"/>
              </w:rPr>
              <w:t>Stockage privé à l'application, chiffré ; effacé à la déconnexion de l'agent affecté ; aucun chemin d'export exposé à l'utilisateur de l'appareil</w:t>
            </w:r>
          </w:p>
        </w:tc>
      </w:tr>
    </w:tbl>
    <w:p>
      <w:pPr>
        <w:spacing w:after="40"/>
      </w:pPr>
    </w:p>
    <w:p>
      <w:pPr>
        <w:pStyle w:val="Heading2"/>
        <w:spacing w:before="280" w:after="80"/>
        <w:keepNext/>
      </w:pPr>
      <w:bookmarkStart w:id="123" w:name="_Toc_s022"/>
      <w:r>
        <w:rPr>
          <w:rFonts w:ascii="Calibri" w:hAnsi="Calibri"/>
          <w:b/>
          <w:color w:val="1B3A5C"/>
          <w:sz w:val="24"/>
        </w:rPr>
        <w:t>6.4 Minimisation des données</w:t>
      </w:r>
      <w:bookmarkEnd w:id="123"/>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Le TPE ne détient que ce dont le collecteur affecté a besoin : ses propres clients et encaissements, et le cache de polices nécessaire au travail hors ligne. </w:t>
      </w:r>
      <w:r>
        <w:rPr>
          <w:rFonts w:ascii="Calibri" w:hAnsi="Calibri"/>
          <w:b/>
          <w:i w:val="0"/>
          <w:color w:val="333333"/>
          <w:sz w:val="20"/>
        </w:rPr>
        <w:t>Aucun terminal ne détient jamais l'intégralité du portefeuille clients.</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images d'identité sont téléversées puis supprimées de l'appareil dès acquittement par le serveur.</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exports ne contiennent que les colonnes requises par la finalité du rapport.</w:t>
      </w:r>
    </w:p>
    <w:p>
      <w:pPr>
        <w:spacing w:after="40"/>
        <w:ind w:left="312" w:hanging="198"/>
      </w:pPr>
      <w:r>
        <w:rPr>
          <w:rFonts w:ascii="Calibri" w:hAnsi="Calibri"/>
          <w:b w:val="0"/>
          <w:color w:val="2C5F8A"/>
          <w:sz w:val="20"/>
        </w:rPr>
        <w:t xml:space="preserve">•  </w:t>
      </w:r>
      <w:r>
        <w:rPr>
          <w:rFonts w:ascii="Calibri" w:hAnsi="Calibri"/>
          <w:b w:val="0"/>
          <w:i w:val="0"/>
          <w:color w:val="333333"/>
          <w:sz w:val="20"/>
        </w:rPr>
        <w:t>Les listes masquent les identifiants sensibles (la CNIB n'est affichée que partiellement) ; l'affichage complet est une action distincte et journalisée.</w:t>
      </w:r>
    </w:p>
    <w:p>
      <w:pPr>
        <w:pStyle w:val="Heading2"/>
        <w:spacing w:before="280" w:after="80"/>
        <w:keepNext/>
      </w:pPr>
      <w:bookmarkStart w:id="124" w:name="_Toc_s023"/>
      <w:r>
        <w:rPr>
          <w:rFonts w:ascii="Calibri" w:hAnsi="Calibri"/>
          <w:b/>
          <w:color w:val="1B3A5C"/>
          <w:sz w:val="24"/>
        </w:rPr>
        <w:t>6.5 Données personnelles et droit burkinabè</w:t>
      </w:r>
      <w:bookmarkEnd w:id="12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Obligation</w:t>
            </w:r>
          </w:p>
        </w:tc>
        <w:tc>
          <w:tcPr>
            <w:tcW w:type="dxa" w:w="4873"/>
            <w:shd w:val="clear" w:fill="1B3A5C"/>
          </w:tcPr>
          <w:p>
            <w:pPr>
              <w:spacing w:before="60" w:after="60"/>
            </w:pPr>
            <w:r>
              <w:rPr>
                <w:rFonts w:ascii="Calibri" w:hAnsi="Calibri"/>
                <w:b/>
                <w:color w:val="FFFFFF"/>
                <w:sz w:val="17"/>
              </w:rPr>
              <w:t>Réponse</w:t>
            </w:r>
          </w:p>
        </w:tc>
      </w:tr>
      <w:tr>
        <w:tc>
          <w:tcPr>
            <w:tcW w:type="dxa" w:w="4873"/>
          </w:tcPr>
          <w:p>
            <w:pPr>
              <w:spacing w:before="40" w:after="40"/>
            </w:pPr>
            <w:r>
              <w:rPr>
                <w:rFonts w:ascii="Calibri" w:hAnsi="Calibri"/>
                <w:b w:val="0"/>
                <w:i w:val="0"/>
                <w:color w:val="333333"/>
                <w:sz w:val="17"/>
              </w:rPr>
              <w:t>Déclaration du traitement à la CIL</w:t>
            </w:r>
          </w:p>
        </w:tc>
        <w:tc>
          <w:tcPr>
            <w:tcW w:type="dxa" w:w="4873"/>
          </w:tcPr>
          <w:p>
            <w:pPr>
              <w:spacing w:before="40" w:after="40"/>
            </w:pPr>
            <w:r>
              <w:rPr>
                <w:rFonts w:ascii="Calibri" w:hAnsi="Calibri"/>
                <w:b/>
                <w:i w:val="0"/>
                <w:color w:val="333333"/>
                <w:sz w:val="17"/>
              </w:rPr>
              <w:t>SUNU est le responsable de traitement</w:t>
            </w:r>
            <w:r>
              <w:rPr>
                <w:rFonts w:ascii="Calibri" w:hAnsi="Calibri"/>
                <w:b w:val="0"/>
                <w:i w:val="0"/>
                <w:color w:val="333333"/>
                <w:sz w:val="17"/>
              </w:rPr>
              <w:t xml:space="preserve"> et effectue la déclaration ; DBS agit comme sous-traitant et fournit la description technique requise</w:t>
            </w:r>
          </w:p>
        </w:tc>
      </w:tr>
      <w:tr>
        <w:tc>
          <w:tcPr>
            <w:tcW w:type="dxa" w:w="4873"/>
            <w:shd w:val="clear" w:fill="F2F6FA"/>
          </w:tcPr>
          <w:p>
            <w:pPr>
              <w:spacing w:before="40" w:after="40"/>
            </w:pPr>
            <w:r>
              <w:rPr>
                <w:rFonts w:ascii="Calibri" w:hAnsi="Calibri"/>
                <w:b w:val="0"/>
                <w:i w:val="0"/>
                <w:color w:val="333333"/>
                <w:sz w:val="17"/>
              </w:rPr>
              <w:t>Base légale</w:t>
            </w:r>
          </w:p>
        </w:tc>
        <w:tc>
          <w:tcPr>
            <w:tcW w:type="dxa" w:w="4873"/>
            <w:shd w:val="clear" w:fill="F2F6FA"/>
          </w:tcPr>
          <w:p>
            <w:pPr>
              <w:spacing w:before="40" w:after="40"/>
            </w:pPr>
            <w:r>
              <w:rPr>
                <w:rFonts w:ascii="Calibri" w:hAnsi="Calibri"/>
                <w:b w:val="0"/>
                <w:i w:val="0"/>
                <w:color w:val="333333"/>
                <w:sz w:val="17"/>
              </w:rPr>
              <w:t>Exécution du contrat d'assurance et mesures précontractuelles</w:t>
            </w:r>
          </w:p>
        </w:tc>
      </w:tr>
      <w:tr>
        <w:tc>
          <w:tcPr>
            <w:tcW w:type="dxa" w:w="4873"/>
          </w:tcPr>
          <w:p>
            <w:pPr>
              <w:spacing w:before="40" w:after="40"/>
            </w:pPr>
            <w:r>
              <w:rPr>
                <w:rFonts w:ascii="Calibri" w:hAnsi="Calibri"/>
                <w:b w:val="0"/>
                <w:i w:val="0"/>
                <w:color w:val="333333"/>
                <w:sz w:val="17"/>
              </w:rPr>
              <w:t>Information de la personne concernée</w:t>
            </w:r>
          </w:p>
        </w:tc>
        <w:tc>
          <w:tcPr>
            <w:tcW w:type="dxa" w:w="4873"/>
          </w:tcPr>
          <w:p>
            <w:pPr>
              <w:spacing w:before="40" w:after="40"/>
            </w:pPr>
            <w:r>
              <w:rPr>
                <w:rFonts w:ascii="Calibri" w:hAnsi="Calibri"/>
                <w:b w:val="0"/>
                <w:i w:val="0"/>
                <w:color w:val="333333"/>
                <w:sz w:val="17"/>
              </w:rPr>
              <w:t>Mention sur le formulaire de proposition et mention résumée sur le reçu</w:t>
            </w:r>
          </w:p>
        </w:tc>
      </w:tr>
      <w:tr>
        <w:tc>
          <w:tcPr>
            <w:tcW w:type="dxa" w:w="4873"/>
            <w:shd w:val="clear" w:fill="F2F6FA"/>
          </w:tcPr>
          <w:p>
            <w:pPr>
              <w:spacing w:before="40" w:after="40"/>
            </w:pPr>
            <w:r>
              <w:rPr>
                <w:rFonts w:ascii="Calibri" w:hAnsi="Calibri"/>
                <w:b w:val="0"/>
                <w:i w:val="0"/>
                <w:color w:val="333333"/>
                <w:sz w:val="17"/>
              </w:rPr>
              <w:t>Droits d'accès, de rectification et d'effacement</w:t>
            </w:r>
          </w:p>
        </w:tc>
        <w:tc>
          <w:tcPr>
            <w:tcW w:type="dxa" w:w="4873"/>
            <w:shd w:val="clear" w:fill="F2F6FA"/>
          </w:tcPr>
          <w:p>
            <w:pPr>
              <w:spacing w:before="40" w:after="40"/>
            </w:pPr>
            <w:r>
              <w:rPr>
                <w:rFonts w:ascii="Calibri" w:hAnsi="Calibri"/>
                <w:b w:val="0"/>
                <w:i w:val="0"/>
                <w:color w:val="333333"/>
                <w:sz w:val="17"/>
              </w:rPr>
              <w:t>Procédure back-office documentée au Document 3 ; demandes suivies et traitées dans le délai légal</w:t>
            </w:r>
          </w:p>
        </w:tc>
      </w:tr>
      <w:tr>
        <w:tc>
          <w:tcPr>
            <w:tcW w:type="dxa" w:w="4873"/>
          </w:tcPr>
          <w:p>
            <w:pPr>
              <w:spacing w:before="40" w:after="40"/>
            </w:pPr>
            <w:r>
              <w:rPr>
                <w:rFonts w:ascii="Calibri" w:hAnsi="Calibri"/>
                <w:b w:val="0"/>
                <w:i w:val="0"/>
                <w:color w:val="333333"/>
                <w:sz w:val="17"/>
              </w:rPr>
              <w:t>Limites de conservation</w:t>
            </w:r>
          </w:p>
        </w:tc>
        <w:tc>
          <w:tcPr>
            <w:tcW w:type="dxa" w:w="4873"/>
          </w:tcPr>
          <w:p>
            <w:pPr>
              <w:spacing w:before="40" w:after="40"/>
            </w:pPr>
            <w:r>
              <w:rPr>
                <w:rFonts w:ascii="Calibri" w:hAnsi="Calibri"/>
                <w:b w:val="0"/>
                <w:i w:val="0"/>
                <w:color w:val="333333"/>
                <w:sz w:val="17"/>
              </w:rPr>
              <w:t>Appliquées conformément au Document 1 §5.4 ; traitements d'archivage et de purge automatisés</w:t>
            </w:r>
          </w:p>
        </w:tc>
      </w:tr>
      <w:tr>
        <w:tc>
          <w:tcPr>
            <w:tcW w:type="dxa" w:w="4873"/>
            <w:shd w:val="clear" w:fill="F2F6FA"/>
          </w:tcPr>
          <w:p>
            <w:pPr>
              <w:spacing w:before="40" w:after="40"/>
            </w:pPr>
            <w:r>
              <w:rPr>
                <w:rFonts w:ascii="Calibri" w:hAnsi="Calibri"/>
                <w:b w:val="0"/>
                <w:i w:val="0"/>
                <w:color w:val="333333"/>
                <w:sz w:val="17"/>
              </w:rPr>
              <w:t>Obligations du sous-traitant</w:t>
            </w:r>
          </w:p>
        </w:tc>
        <w:tc>
          <w:tcPr>
            <w:tcW w:type="dxa" w:w="4873"/>
            <w:shd w:val="clear" w:fill="F2F6FA"/>
          </w:tcPr>
          <w:p>
            <w:pPr>
              <w:spacing w:before="40" w:after="40"/>
            </w:pPr>
            <w:r>
              <w:rPr>
                <w:rFonts w:ascii="Calibri" w:hAnsi="Calibri"/>
                <w:b w:val="0"/>
                <w:i w:val="0"/>
                <w:color w:val="333333"/>
                <w:sz w:val="17"/>
              </w:rPr>
              <w:t>Contrat de sous-traitance entre SUNU et DBS couvrant la confidentialité, les sous-traitants ultérieurs, la notification des violations, la restitution/destruction en fin de contrat</w:t>
            </w:r>
          </w:p>
        </w:tc>
      </w:tr>
      <w:tr>
        <w:tc>
          <w:tcPr>
            <w:tcW w:type="dxa" w:w="4873"/>
          </w:tcPr>
          <w:p>
            <w:pPr>
              <w:spacing w:before="40" w:after="40"/>
            </w:pPr>
            <w:r>
              <w:rPr>
                <w:rFonts w:ascii="Calibri" w:hAnsi="Calibri"/>
                <w:b w:val="0"/>
                <w:i w:val="0"/>
                <w:color w:val="333333"/>
                <w:sz w:val="17"/>
              </w:rPr>
              <w:t>Transfert transfrontalier</w:t>
            </w:r>
          </w:p>
        </w:tc>
        <w:tc>
          <w:tcPr>
            <w:tcW w:type="dxa" w:w="4873"/>
          </w:tcPr>
          <w:p>
            <w:pPr>
              <w:spacing w:before="40" w:after="40"/>
            </w:pPr>
            <w:r>
              <w:rPr>
                <w:rFonts w:ascii="Calibri" w:hAnsi="Calibri"/>
                <w:b w:val="0"/>
                <w:i w:val="0"/>
                <w:color w:val="333333"/>
                <w:sz w:val="17"/>
              </w:rPr>
              <w:t>Dépend de la décision d'hébergement (Doc 1, OP-5). Si l'hébergement est hors du Burkina Faso, le transfert doit être couvert par la déclaration CIL et par des clauses contractuelles</w:t>
            </w:r>
          </w:p>
        </w:tc>
      </w:tr>
    </w:tbl>
    <w:p>
      <w:pPr>
        <w:spacing w:after="40"/>
      </w:pPr>
    </w:p>
    <w:p>
      <w:pPr>
        <w:pStyle w:val="Heading2"/>
        <w:spacing w:before="280" w:after="80"/>
        <w:keepNext/>
      </w:pPr>
      <w:bookmarkStart w:id="125" w:name="_Toc_s024"/>
      <w:r>
        <w:rPr>
          <w:rFonts w:ascii="Calibri" w:hAnsi="Calibri"/>
          <w:b/>
          <w:color w:val="1B3A5C"/>
          <w:sz w:val="24"/>
        </w:rPr>
        <w:t>6.6 Données biométriques (capacité optionnelle)</w:t>
      </w:r>
      <w:bookmarkEnd w:id="125"/>
    </w:p>
    <w:p>
      <w:r>
        <w:rPr>
          <w:rFonts w:ascii="Calibri" w:hAnsi="Calibri"/>
          <w:b w:val="0"/>
          <w:i w:val="0"/>
          <w:color w:val="333333"/>
          <w:sz w:val="20"/>
        </w:rPr>
        <w:t xml:space="preserve">La plateforme prend en charge la capture et la vérification d'empreintes. </w:t>
      </w:r>
      <w:r>
        <w:rPr>
          <w:rFonts w:ascii="Calibri" w:hAnsi="Calibri"/>
          <w:b/>
          <w:i w:val="0"/>
          <w:color w:val="333333"/>
          <w:sz w:val="20"/>
        </w:rPr>
        <w:t>Pour SUNU, il s'agit d'une option, non d'un choix par défaut.</w:t>
      </w:r>
      <w:r>
        <w:rPr>
          <w:rFonts w:ascii="Calibri" w:hAnsi="Calibri"/>
          <w:b w:val="0"/>
          <w:i w:val="0"/>
          <w:color w:val="333333"/>
          <w:sz w:val="20"/>
        </w:rPr>
        <w:t xml:space="preserve"> Si SUNU l'active :</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Seul un </w:t>
      </w:r>
      <w:r>
        <w:rPr>
          <w:rFonts w:ascii="Calibri" w:hAnsi="Calibri"/>
          <w:b/>
          <w:i w:val="0"/>
          <w:color w:val="333333"/>
          <w:sz w:val="20"/>
        </w:rPr>
        <w:t>gabarit mathématique</w:t>
      </w:r>
      <w:r>
        <w:rPr>
          <w:rFonts w:ascii="Calibri" w:hAnsi="Calibri"/>
          <w:b w:val="0"/>
          <w:i w:val="0"/>
          <w:color w:val="333333"/>
          <w:sz w:val="20"/>
        </w:rPr>
        <w:t xml:space="preserve"> est stocké, jamais une image d'empreinte ; le gabarit n'est pas réversible en image.</w:t>
      </w:r>
    </w:p>
    <w:p>
      <w:pPr>
        <w:spacing w:after="40"/>
        <w:ind w:left="312" w:hanging="198"/>
      </w:pPr>
      <w:r>
        <w:rPr>
          <w:rFonts w:ascii="Calibri" w:hAnsi="Calibri"/>
          <w:b w:val="0"/>
          <w:color w:val="2C5F8A"/>
          <w:sz w:val="20"/>
        </w:rPr>
        <w:t xml:space="preserve">•  </w:t>
      </w:r>
      <w:r>
        <w:rPr>
          <w:rFonts w:ascii="Calibri" w:hAnsi="Calibri"/>
          <w:b w:val="0"/>
          <w:i w:val="0"/>
          <w:color w:val="333333"/>
          <w:sz w:val="20"/>
        </w:rPr>
        <w:t>Le gabarit est une donnée C4 : chiffré, jamais exporté, jamais affiché, jamais transmis à des tiers, y compris SUNULIFE.</w:t>
      </w:r>
    </w:p>
    <w:p>
      <w:pPr>
        <w:spacing w:after="40"/>
        <w:ind w:left="312" w:hanging="198"/>
      </w:pPr>
      <w:r>
        <w:rPr>
          <w:rFonts w:ascii="Calibri" w:hAnsi="Calibri"/>
          <w:b w:val="0"/>
          <w:color w:val="2C5F8A"/>
          <w:sz w:val="20"/>
        </w:rPr>
        <w:t xml:space="preserve">•  </w:t>
      </w:r>
      <w:r>
        <w:rPr>
          <w:rFonts w:ascii="Calibri" w:hAnsi="Calibri"/>
          <w:b w:val="0"/>
          <w:i w:val="0"/>
          <w:color w:val="333333"/>
          <w:sz w:val="20"/>
        </w:rPr>
        <w:t>Le consentement explicite, éclairé et écrit de l'assuré est requis, avec une alternative non biométrique toujours disponible.</w:t>
      </w:r>
    </w:p>
    <w:p>
      <w:pPr>
        <w:spacing w:after="40"/>
        <w:ind w:left="312" w:hanging="198"/>
      </w:pPr>
      <w:r>
        <w:rPr>
          <w:rFonts w:ascii="Calibri" w:hAnsi="Calibri"/>
          <w:b w:val="0"/>
          <w:color w:val="2C5F8A"/>
          <w:sz w:val="20"/>
        </w:rPr>
        <w:t xml:space="preserve">•  </w:t>
      </w:r>
      <w:r>
        <w:rPr>
          <w:rFonts w:ascii="Calibri" w:hAnsi="Calibri"/>
          <w:b w:val="0"/>
          <w:i w:val="0"/>
          <w:color w:val="333333"/>
          <w:sz w:val="20"/>
        </w:rPr>
        <w:t>Une déclaration CIL spécifique de SUNU est nécessaire, la donnée biométrique constituant une catégorie sensible.</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Recommandation : </w:t>
      </w:r>
      <w:r>
        <w:rPr>
          <w:rFonts w:ascii="Calibri" w:hAnsi="Calibri"/>
          <w:b/>
          <w:i w:val="0"/>
          <w:color w:val="333333"/>
          <w:sz w:val="20"/>
        </w:rPr>
        <w:t>ne pas activer la biométrie pour le pilote.</w:t>
      </w:r>
      <w:r>
        <w:rPr>
          <w:rFonts w:ascii="Calibri" w:hAnsi="Calibri"/>
          <w:b w:val="0"/>
          <w:i w:val="0"/>
          <w:color w:val="333333"/>
          <w:sz w:val="20"/>
        </w:rPr>
        <w:t xml:space="preserve"> Elle ajoute une complexité juridique et de recueil du consentement sans apport par rapport à carte + QR à ce stade. À réexaminer une fois la solution en production.</w:t>
      </w:r>
    </w:p>
    <w:p>
      <w:pPr>
        <w:pStyle w:val="Heading1"/>
        <w:pageBreakBefore/>
        <w:spacing w:before="360" w:after="80"/>
        <w:keepNext/>
        <w:pBdr>
          <w:bottom w:val="single" w:sz="8" w:space="6" w:color="1B3A5C"/>
        </w:pBdr>
      </w:pPr>
      <w:bookmarkStart w:id="126" w:name="_Toc_s025"/>
      <w:r>
        <w:rPr>
          <w:rFonts w:ascii="Calibri" w:hAnsi="Calibri"/>
          <w:b/>
          <w:color w:val="1B3A5C"/>
          <w:sz w:val="30"/>
        </w:rPr>
        <w:t>7. Sécurité des cartes physiques et virtuelles</w:t>
      </w:r>
      <w:bookmarkEnd w:id="126"/>
    </w:p>
    <w:p>
      <w:pPr>
        <w:pStyle w:val="Heading2"/>
        <w:spacing w:before="280" w:after="80"/>
        <w:keepNext/>
      </w:pPr>
      <w:bookmarkStart w:id="127" w:name="_Toc_s026"/>
      <w:r>
        <w:rPr>
          <w:rFonts w:ascii="Calibri" w:hAnsi="Calibri"/>
          <w:b/>
          <w:color w:val="1B3A5C"/>
          <w:sz w:val="24"/>
        </w:rPr>
        <w:t>7.1 Propriété de sécurité fondamentale</w:t>
      </w:r>
      <w:bookmarkEnd w:id="127"/>
    </w:p>
    <w:p>
      <w:r>
        <w:rPr>
          <w:rFonts w:ascii="Calibri" w:hAnsi="Calibri"/>
          <w:b/>
          <w:i w:val="0"/>
          <w:color w:val="333333"/>
          <w:sz w:val="20"/>
        </w:rPr>
        <w:t>Une carte SUNU est un jeton d'identité, non un instrument de paiement.</w:t>
      </w:r>
      <w:r>
        <w:rPr>
          <w:rFonts w:ascii="Calibri" w:hAnsi="Calibri"/>
          <w:b w:val="0"/>
          <w:i w:val="0"/>
          <w:color w:val="333333"/>
          <w:sz w:val="20"/>
        </w:rPr>
        <w:t xml:space="preserve"> Elle ne porte aucun solde, ne stocke aucune somme, ne détient aucun justificatif bancaire et ne peut par elle-même autoriser aucun débit. Présenter une carte amène le terminal à </w:t>
      </w:r>
      <w:r>
        <w:rPr>
          <w:rFonts w:ascii="Calibri" w:hAnsi="Calibri"/>
          <w:b w:val="0"/>
          <w:i/>
          <w:color w:val="333333"/>
          <w:sz w:val="20"/>
        </w:rPr>
        <w:t>rechercher</w:t>
      </w:r>
      <w:r>
        <w:rPr>
          <w:rFonts w:ascii="Calibri" w:hAnsi="Calibri"/>
          <w:b w:val="0"/>
          <w:i w:val="0"/>
          <w:color w:val="333333"/>
          <w:sz w:val="20"/>
        </w:rPr>
        <w:t xml:space="preserve"> un assuré et à afficher ses polices. L'argent ne se déplace que lorsqu'un collecteur authentifié enregistre un encaissement. Ce seul choix de conception élimine toute la classe de risque « carte volée = argent volé ».</w:t>
      </w:r>
    </w:p>
    <w:p>
      <w:pPr>
        <w:pStyle w:val="Heading2"/>
        <w:spacing w:before="280" w:after="80"/>
        <w:keepNext/>
      </w:pPr>
      <w:bookmarkStart w:id="128" w:name="_Toc_s027"/>
      <w:r>
        <w:rPr>
          <w:rFonts w:ascii="Calibri" w:hAnsi="Calibri"/>
          <w:b/>
          <w:color w:val="1B3A5C"/>
          <w:sz w:val="24"/>
        </w:rPr>
        <w:t>7.2 Contrôles de la carte physique</w:t>
      </w:r>
      <w:bookmarkEnd w:id="12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Contenu écrit</w:t>
            </w:r>
          </w:p>
        </w:tc>
        <w:tc>
          <w:tcPr>
            <w:tcW w:type="dxa" w:w="4873"/>
          </w:tcPr>
          <w:p>
            <w:pPr>
              <w:spacing w:before="40" w:after="40"/>
            </w:pPr>
            <w:r>
              <w:rPr>
                <w:rFonts w:ascii="Calibri" w:hAnsi="Calibri"/>
                <w:b w:val="0"/>
                <w:i w:val="0"/>
                <w:color w:val="333333"/>
                <w:sz w:val="17"/>
              </w:rPr>
              <w:t xml:space="preserve">Identifiant de carte, référence de l'assuré, emplacements de polices. </w:t>
            </w:r>
            <w:r>
              <w:rPr>
                <w:rFonts w:ascii="Calibri" w:hAnsi="Calibri"/>
                <w:b/>
                <w:i w:val="0"/>
                <w:color w:val="333333"/>
                <w:sz w:val="17"/>
              </w:rPr>
              <w:t>Ni CNIB, ni adresse, ni montants, ni code</w:t>
            </w:r>
          </w:p>
        </w:tc>
      </w:tr>
      <w:tr>
        <w:tc>
          <w:tcPr>
            <w:tcW w:type="dxa" w:w="4873"/>
            <w:shd w:val="clear" w:fill="F2F6FA"/>
          </w:tcPr>
          <w:p>
            <w:pPr>
              <w:spacing w:before="40" w:after="40"/>
            </w:pPr>
            <w:r>
              <w:rPr>
                <w:rFonts w:ascii="Calibri" w:hAnsi="Calibri"/>
                <w:b w:val="0"/>
                <w:i w:val="0"/>
                <w:color w:val="333333"/>
                <w:sz w:val="17"/>
              </w:rPr>
              <w:t>Contenu imprimé</w:t>
            </w:r>
          </w:p>
        </w:tc>
        <w:tc>
          <w:tcPr>
            <w:tcW w:type="dxa" w:w="4873"/>
            <w:shd w:val="clear" w:fill="F2F6FA"/>
          </w:tcPr>
          <w:p>
            <w:pPr>
              <w:spacing w:before="40" w:after="40"/>
            </w:pPr>
            <w:r>
              <w:rPr>
                <w:rFonts w:ascii="Calibri" w:hAnsi="Calibri"/>
                <w:b w:val="0"/>
                <w:i w:val="0"/>
                <w:color w:val="333333"/>
                <w:sz w:val="17"/>
              </w:rPr>
              <w:t>Marque SUNU, nom et prénoms de l'assuré, numéro de carte, expiration — conformément au TdR</w:t>
            </w:r>
          </w:p>
        </w:tc>
      </w:tr>
      <w:tr>
        <w:tc>
          <w:tcPr>
            <w:tcW w:type="dxa" w:w="4873"/>
          </w:tcPr>
          <w:p>
            <w:pPr>
              <w:spacing w:before="40" w:after="40"/>
            </w:pPr>
            <w:r>
              <w:rPr>
                <w:rFonts w:ascii="Calibri" w:hAnsi="Calibri"/>
                <w:b w:val="0"/>
                <w:i w:val="0"/>
                <w:color w:val="333333"/>
                <w:sz w:val="17"/>
              </w:rPr>
              <w:t>Résistance au clonage</w:t>
            </w:r>
          </w:p>
        </w:tc>
        <w:tc>
          <w:tcPr>
            <w:tcW w:type="dxa" w:w="4873"/>
          </w:tcPr>
          <w:p>
            <w:pPr>
              <w:spacing w:before="40" w:after="40"/>
            </w:pPr>
            <w:r>
              <w:rPr>
                <w:rFonts w:ascii="Calibri" w:hAnsi="Calibri"/>
                <w:b w:val="0"/>
                <w:i w:val="0"/>
                <w:color w:val="333333"/>
                <w:sz w:val="17"/>
              </w:rPr>
              <w:t>Cartes sans contact avec clés par carte vivement recommandées plutôt que la piste magnétique, clonable sans difficulté (Doc 1 §7.2, point ouvert OP-3)</w:t>
            </w:r>
          </w:p>
        </w:tc>
      </w:tr>
      <w:tr>
        <w:tc>
          <w:tcPr>
            <w:tcW w:type="dxa" w:w="4873"/>
            <w:shd w:val="clear" w:fill="F2F6FA"/>
          </w:tcPr>
          <w:p>
            <w:pPr>
              <w:spacing w:before="40" w:after="40"/>
            </w:pPr>
            <w:r>
              <w:rPr>
                <w:rFonts w:ascii="Calibri" w:hAnsi="Calibri"/>
                <w:b w:val="0"/>
                <w:i w:val="0"/>
                <w:color w:val="333333"/>
                <w:sz w:val="17"/>
              </w:rPr>
              <w:t>Cycle de vie</w:t>
            </w:r>
          </w:p>
        </w:tc>
        <w:tc>
          <w:tcPr>
            <w:tcW w:type="dxa" w:w="4873"/>
            <w:shd w:val="clear" w:fill="F2F6FA"/>
          </w:tcPr>
          <w:p>
            <w:pPr>
              <w:spacing w:before="40" w:after="40"/>
            </w:pPr>
            <w:r>
              <w:rPr>
                <w:rFonts w:ascii="Calibri" w:hAnsi="Calibri"/>
                <w:b w:val="0"/>
                <w:i w:val="0"/>
                <w:color w:val="333333"/>
                <w:sz w:val="17"/>
              </w:rPr>
              <w:t>Modèle de statut complet avec motif de blocage, horodatages et chaîne de remplacement ; une carte remplacée est définitivement inutilisable</w:t>
            </w:r>
          </w:p>
        </w:tc>
      </w:tr>
      <w:tr>
        <w:tc>
          <w:tcPr>
            <w:tcW w:type="dxa" w:w="4873"/>
          </w:tcPr>
          <w:p>
            <w:pPr>
              <w:spacing w:before="40" w:after="40"/>
            </w:pPr>
            <w:r>
              <w:rPr>
                <w:rFonts w:ascii="Calibri" w:hAnsi="Calibri"/>
                <w:b w:val="0"/>
                <w:i w:val="0"/>
                <w:color w:val="333333"/>
                <w:sz w:val="17"/>
              </w:rPr>
              <w:t>Blocage</w:t>
            </w:r>
          </w:p>
        </w:tc>
        <w:tc>
          <w:tcPr>
            <w:tcW w:type="dxa" w:w="4873"/>
          </w:tcPr>
          <w:p>
            <w:pPr>
              <w:spacing w:before="40" w:after="40"/>
            </w:pPr>
            <w:r>
              <w:rPr>
                <w:rFonts w:ascii="Calibri" w:hAnsi="Calibri"/>
                <w:b w:val="0"/>
                <w:i w:val="0"/>
                <w:color w:val="333333"/>
                <w:sz w:val="17"/>
              </w:rPr>
              <w:t>Immédiat au back-office ; propagé aux terminaux à la synchronisation suivante et appliqué côté serveur sans délai</w:t>
            </w:r>
          </w:p>
        </w:tc>
      </w:tr>
      <w:tr>
        <w:tc>
          <w:tcPr>
            <w:tcW w:type="dxa" w:w="4873"/>
            <w:shd w:val="clear" w:fill="F2F6FA"/>
          </w:tcPr>
          <w:p>
            <w:pPr>
              <w:spacing w:before="40" w:after="40"/>
            </w:pPr>
            <w:r>
              <w:rPr>
                <w:rFonts w:ascii="Calibri" w:hAnsi="Calibri"/>
                <w:b w:val="0"/>
                <w:i w:val="0"/>
                <w:color w:val="333333"/>
                <w:sz w:val="17"/>
              </w:rPr>
              <w:t>Contrôle du stock</w:t>
            </w:r>
          </w:p>
        </w:tc>
        <w:tc>
          <w:tcPr>
            <w:tcW w:type="dxa" w:w="4873"/>
            <w:shd w:val="clear" w:fill="F2F6FA"/>
          </w:tcPr>
          <w:p>
            <w:pPr>
              <w:spacing w:before="40" w:after="40"/>
            </w:pPr>
            <w:r>
              <w:rPr>
                <w:rFonts w:ascii="Calibri" w:hAnsi="Calibri"/>
                <w:b w:val="0"/>
                <w:i w:val="0"/>
                <w:color w:val="333333"/>
                <w:sz w:val="17"/>
              </w:rPr>
              <w:t>Les cartes vierges sont inventoriées ; chaque numéro est traçable du stock jusqu'à l'assuré ; comptage périodique rapproché des enregistrements d'émission</w:t>
            </w:r>
          </w:p>
        </w:tc>
      </w:tr>
      <w:tr>
        <w:tc>
          <w:tcPr>
            <w:tcW w:type="dxa" w:w="4873"/>
          </w:tcPr>
          <w:p>
            <w:pPr>
              <w:spacing w:before="40" w:after="40"/>
            </w:pPr>
            <w:r>
              <w:rPr>
                <w:rFonts w:ascii="Calibri" w:hAnsi="Calibri"/>
                <w:b w:val="0"/>
                <w:i w:val="0"/>
                <w:color w:val="333333"/>
                <w:sz w:val="17"/>
              </w:rPr>
              <w:t>Station de personnalisation</w:t>
            </w:r>
          </w:p>
        </w:tc>
        <w:tc>
          <w:tcPr>
            <w:tcW w:type="dxa" w:w="4873"/>
          </w:tcPr>
          <w:p>
            <w:pPr>
              <w:spacing w:before="40" w:after="40"/>
            </w:pPr>
            <w:r>
              <w:rPr>
                <w:rFonts w:ascii="Calibri" w:hAnsi="Calibri"/>
                <w:b w:val="0"/>
                <w:i w:val="0"/>
                <w:color w:val="333333"/>
                <w:sz w:val="17"/>
              </w:rPr>
              <w:t>Physiquement sécurisée, à accès contrôlé, dans un local sous contrôle SUNU ; les fichiers de personnalisation sont générés par lot, transférés par un canal interne et supprimés après usage</w:t>
            </w:r>
          </w:p>
        </w:tc>
      </w:tr>
    </w:tbl>
    <w:p>
      <w:pPr>
        <w:spacing w:after="40"/>
      </w:pPr>
    </w:p>
    <w:p>
      <w:pPr>
        <w:pStyle w:val="Heading2"/>
        <w:spacing w:before="280" w:after="80"/>
        <w:keepNext/>
      </w:pPr>
      <w:bookmarkStart w:id="129" w:name="_Toc_s028"/>
      <w:r>
        <w:rPr>
          <w:rFonts w:ascii="Calibri" w:hAnsi="Calibri"/>
          <w:b/>
          <w:color w:val="1B3A5C"/>
          <w:sz w:val="24"/>
        </w:rPr>
        <w:t>7.3 Contrôles de la carte virtuelle (QR)</w:t>
      </w:r>
      <w:bookmarkEnd w:id="12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Intégrité</w:t>
            </w:r>
          </w:p>
        </w:tc>
        <w:tc>
          <w:tcPr>
            <w:tcW w:type="dxa" w:w="4873"/>
          </w:tcPr>
          <w:p>
            <w:pPr>
              <w:spacing w:before="40" w:after="40"/>
            </w:pPr>
            <w:r>
              <w:rPr>
                <w:rFonts w:ascii="Calibri" w:hAnsi="Calibri"/>
                <w:b w:val="0"/>
                <w:i w:val="0"/>
                <w:color w:val="333333"/>
                <w:sz w:val="17"/>
              </w:rPr>
              <w:t>Charge utile signée cryptographiquement (HMAC-SHA256 ou ECDSA P-256) ; toute altération invalide la signature</w:t>
            </w:r>
          </w:p>
        </w:tc>
      </w:tr>
      <w:tr>
        <w:tc>
          <w:tcPr>
            <w:tcW w:type="dxa" w:w="4873"/>
            <w:shd w:val="clear" w:fill="F2F6FA"/>
          </w:tcPr>
          <w:p>
            <w:pPr>
              <w:spacing w:before="40" w:after="40"/>
            </w:pPr>
            <w:r>
              <w:rPr>
                <w:rFonts w:ascii="Calibri" w:hAnsi="Calibri"/>
                <w:b w:val="0"/>
                <w:i w:val="0"/>
                <w:color w:val="333333"/>
                <w:sz w:val="17"/>
              </w:rPr>
              <w:t>Vérification hors ligne</w:t>
            </w:r>
          </w:p>
        </w:tc>
        <w:tc>
          <w:tcPr>
            <w:tcW w:type="dxa" w:w="4873"/>
            <w:shd w:val="clear" w:fill="F2F6FA"/>
          </w:tcPr>
          <w:p>
            <w:pPr>
              <w:spacing w:before="40" w:after="40"/>
            </w:pPr>
            <w:r>
              <w:rPr>
                <w:rFonts w:ascii="Calibri" w:hAnsi="Calibri"/>
                <w:b w:val="0"/>
                <w:i w:val="0"/>
                <w:color w:val="333333"/>
                <w:sz w:val="17"/>
              </w:rPr>
              <w:t>Le terminal vérifie la signature sans accès réseau ; un QR contrefait est rejeté sur l'appareil</w:t>
            </w:r>
          </w:p>
        </w:tc>
      </w:tr>
      <w:tr>
        <w:tc>
          <w:tcPr>
            <w:tcW w:type="dxa" w:w="4873"/>
          </w:tcPr>
          <w:p>
            <w:pPr>
              <w:spacing w:before="40" w:after="40"/>
            </w:pPr>
            <w:r>
              <w:rPr>
                <w:rFonts w:ascii="Calibri" w:hAnsi="Calibri"/>
                <w:b w:val="0"/>
                <w:i w:val="0"/>
                <w:color w:val="333333"/>
                <w:sz w:val="17"/>
              </w:rPr>
              <w:t>Gestion des clés</w:t>
            </w:r>
          </w:p>
        </w:tc>
        <w:tc>
          <w:tcPr>
            <w:tcW w:type="dxa" w:w="4873"/>
          </w:tcPr>
          <w:p>
            <w:pPr>
              <w:spacing w:before="40" w:after="40"/>
            </w:pPr>
            <w:r>
              <w:rPr>
                <w:rFonts w:ascii="Calibri" w:hAnsi="Calibri"/>
                <w:b w:val="0"/>
                <w:i w:val="0"/>
                <w:color w:val="333333"/>
                <w:sz w:val="17"/>
              </w:rPr>
              <w:t>Clé de signature versionnée (</w:t>
            </w:r>
            <w:r>
              <w:rPr>
                <w:rFonts w:ascii="Consolas" w:hAnsi="Consolas"/>
                <w:b w:val="0"/>
                <w:i w:val="0"/>
                <w:color w:val="1B3A5C"/>
                <w:sz w:val="16"/>
              </w:rPr>
              <w:t>kid</w:t>
            </w:r>
            <w:r>
              <w:rPr>
                <w:rFonts w:ascii="Calibri" w:hAnsi="Calibri"/>
                <w:b w:val="0"/>
                <w:i w:val="0"/>
                <w:color w:val="333333"/>
                <w:sz w:val="17"/>
              </w:rPr>
              <w:t xml:space="preserve"> dans la charge utile) ; clé privée/HMAC détenue côté serveur dans le coffre ; le terminal ne détient que ce qui lui est nécessaire pour vérifier ; rotation annuelle, avec chevauchement de validité pour que les cartes en circulation continuent de fonctionner</w:t>
            </w:r>
          </w:p>
        </w:tc>
      </w:tr>
      <w:tr>
        <w:tc>
          <w:tcPr>
            <w:tcW w:type="dxa" w:w="4873"/>
            <w:shd w:val="clear" w:fill="F2F6FA"/>
          </w:tcPr>
          <w:p>
            <w:pPr>
              <w:spacing w:before="40" w:after="40"/>
            </w:pPr>
            <w:r>
              <w:rPr>
                <w:rFonts w:ascii="Calibri" w:hAnsi="Calibri"/>
                <w:b w:val="0"/>
                <w:i w:val="0"/>
                <w:color w:val="333333"/>
                <w:sz w:val="17"/>
              </w:rPr>
              <w:t>Expiration</w:t>
            </w:r>
          </w:p>
        </w:tc>
        <w:tc>
          <w:tcPr>
            <w:tcW w:type="dxa" w:w="4873"/>
            <w:shd w:val="clear" w:fill="F2F6FA"/>
          </w:tcPr>
          <w:p>
            <w:pPr>
              <w:spacing w:before="40" w:after="40"/>
            </w:pPr>
            <w:r>
              <w:rPr>
                <w:rFonts w:ascii="Calibri" w:hAnsi="Calibri"/>
                <w:b w:val="0"/>
                <w:i w:val="0"/>
                <w:color w:val="333333"/>
                <w:sz w:val="17"/>
              </w:rPr>
              <w:t>Chaque justificatif porte une date d'émission et une date d'expiration ; les QR expirés sont refusés</w:t>
            </w:r>
          </w:p>
        </w:tc>
      </w:tr>
      <w:tr>
        <w:tc>
          <w:tcPr>
            <w:tcW w:type="dxa" w:w="4873"/>
          </w:tcPr>
          <w:p>
            <w:pPr>
              <w:spacing w:before="40" w:after="40"/>
            </w:pPr>
            <w:r>
              <w:rPr>
                <w:rFonts w:ascii="Calibri" w:hAnsi="Calibri"/>
                <w:b w:val="0"/>
                <w:i w:val="0"/>
                <w:color w:val="333333"/>
                <w:sz w:val="17"/>
              </w:rPr>
              <w:t>Révocation</w:t>
            </w:r>
          </w:p>
        </w:tc>
        <w:tc>
          <w:tcPr>
            <w:tcW w:type="dxa" w:w="4873"/>
          </w:tcPr>
          <w:p>
            <w:pPr>
              <w:spacing w:before="40" w:after="40"/>
            </w:pPr>
            <w:r>
              <w:rPr>
                <w:rFonts w:ascii="Calibri" w:hAnsi="Calibri"/>
                <w:b w:val="0"/>
                <w:i w:val="0"/>
                <w:color w:val="333333"/>
                <w:sz w:val="17"/>
              </w:rPr>
              <w:t>Liste de révocation synchronisée vers les terminaux à chaque synchronisation ; le rejet côté serveur est immédiat</w:t>
            </w:r>
          </w:p>
        </w:tc>
      </w:tr>
      <w:tr>
        <w:tc>
          <w:tcPr>
            <w:tcW w:type="dxa" w:w="4873"/>
            <w:shd w:val="clear" w:fill="F2F6FA"/>
          </w:tcPr>
          <w:p>
            <w:pPr>
              <w:spacing w:before="40" w:after="40"/>
            </w:pPr>
            <w:r>
              <w:rPr>
                <w:rFonts w:ascii="Calibri" w:hAnsi="Calibri"/>
                <w:b w:val="0"/>
                <w:i w:val="0"/>
                <w:color w:val="333333"/>
                <w:sz w:val="17"/>
              </w:rPr>
              <w:t>Anti-rejeu</w:t>
            </w:r>
          </w:p>
        </w:tc>
        <w:tc>
          <w:tcPr>
            <w:tcW w:type="dxa" w:w="4873"/>
            <w:shd w:val="clear" w:fill="F2F6FA"/>
          </w:tcPr>
          <w:p>
            <w:pPr>
              <w:spacing w:before="40" w:after="40"/>
            </w:pPr>
            <w:r>
              <w:rPr>
                <w:rFonts w:ascii="Calibri" w:hAnsi="Calibri"/>
                <w:b w:val="0"/>
                <w:i w:val="0"/>
                <w:color w:val="333333"/>
                <w:sz w:val="17"/>
              </w:rPr>
              <w:t xml:space="preserve">Un QR identifie mais n'autorise jamais. Même un QR parfaitement copié ne produit qu'un encaissement enregistré </w:t>
            </w:r>
            <w:r>
              <w:rPr>
                <w:rFonts w:ascii="Calibri" w:hAnsi="Calibri"/>
                <w:b/>
                <w:i w:val="0"/>
                <w:color w:val="333333"/>
                <w:sz w:val="17"/>
              </w:rPr>
              <w:t>au nom du véritable assuré et sur sa véritable police</w:t>
            </w:r>
            <w:r>
              <w:rPr>
                <w:rFonts w:ascii="Calibri" w:hAnsi="Calibri"/>
                <w:b w:val="0"/>
                <w:i w:val="0"/>
                <w:color w:val="333333"/>
                <w:sz w:val="17"/>
              </w:rPr>
              <w:t xml:space="preserve"> — il n'y a aucun gain frauduleux</w:t>
            </w:r>
          </w:p>
        </w:tc>
      </w:tr>
      <w:tr>
        <w:tc>
          <w:tcPr>
            <w:tcW w:type="dxa" w:w="4873"/>
          </w:tcPr>
          <w:p>
            <w:pPr>
              <w:spacing w:before="40" w:after="40"/>
            </w:pPr>
            <w:r>
              <w:rPr>
                <w:rFonts w:ascii="Calibri" w:hAnsi="Calibri"/>
                <w:b w:val="0"/>
                <w:i w:val="0"/>
                <w:color w:val="333333"/>
                <w:sz w:val="17"/>
              </w:rPr>
              <w:t>Diffusion</w:t>
            </w:r>
          </w:p>
        </w:tc>
        <w:tc>
          <w:tcPr>
            <w:tcW w:type="dxa" w:w="4873"/>
          </w:tcPr>
          <w:p>
            <w:pPr>
              <w:spacing w:before="40" w:after="40"/>
            </w:pPr>
            <w:r>
              <w:rPr>
                <w:rFonts w:ascii="Calibri" w:hAnsi="Calibri"/>
                <w:b w:val="0"/>
                <w:i w:val="0"/>
                <w:color w:val="333333"/>
                <w:sz w:val="17"/>
              </w:rPr>
              <w:t>Imprimé sur les conditions particulières ou envoyé par lien SMS ; jamais transmis avec un quelconque secret</w:t>
            </w:r>
          </w:p>
        </w:tc>
      </w:tr>
      <w:tr>
        <w:tc>
          <w:tcPr>
            <w:tcW w:type="dxa" w:w="4873"/>
            <w:shd w:val="clear" w:fill="F2F6FA"/>
          </w:tcPr>
          <w:p>
            <w:pPr>
              <w:spacing w:before="40" w:after="40"/>
            </w:pPr>
            <w:r>
              <w:rPr>
                <w:rFonts w:ascii="Calibri" w:hAnsi="Calibri"/>
                <w:b w:val="0"/>
                <w:i w:val="0"/>
                <w:color w:val="333333"/>
                <w:sz w:val="17"/>
              </w:rPr>
              <w:t>Vie privée</w:t>
            </w:r>
          </w:p>
        </w:tc>
        <w:tc>
          <w:tcPr>
            <w:tcW w:type="dxa" w:w="4873"/>
            <w:shd w:val="clear" w:fill="F2F6FA"/>
          </w:tcPr>
          <w:p>
            <w:pPr>
              <w:spacing w:before="40" w:after="40"/>
            </w:pPr>
            <w:r>
              <w:rPr>
                <w:rFonts w:ascii="Calibri" w:hAnsi="Calibri"/>
                <w:b w:val="0"/>
                <w:i w:val="0"/>
                <w:color w:val="333333"/>
                <w:sz w:val="17"/>
              </w:rPr>
              <w:t>La charge utile contient une référence et un nom d'affichage — ni CNIB, ni adresse, ni montant</w:t>
            </w:r>
          </w:p>
        </w:tc>
      </w:tr>
    </w:tbl>
    <w:p>
      <w:pPr>
        <w:spacing w:after="40"/>
      </w:pPr>
    </w:p>
    <w:p>
      <w:pPr>
        <w:pStyle w:val="Heading1"/>
        <w:pageBreakBefore/>
        <w:spacing w:before="360" w:after="80"/>
        <w:keepNext/>
        <w:pBdr>
          <w:bottom w:val="single" w:sz="8" w:space="6" w:color="1B3A5C"/>
        </w:pBdr>
      </w:pPr>
      <w:bookmarkStart w:id="130" w:name="_Toc_s029"/>
      <w:r>
        <w:rPr>
          <w:rFonts w:ascii="Calibri" w:hAnsi="Calibri"/>
          <w:b/>
          <w:color w:val="1B3A5C"/>
          <w:sz w:val="30"/>
        </w:rPr>
        <w:t>8. Contrôles financiers et anti-fraude</w:t>
      </w:r>
      <w:bookmarkEnd w:id="130"/>
    </w:p>
    <w:p>
      <w:r>
        <w:rPr>
          <w:rFonts w:ascii="Calibri" w:hAnsi="Calibri"/>
          <w:b w:val="0"/>
          <w:i w:val="0"/>
          <w:color w:val="333333"/>
          <w:sz w:val="20"/>
        </w:rPr>
        <w:t>Cette section traite la menace de plus haute priorité : le collecteur malhonnête (T1).</w:t>
      </w:r>
    </w:p>
    <w:p>
      <w:pPr>
        <w:pStyle w:val="Heading2"/>
        <w:spacing w:before="280" w:after="80"/>
        <w:keepNext/>
      </w:pPr>
      <w:bookmarkStart w:id="131" w:name="_Toc_s030"/>
      <w:r>
        <w:rPr>
          <w:rFonts w:ascii="Calibri" w:hAnsi="Calibri"/>
          <w:b/>
          <w:color w:val="1B3A5C"/>
          <w:sz w:val="24"/>
        </w:rPr>
        <w:t>8.1 Registre d'encaissement en ajout seul</w:t>
      </w:r>
      <w:bookmarkEnd w:id="131"/>
    </w:p>
    <w:p>
      <w:r>
        <w:rPr>
          <w:rFonts w:ascii="Calibri" w:hAnsi="Calibri"/>
          <w:b w:val="0"/>
          <w:i w:val="0"/>
          <w:color w:val="333333"/>
          <w:sz w:val="20"/>
        </w:rPr>
        <w:t xml:space="preserve">Les encaissements et les transactions ne sont </w:t>
      </w:r>
      <w:r>
        <w:rPr>
          <w:rFonts w:ascii="Calibri" w:hAnsi="Calibri"/>
          <w:b/>
          <w:i w:val="0"/>
          <w:color w:val="333333"/>
          <w:sz w:val="20"/>
        </w:rPr>
        <w:t>jamais physiquement supprimés ni écrasés</w:t>
      </w:r>
      <w:r>
        <w:rPr>
          <w:rFonts w:ascii="Calibri" w:hAnsi="Calibri"/>
          <w:b w:val="0"/>
          <w:i w:val="0"/>
          <w:color w:val="333333"/>
          <w:sz w:val="20"/>
        </w:rPr>
        <w:t>. Une correction est une écriture nouvelle et inverse, exigeant une habilitation explicite, un motif obligatoire, et générant un enregistrement d'audit. Chaque écriture porte une référence unique et un lien vers son terminal, son agent, son horodatage et, lorsque disponible, sa position GPS.</w:t>
      </w:r>
    </w:p>
    <w:p>
      <w:pPr>
        <w:pStyle w:val="Heading2"/>
        <w:spacing w:before="280" w:after="80"/>
        <w:keepNext/>
      </w:pPr>
      <w:bookmarkStart w:id="132" w:name="_Toc_s031"/>
      <w:r>
        <w:rPr>
          <w:rFonts w:ascii="Calibri" w:hAnsi="Calibri"/>
          <w:b/>
          <w:color w:val="1B3A5C"/>
          <w:sz w:val="24"/>
        </w:rPr>
        <w:t>8.2 Le plafond et le versement comme plancher de perte</w:t>
      </w:r>
      <w:bookmarkEnd w:id="132"/>
    </w:p>
    <w:p>
      <w:r>
        <w:rPr>
          <w:rFonts w:ascii="Calibri" w:hAnsi="Calibri"/>
          <w:b w:val="0"/>
          <w:i w:val="0"/>
          <w:color w:val="333333"/>
          <w:sz w:val="20"/>
        </w:rPr>
        <w:t xml:space="preserve">Le plafond du collecteur (Doc 1 §6.3) est le contrôle financier principal : il </w:t>
      </w:r>
      <w:r>
        <w:rPr>
          <w:rFonts w:ascii="Calibri" w:hAnsi="Calibri"/>
          <w:b/>
          <w:i w:val="0"/>
          <w:color w:val="333333"/>
          <w:sz w:val="20"/>
        </w:rPr>
        <w:t>borne le montant maximal qu'un collecteur peut détenir à un instant donné</w:t>
      </w:r>
      <w:r>
        <w:rPr>
          <w:rFonts w:ascii="Calibri" w:hAnsi="Calibri"/>
          <w:b w:val="0"/>
          <w:i w:val="0"/>
          <w:color w:val="333333"/>
          <w:sz w:val="20"/>
        </w:rPr>
        <w:t>. Le terminal l'applique — au plafond, les nouveaux encaissements sont refusés jusqu'à confirmation d'un versement. Cela convertit une exposition à la fraude non bornée en une limite connue, paramétrable et propre à chaque collecteur.</w:t>
      </w:r>
    </w:p>
    <w:p>
      <w:pPr>
        <w:pStyle w:val="Heading2"/>
        <w:spacing w:before="280" w:after="80"/>
        <w:keepNext/>
      </w:pPr>
      <w:bookmarkStart w:id="133" w:name="_Toc_s032"/>
      <w:r>
        <w:rPr>
          <w:rFonts w:ascii="Calibri" w:hAnsi="Calibri"/>
          <w:b/>
          <w:color w:val="1B3A5C"/>
          <w:sz w:val="24"/>
        </w:rPr>
        <w:t>8.3 Séparation des tâches sur le versement</w:t>
      </w:r>
      <w:bookmarkEnd w:id="133"/>
    </w:p>
    <w:p>
      <w:pPr>
        <w:spacing w:before="120" w:after="160" w:line="240" w:lineRule="auto"/>
        <w:ind w:left="113"/>
        <w:shd w:val="clear" w:fill="F4F5F2"/>
        <w:pBdr>
          <w:left w:val="single" w:sz="12" w:space="6" w:color="1B3A5C"/>
        </w:pBdr>
      </w:pPr>
      <w:r>
        <w:rPr>
          <w:rFonts w:ascii="Consolas" w:hAnsi="Consolas" w:cs="Consolas"/>
          <w:color w:val="333333"/>
          <w:sz w:val="15"/>
        </w:rPr>
        <w:t xml:space="preserve">   encaisse  ─────►  COLLECTEUR       (peut déclarer, ne peut pas confirmer)</w:t>
        <w:br/>
      </w:r>
      <w:r>
        <w:rPr>
          <w:rFonts w:ascii="Consolas" w:hAnsi="Consolas" w:cs="Consolas"/>
          <w:color w:val="333333"/>
          <w:sz w:val="15"/>
        </w:rPr>
        <w:t xml:space="preserve">   confirme  ─────►  SUPERVISEUR      (peut confirmer, ne peut pas encaisser)</w:t>
        <w:br/>
      </w:r>
      <w:r>
        <w:rPr>
          <w:rFonts w:ascii="Consolas" w:hAnsi="Consolas" w:cs="Consolas"/>
          <w:color w:val="333333"/>
          <w:sz w:val="15"/>
        </w:rPr>
        <w:t xml:space="preserve">   configure ─────►  ADMINISTRATEUR   (fixe le plafond, ne fait ni l'un ni l'autre)</w:t>
        <w:br/>
      </w:r>
      <w:r>
        <w:rPr>
          <w:rFonts w:ascii="Consolas" w:hAnsi="Consolas" w:cs="Consolas"/>
          <w:color w:val="333333"/>
          <w:sz w:val="15"/>
        </w:rPr>
        <w:t xml:space="preserve">   au-delà du seuil ► SECOND VALIDEUR (maker-checker, montant paramétrable)</w:t>
      </w:r>
    </w:p>
    <w:p>
      <w:r>
        <w:rPr>
          <w:rFonts w:ascii="Calibri" w:hAnsi="Calibri"/>
          <w:b w:val="0"/>
          <w:i w:val="0"/>
          <w:color w:val="333333"/>
          <w:sz w:val="20"/>
        </w:rPr>
        <w:t>La confirmation exige une preuve : référence bancaire ou image du bordereau pour un dépôt en banque, procès-verbal de comptage pour une remise en caisse. Tout écart entre le montant déclaré et le montant confirmé est consigné, imputé et signalé — il n'est jamais absorbé silencieusement.</w:t>
      </w:r>
    </w:p>
    <w:p>
      <w:pPr>
        <w:pStyle w:val="Heading2"/>
        <w:spacing w:before="280" w:after="80"/>
        <w:keepNext/>
      </w:pPr>
      <w:bookmarkStart w:id="134" w:name="_Toc_s033"/>
      <w:r>
        <w:rPr>
          <w:rFonts w:ascii="Calibri" w:hAnsi="Calibri"/>
          <w:b/>
          <w:color w:val="1B3A5C"/>
          <w:sz w:val="24"/>
        </w:rPr>
        <w:t>8.4 Contrôles de détection</w:t>
      </w:r>
      <w:bookmarkEnd w:id="13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Objet</w:t>
            </w:r>
          </w:p>
        </w:tc>
      </w:tr>
      <w:tr>
        <w:tc>
          <w:tcPr>
            <w:tcW w:type="dxa" w:w="4873"/>
          </w:tcPr>
          <w:p>
            <w:pPr>
              <w:spacing w:before="40" w:after="40"/>
            </w:pPr>
            <w:r>
              <w:rPr>
                <w:rFonts w:ascii="Calibri" w:hAnsi="Calibri"/>
                <w:b w:val="0"/>
                <w:i w:val="0"/>
                <w:color w:val="333333"/>
                <w:sz w:val="17"/>
              </w:rPr>
              <w:t>Numérotation séquentielle des reçus par terminal, avec détection automatique des ruptures</w:t>
            </w:r>
          </w:p>
        </w:tc>
        <w:tc>
          <w:tcPr>
            <w:tcW w:type="dxa" w:w="4873"/>
          </w:tcPr>
          <w:p>
            <w:pPr>
              <w:spacing w:before="40" w:after="40"/>
            </w:pPr>
            <w:r>
              <w:rPr>
                <w:rFonts w:ascii="Calibri" w:hAnsi="Calibri"/>
                <w:b w:val="0"/>
                <w:i w:val="0"/>
                <w:color w:val="333333"/>
                <w:sz w:val="17"/>
              </w:rPr>
              <w:t>Détecte les reçus supprimés ou détruits</w:t>
            </w:r>
          </w:p>
        </w:tc>
      </w:tr>
      <w:tr>
        <w:tc>
          <w:tcPr>
            <w:tcW w:type="dxa" w:w="4873"/>
            <w:shd w:val="clear" w:fill="F2F6FA"/>
          </w:tcPr>
          <w:p>
            <w:pPr>
              <w:spacing w:before="40" w:after="40"/>
            </w:pPr>
            <w:r>
              <w:rPr>
                <w:rFonts w:ascii="Calibri" w:hAnsi="Calibri"/>
                <w:b w:val="0"/>
                <w:i w:val="0"/>
                <w:color w:val="333333"/>
                <w:sz w:val="17"/>
              </w:rPr>
              <w:t>Confirmation SMS de l'encaissement au téléphone de l'assuré</w:t>
            </w:r>
          </w:p>
        </w:tc>
        <w:tc>
          <w:tcPr>
            <w:tcW w:type="dxa" w:w="4873"/>
            <w:shd w:val="clear" w:fill="F2F6FA"/>
          </w:tcPr>
          <w:p>
            <w:pPr>
              <w:spacing w:before="40" w:after="40"/>
            </w:pPr>
            <w:r>
              <w:rPr>
                <w:rFonts w:ascii="Calibri" w:hAnsi="Calibri"/>
                <w:b w:val="0"/>
                <w:i w:val="0"/>
                <w:color w:val="333333"/>
                <w:sz w:val="17"/>
              </w:rPr>
              <w:t>L'assuré devient un témoin indépendant de chaque encaissement — le contrôle isolé le plus efficace contre TH-1</w:t>
            </w:r>
          </w:p>
        </w:tc>
      </w:tr>
      <w:tr>
        <w:tc>
          <w:tcPr>
            <w:tcW w:type="dxa" w:w="4873"/>
          </w:tcPr>
          <w:p>
            <w:pPr>
              <w:spacing w:before="40" w:after="40"/>
            </w:pPr>
            <w:r>
              <w:rPr>
                <w:rFonts w:ascii="Calibri" w:hAnsi="Calibri"/>
                <w:b w:val="0"/>
                <w:i w:val="0"/>
                <w:color w:val="333333"/>
                <w:sz w:val="17"/>
              </w:rPr>
              <w:t>Position GPS sur chaque encaissement</w:t>
            </w:r>
          </w:p>
        </w:tc>
        <w:tc>
          <w:tcPr>
            <w:tcW w:type="dxa" w:w="4873"/>
          </w:tcPr>
          <w:p>
            <w:pPr>
              <w:spacing w:before="40" w:after="40"/>
            </w:pPr>
            <w:r>
              <w:rPr>
                <w:rFonts w:ascii="Calibri" w:hAnsi="Calibri"/>
                <w:b w:val="0"/>
                <w:i w:val="0"/>
                <w:color w:val="333333"/>
                <w:sz w:val="17"/>
              </w:rPr>
              <w:t>Détecte les encaissements enregistrés loin de tout lieu client plausible, ou regroupés au domicile du collecteur</w:t>
            </w:r>
          </w:p>
        </w:tc>
      </w:tr>
      <w:tr>
        <w:tc>
          <w:tcPr>
            <w:tcW w:type="dxa" w:w="4873"/>
            <w:shd w:val="clear" w:fill="F2F6FA"/>
          </w:tcPr>
          <w:p>
            <w:pPr>
              <w:spacing w:before="40" w:after="40"/>
            </w:pPr>
            <w:r>
              <w:rPr>
                <w:rFonts w:ascii="Calibri" w:hAnsi="Calibri"/>
                <w:b w:val="0"/>
                <w:i w:val="0"/>
                <w:color w:val="333333"/>
                <w:sz w:val="17"/>
              </w:rPr>
              <w:t>Analyse temporelle</w:t>
            </w:r>
          </w:p>
        </w:tc>
        <w:tc>
          <w:tcPr>
            <w:tcW w:type="dxa" w:w="4873"/>
            <w:shd w:val="clear" w:fill="F2F6FA"/>
          </w:tcPr>
          <w:p>
            <w:pPr>
              <w:spacing w:before="40" w:after="40"/>
            </w:pPr>
            <w:r>
              <w:rPr>
                <w:rFonts w:ascii="Calibri" w:hAnsi="Calibri"/>
                <w:b w:val="0"/>
                <w:i w:val="0"/>
                <w:color w:val="333333"/>
                <w:sz w:val="17"/>
              </w:rPr>
              <w:t>Signale les séquences improbables (nombreux encaissements en quelques secondes, activité à des heures invraisemblables)</w:t>
            </w:r>
          </w:p>
        </w:tc>
      </w:tr>
      <w:tr>
        <w:tc>
          <w:tcPr>
            <w:tcW w:type="dxa" w:w="4873"/>
          </w:tcPr>
          <w:p>
            <w:pPr>
              <w:spacing w:before="40" w:after="40"/>
            </w:pPr>
            <w:r>
              <w:rPr>
                <w:rFonts w:ascii="Calibri" w:hAnsi="Calibri"/>
                <w:b w:val="0"/>
                <w:i w:val="0"/>
                <w:color w:val="333333"/>
                <w:sz w:val="17"/>
              </w:rPr>
              <w:t>Ancienneté des soldes non versés</w:t>
            </w:r>
          </w:p>
        </w:tc>
        <w:tc>
          <w:tcPr>
            <w:tcW w:type="dxa" w:w="4873"/>
          </w:tcPr>
          <w:p>
            <w:pPr>
              <w:spacing w:before="40" w:after="40"/>
            </w:pPr>
            <w:r>
              <w:rPr>
                <w:rFonts w:ascii="Calibri" w:hAnsi="Calibri"/>
                <w:b w:val="0"/>
                <w:i w:val="0"/>
                <w:color w:val="333333"/>
                <w:sz w:val="17"/>
              </w:rPr>
              <w:t>Signale les collecteurs détenant des espèces plus longtemps que la politique ne l'autorise</w:t>
            </w:r>
          </w:p>
        </w:tc>
      </w:tr>
      <w:tr>
        <w:tc>
          <w:tcPr>
            <w:tcW w:type="dxa" w:w="4873"/>
            <w:shd w:val="clear" w:fill="F2F6FA"/>
          </w:tcPr>
          <w:p>
            <w:pPr>
              <w:spacing w:before="40" w:after="40"/>
            </w:pPr>
            <w:r>
              <w:rPr>
                <w:rFonts w:ascii="Calibri" w:hAnsi="Calibri"/>
                <w:b w:val="0"/>
                <w:i w:val="0"/>
                <w:color w:val="333333"/>
                <w:sz w:val="17"/>
              </w:rPr>
              <w:t>Rapprochement : encaissements − versements confirmés = solde non versé</w:t>
            </w:r>
          </w:p>
        </w:tc>
        <w:tc>
          <w:tcPr>
            <w:tcW w:type="dxa" w:w="4873"/>
            <w:shd w:val="clear" w:fill="F2F6FA"/>
          </w:tcPr>
          <w:p>
            <w:pPr>
              <w:spacing w:before="40" w:after="40"/>
            </w:pPr>
            <w:r>
              <w:rPr>
                <w:rFonts w:ascii="Calibri" w:hAnsi="Calibri"/>
                <w:b w:val="0"/>
                <w:i w:val="0"/>
                <w:color w:val="333333"/>
                <w:sz w:val="17"/>
              </w:rPr>
              <w:t>Contrôle croisé permanent</w:t>
            </w:r>
          </w:p>
        </w:tc>
      </w:tr>
      <w:tr>
        <w:tc>
          <w:tcPr>
            <w:tcW w:type="dxa" w:w="4873"/>
          </w:tcPr>
          <w:p>
            <w:pPr>
              <w:spacing w:before="40" w:after="40"/>
            </w:pPr>
            <w:r>
              <w:rPr>
                <w:rFonts w:ascii="Calibri" w:hAnsi="Calibri"/>
                <w:b w:val="0"/>
                <w:i w:val="0"/>
                <w:color w:val="333333"/>
                <w:sz w:val="17"/>
              </w:rPr>
              <w:t>Rapprochement des règlements Mobile Money</w:t>
            </w:r>
          </w:p>
        </w:tc>
        <w:tc>
          <w:tcPr>
            <w:tcW w:type="dxa" w:w="4873"/>
          </w:tcPr>
          <w:p>
            <w:pPr>
              <w:spacing w:before="40" w:after="40"/>
            </w:pPr>
            <w:r>
              <w:rPr>
                <w:rFonts w:ascii="Calibri" w:hAnsi="Calibri"/>
                <w:b w:val="0"/>
                <w:i w:val="0"/>
                <w:color w:val="333333"/>
                <w:sz w:val="17"/>
              </w:rPr>
              <w:t>Aucun encaissement MoMo n'est définitif tant qu'il n'apparaît pas dans le fichier de règlement de l'opérateur</w:t>
            </w:r>
          </w:p>
        </w:tc>
      </w:tr>
      <w:tr>
        <w:tc>
          <w:tcPr>
            <w:tcW w:type="dxa" w:w="4873"/>
            <w:shd w:val="clear" w:fill="F2F6FA"/>
          </w:tcPr>
          <w:p>
            <w:pPr>
              <w:spacing w:before="40" w:after="40"/>
            </w:pPr>
            <w:r>
              <w:rPr>
                <w:rFonts w:ascii="Calibri" w:hAnsi="Calibri"/>
                <w:b w:val="0"/>
                <w:i w:val="0"/>
                <w:color w:val="333333"/>
                <w:sz w:val="17"/>
              </w:rPr>
              <w:t>Rejet des références en doublon au niveau de la base</w:t>
            </w:r>
          </w:p>
        </w:tc>
        <w:tc>
          <w:tcPr>
            <w:tcW w:type="dxa" w:w="4873"/>
            <w:shd w:val="clear" w:fill="F2F6FA"/>
          </w:tcPr>
          <w:p>
            <w:pPr>
              <w:spacing w:before="40" w:after="40"/>
            </w:pPr>
            <w:r>
              <w:rPr>
                <w:rFonts w:ascii="Calibri" w:hAnsi="Calibri"/>
                <w:b w:val="0"/>
                <w:i w:val="0"/>
                <w:color w:val="333333"/>
                <w:sz w:val="17"/>
              </w:rPr>
              <w:t>Rend le double enregistrement structurellement impossible, y compris en cas de renvoi</w:t>
            </w:r>
          </w:p>
        </w:tc>
      </w:tr>
      <w:tr>
        <w:tc>
          <w:tcPr>
            <w:tcW w:type="dxa" w:w="4873"/>
          </w:tcPr>
          <w:p>
            <w:pPr>
              <w:spacing w:before="40" w:after="40"/>
            </w:pPr>
            <w:r>
              <w:rPr>
                <w:rFonts w:ascii="Calibri" w:hAnsi="Calibri"/>
                <w:b w:val="0"/>
                <w:i w:val="0"/>
                <w:color w:val="333333"/>
                <w:sz w:val="17"/>
              </w:rPr>
              <w:t>Alerte volumétrique sur les exports et les consultations sensibles</w:t>
            </w:r>
          </w:p>
        </w:tc>
        <w:tc>
          <w:tcPr>
            <w:tcW w:type="dxa" w:w="4873"/>
          </w:tcPr>
          <w:p>
            <w:pPr>
              <w:spacing w:before="40" w:after="40"/>
            </w:pPr>
            <w:r>
              <w:rPr>
                <w:rFonts w:ascii="Calibri" w:hAnsi="Calibri"/>
                <w:b w:val="0"/>
                <w:i w:val="0"/>
                <w:color w:val="333333"/>
                <w:sz w:val="17"/>
              </w:rPr>
              <w:t>Détecte l'exfiltration de données par un utilisateur interne</w:t>
            </w:r>
          </w:p>
        </w:tc>
      </w:tr>
    </w:tbl>
    <w:p>
      <w:pPr>
        <w:spacing w:after="40"/>
      </w:pPr>
    </w:p>
    <w:p>
      <w:pPr>
        <w:pStyle w:val="Heading2"/>
        <w:spacing w:before="280" w:after="80"/>
        <w:keepNext/>
      </w:pPr>
      <w:bookmarkStart w:id="135" w:name="_Toc_s034"/>
      <w:r>
        <w:rPr>
          <w:rFonts w:ascii="Calibri" w:hAnsi="Calibri"/>
          <w:b/>
          <w:color w:val="1B3A5C"/>
          <w:sz w:val="24"/>
        </w:rPr>
        <w:t>8.5 Intégrité du reçu</w:t>
      </w:r>
      <w:bookmarkEnd w:id="135"/>
    </w:p>
    <w:p>
      <w:r>
        <w:rPr>
          <w:rFonts w:ascii="Calibri" w:hAnsi="Calibri"/>
          <w:b w:val="0"/>
          <w:i w:val="0"/>
          <w:color w:val="333333"/>
          <w:sz w:val="20"/>
        </w:rPr>
        <w:t xml:space="preserve">Le reçu est produit par l'application, non saisi par le collecteur. Il porte le numéro de reçu, le produit, le numéro de police ou de proposition, le montant, la date et l'heure, la référence du collecteur et l'identité du terminal. Une réimpression est explicitement marquée </w:t>
      </w:r>
      <w:r>
        <w:rPr>
          <w:rFonts w:ascii="Calibri" w:hAnsi="Calibri"/>
          <w:b/>
          <w:i w:val="0"/>
          <w:color w:val="333333"/>
          <w:sz w:val="20"/>
        </w:rPr>
        <w:t>DUPLICATA</w:t>
      </w:r>
      <w:r>
        <w:rPr>
          <w:rFonts w:ascii="Calibri" w:hAnsi="Calibri"/>
          <w:b w:val="0"/>
          <w:i w:val="0"/>
          <w:color w:val="333333"/>
          <w:sz w:val="20"/>
        </w:rPr>
        <w:t xml:space="preserve"> et est elle-même journalisée. La communication aux assurés doit énoncer clairement : </w:t>
      </w:r>
      <w:r>
        <w:rPr>
          <w:rFonts w:ascii="Calibri" w:hAnsi="Calibri"/>
          <w:b w:val="0"/>
          <w:i/>
          <w:color w:val="333333"/>
          <w:sz w:val="20"/>
        </w:rPr>
        <w:t>un paiement sans reçu SUNU imprimé n'est pas un paiement.</w:t>
      </w:r>
    </w:p>
    <w:p>
      <w:pPr>
        <w:pStyle w:val="Heading1"/>
        <w:pageBreakBefore/>
        <w:spacing w:before="360" w:after="80"/>
        <w:keepNext/>
        <w:pBdr>
          <w:bottom w:val="single" w:sz="8" w:space="6" w:color="1B3A5C"/>
        </w:pBdr>
      </w:pPr>
      <w:bookmarkStart w:id="136" w:name="_Toc_s035"/>
      <w:r>
        <w:rPr>
          <w:rFonts w:ascii="Calibri" w:hAnsi="Calibri"/>
          <w:b/>
          <w:color w:val="1B3A5C"/>
          <w:sz w:val="30"/>
        </w:rPr>
        <w:t>9. Sécurité des terminaux et de l'application mobile</w:t>
      </w:r>
      <w:bookmarkEnd w:id="13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Registre du parc</w:t>
            </w:r>
          </w:p>
        </w:tc>
        <w:tc>
          <w:tcPr>
            <w:tcW w:type="dxa" w:w="4873"/>
          </w:tcPr>
          <w:p>
            <w:pPr>
              <w:spacing w:before="40" w:after="40"/>
            </w:pPr>
            <w:r>
              <w:rPr>
                <w:rFonts w:ascii="Calibri" w:hAnsi="Calibri"/>
                <w:b w:val="0"/>
                <w:i w:val="0"/>
                <w:color w:val="333333"/>
                <w:sz w:val="17"/>
              </w:rPr>
              <w:t>Chaque terminal enregistré avec numéro de série, SIM, alias et modèle ; affectation à un agent nommé avec historique daté</w:t>
            </w:r>
          </w:p>
        </w:tc>
      </w:tr>
      <w:tr>
        <w:tc>
          <w:tcPr>
            <w:tcW w:type="dxa" w:w="4873"/>
            <w:shd w:val="clear" w:fill="F2F6FA"/>
          </w:tcPr>
          <w:p>
            <w:pPr>
              <w:spacing w:before="40" w:after="40"/>
            </w:pPr>
            <w:r>
              <w:rPr>
                <w:rFonts w:ascii="Calibri" w:hAnsi="Calibri"/>
                <w:b w:val="0"/>
                <w:i w:val="0"/>
                <w:color w:val="333333"/>
                <w:sz w:val="17"/>
              </w:rPr>
              <w:t>Liaison agent-terminal</w:t>
            </w:r>
          </w:p>
        </w:tc>
        <w:tc>
          <w:tcPr>
            <w:tcW w:type="dxa" w:w="4873"/>
            <w:shd w:val="clear" w:fill="F2F6FA"/>
          </w:tcPr>
          <w:p>
            <w:pPr>
              <w:spacing w:before="40" w:after="40"/>
            </w:pPr>
            <w:r>
              <w:rPr>
                <w:rFonts w:ascii="Calibri" w:hAnsi="Calibri"/>
                <w:b w:val="0"/>
                <w:i w:val="0"/>
                <w:color w:val="333333"/>
                <w:sz w:val="17"/>
              </w:rPr>
              <w:t>Connexion refusée depuis un terminal non affecté à cet agent ; tentative signalée</w:t>
            </w:r>
          </w:p>
        </w:tc>
      </w:tr>
      <w:tr>
        <w:tc>
          <w:tcPr>
            <w:tcW w:type="dxa" w:w="4873"/>
          </w:tcPr>
          <w:p>
            <w:pPr>
              <w:spacing w:before="40" w:after="40"/>
            </w:pPr>
            <w:r>
              <w:rPr>
                <w:rFonts w:ascii="Calibri" w:hAnsi="Calibri"/>
                <w:b w:val="0"/>
                <w:i w:val="0"/>
                <w:color w:val="333333"/>
                <w:sz w:val="17"/>
              </w:rPr>
              <w:t>Distribution de l'application</w:t>
            </w:r>
          </w:p>
        </w:tc>
        <w:tc>
          <w:tcPr>
            <w:tcW w:type="dxa" w:w="4873"/>
          </w:tcPr>
          <w:p>
            <w:pPr>
              <w:spacing w:before="40" w:after="40"/>
            </w:pPr>
            <w:r>
              <w:rPr>
                <w:rFonts w:ascii="Calibri" w:hAnsi="Calibri"/>
                <w:b w:val="0"/>
                <w:i w:val="0"/>
                <w:color w:val="333333"/>
                <w:sz w:val="17"/>
              </w:rPr>
              <w:t>APK signé distribué par un canal contrôlé ; installation depuis des sources inconnues désactivée sur le parc ; aucune distribution en magasin public</w:t>
            </w:r>
          </w:p>
        </w:tc>
      </w:tr>
      <w:tr>
        <w:tc>
          <w:tcPr>
            <w:tcW w:type="dxa" w:w="4873"/>
            <w:shd w:val="clear" w:fill="F2F6FA"/>
          </w:tcPr>
          <w:p>
            <w:pPr>
              <w:spacing w:before="40" w:after="40"/>
            </w:pPr>
            <w:r>
              <w:rPr>
                <w:rFonts w:ascii="Calibri" w:hAnsi="Calibri"/>
                <w:b w:val="0"/>
                <w:i w:val="0"/>
                <w:color w:val="333333"/>
                <w:sz w:val="17"/>
              </w:rPr>
              <w:t>Durcissement de l'appareil</w:t>
            </w:r>
          </w:p>
        </w:tc>
        <w:tc>
          <w:tcPr>
            <w:tcW w:type="dxa" w:w="4873"/>
            <w:shd w:val="clear" w:fill="F2F6FA"/>
          </w:tcPr>
          <w:p>
            <w:pPr>
              <w:spacing w:before="40" w:after="40"/>
            </w:pPr>
            <w:r>
              <w:rPr>
                <w:rFonts w:ascii="Calibri" w:hAnsi="Calibri"/>
                <w:b w:val="0"/>
                <w:i w:val="0"/>
                <w:color w:val="333333"/>
                <w:sz w:val="17"/>
              </w:rPr>
              <w:t>Recommandé : mode kiosque/COSU restreignant le terminal à l'application SUNU ; options développeur et débogage USB désactivés ; verrouillage d'écran imposé</w:t>
            </w:r>
          </w:p>
        </w:tc>
      </w:tr>
      <w:tr>
        <w:tc>
          <w:tcPr>
            <w:tcW w:type="dxa" w:w="4873"/>
          </w:tcPr>
          <w:p>
            <w:pPr>
              <w:spacing w:before="40" w:after="40"/>
            </w:pPr>
            <w:r>
              <w:rPr>
                <w:rFonts w:ascii="Calibri" w:hAnsi="Calibri"/>
                <w:b w:val="0"/>
                <w:i w:val="0"/>
                <w:color w:val="333333"/>
                <w:sz w:val="17"/>
              </w:rPr>
              <w:t>Stockage local</w:t>
            </w:r>
          </w:p>
        </w:tc>
        <w:tc>
          <w:tcPr>
            <w:tcW w:type="dxa" w:w="4873"/>
          </w:tcPr>
          <w:p>
            <w:pPr>
              <w:spacing w:before="40" w:after="40"/>
            </w:pPr>
            <w:r>
              <w:rPr>
                <w:rFonts w:ascii="Calibri" w:hAnsi="Calibri"/>
                <w:b w:val="0"/>
                <w:i w:val="0"/>
                <w:color w:val="333333"/>
                <w:sz w:val="17"/>
              </w:rPr>
              <w:t>Privé à l'application, chiffré, cloisonné par agent ; effacé à la déconnexion de l'agent</w:t>
            </w:r>
          </w:p>
        </w:tc>
      </w:tr>
      <w:tr>
        <w:tc>
          <w:tcPr>
            <w:tcW w:type="dxa" w:w="4873"/>
            <w:shd w:val="clear" w:fill="F2F6FA"/>
          </w:tcPr>
          <w:p>
            <w:pPr>
              <w:spacing w:before="40" w:after="40"/>
            </w:pPr>
            <w:r>
              <w:rPr>
                <w:rFonts w:ascii="Calibri" w:hAnsi="Calibri"/>
                <w:b w:val="0"/>
                <w:i w:val="0"/>
                <w:color w:val="333333"/>
                <w:sz w:val="17"/>
              </w:rPr>
              <w:t>Anti-altération</w:t>
            </w:r>
          </w:p>
        </w:tc>
        <w:tc>
          <w:tcPr>
            <w:tcW w:type="dxa" w:w="4873"/>
            <w:shd w:val="clear" w:fill="F2F6FA"/>
          </w:tcPr>
          <w:p>
            <w:pPr>
              <w:spacing w:before="40" w:after="40"/>
            </w:pPr>
            <w:r>
              <w:rPr>
                <w:rFonts w:ascii="Calibri" w:hAnsi="Calibri"/>
                <w:b w:val="0"/>
                <w:i w:val="0"/>
                <w:color w:val="333333"/>
                <w:sz w:val="17"/>
              </w:rPr>
              <w:t>Détection de root/altération au démarrage ; un appareil rooté est refusé avec remontée d'alerte au back-office</w:t>
            </w:r>
          </w:p>
        </w:tc>
      </w:tr>
      <w:tr>
        <w:tc>
          <w:tcPr>
            <w:tcW w:type="dxa" w:w="4873"/>
          </w:tcPr>
          <w:p>
            <w:pPr>
              <w:spacing w:before="40" w:after="40"/>
            </w:pPr>
            <w:r>
              <w:rPr>
                <w:rFonts w:ascii="Calibri" w:hAnsi="Calibri"/>
                <w:b w:val="0"/>
                <w:i w:val="0"/>
                <w:color w:val="333333"/>
                <w:sz w:val="17"/>
              </w:rPr>
              <w:t>Secrets sur l'appareil</w:t>
            </w:r>
          </w:p>
        </w:tc>
        <w:tc>
          <w:tcPr>
            <w:tcW w:type="dxa" w:w="4873"/>
          </w:tcPr>
          <w:p>
            <w:pPr>
              <w:spacing w:before="40" w:after="40"/>
            </w:pPr>
            <w:r>
              <w:rPr>
                <w:rFonts w:ascii="Calibri" w:hAnsi="Calibri"/>
                <w:b w:val="0"/>
                <w:i w:val="0"/>
                <w:color w:val="333333"/>
                <w:sz w:val="17"/>
              </w:rPr>
              <w:t>Aucun secret statique partagé dans le paquet applicatif. Clés par appareil provisionnées à l'enrôlement et détenues dans le keystore Android lorsque le matériel le permet. Voir §12 point H-4</w:t>
            </w:r>
          </w:p>
        </w:tc>
      </w:tr>
      <w:tr>
        <w:tc>
          <w:tcPr>
            <w:tcW w:type="dxa" w:w="4873"/>
            <w:shd w:val="clear" w:fill="F2F6FA"/>
          </w:tcPr>
          <w:p>
            <w:pPr>
              <w:spacing w:before="40" w:after="40"/>
            </w:pPr>
            <w:r>
              <w:rPr>
                <w:rFonts w:ascii="Calibri" w:hAnsi="Calibri"/>
                <w:b w:val="0"/>
                <w:i w:val="0"/>
                <w:color w:val="333333"/>
                <w:sz w:val="17"/>
              </w:rPr>
              <w:t>Réaction à distance en cas de perte</w:t>
            </w:r>
          </w:p>
        </w:tc>
        <w:tc>
          <w:tcPr>
            <w:tcW w:type="dxa" w:w="4873"/>
            <w:shd w:val="clear" w:fill="F2F6FA"/>
          </w:tcPr>
          <w:p>
            <w:pPr>
              <w:spacing w:before="40" w:after="40"/>
            </w:pPr>
            <w:r>
              <w:rPr>
                <w:rFonts w:ascii="Calibri" w:hAnsi="Calibri"/>
                <w:b w:val="0"/>
                <w:i w:val="0"/>
                <w:color w:val="333333"/>
                <w:sz w:val="17"/>
              </w:rPr>
              <w:t>Compte agent désactivé → authentification et synchronisation suivantes refusées ; le terminal est marqué perdu au registre ; les encaissements non synchronisés sont récupérés si l'appareil est restitué</w:t>
            </w:r>
          </w:p>
        </w:tc>
      </w:tr>
      <w:tr>
        <w:tc>
          <w:tcPr>
            <w:tcW w:type="dxa" w:w="4873"/>
          </w:tcPr>
          <w:p>
            <w:pPr>
              <w:spacing w:before="40" w:after="40"/>
            </w:pPr>
            <w:r>
              <w:rPr>
                <w:rFonts w:ascii="Calibri" w:hAnsi="Calibri"/>
                <w:b w:val="0"/>
                <w:i w:val="0"/>
                <w:color w:val="333333"/>
                <w:sz w:val="17"/>
              </w:rPr>
              <w:t>Captures d'écran</w:t>
            </w:r>
          </w:p>
        </w:tc>
        <w:tc>
          <w:tcPr>
            <w:tcW w:type="dxa" w:w="4873"/>
          </w:tcPr>
          <w:p>
            <w:pPr>
              <w:spacing w:before="40" w:after="40"/>
            </w:pPr>
            <w:r>
              <w:rPr>
                <w:rFonts w:ascii="Calibri" w:hAnsi="Calibri"/>
                <w:b w:val="0"/>
                <w:i w:val="0"/>
                <w:color w:val="333333"/>
                <w:sz w:val="17"/>
              </w:rPr>
              <w:t>Désactivées sur les écrans affichant des données personnelles</w:t>
            </w:r>
          </w:p>
        </w:tc>
      </w:tr>
      <w:tr>
        <w:tc>
          <w:tcPr>
            <w:tcW w:type="dxa" w:w="4873"/>
            <w:shd w:val="clear" w:fill="F2F6FA"/>
          </w:tcPr>
          <w:p>
            <w:pPr>
              <w:spacing w:before="40" w:after="40"/>
            </w:pPr>
            <w:r>
              <w:rPr>
                <w:rFonts w:ascii="Calibri" w:hAnsi="Calibri"/>
                <w:b w:val="0"/>
                <w:i w:val="0"/>
                <w:color w:val="333333"/>
                <w:sz w:val="17"/>
              </w:rPr>
              <w:t>Journaux</w:t>
            </w:r>
          </w:p>
        </w:tc>
        <w:tc>
          <w:tcPr>
            <w:tcW w:type="dxa" w:w="4873"/>
            <w:shd w:val="clear" w:fill="F2F6FA"/>
          </w:tcPr>
          <w:p>
            <w:pPr>
              <w:spacing w:before="40" w:after="40"/>
            </w:pPr>
            <w:r>
              <w:rPr>
                <w:rFonts w:ascii="Calibri" w:hAnsi="Calibri"/>
                <w:b w:val="0"/>
                <w:i w:val="0"/>
                <w:color w:val="333333"/>
                <w:sz w:val="17"/>
              </w:rPr>
              <w:t>Aucun code, mot de passe, jeton, CNIB complète ni donnée personnelle écrit dans les journaux de l'appareil</w:t>
            </w:r>
          </w:p>
        </w:tc>
      </w:tr>
    </w:tbl>
    <w:p>
      <w:pPr>
        <w:spacing w:after="40"/>
      </w:pPr>
    </w:p>
    <w:p>
      <w:pPr>
        <w:pStyle w:val="Heading1"/>
        <w:pageBreakBefore/>
        <w:spacing w:before="360" w:after="80"/>
        <w:keepNext/>
        <w:pBdr>
          <w:bottom w:val="single" w:sz="8" w:space="6" w:color="1B3A5C"/>
        </w:pBdr>
      </w:pPr>
      <w:bookmarkStart w:id="137" w:name="_Toc_s036"/>
      <w:r>
        <w:rPr>
          <w:rFonts w:ascii="Calibri" w:hAnsi="Calibri"/>
          <w:b/>
          <w:color w:val="1B3A5C"/>
          <w:sz w:val="30"/>
        </w:rPr>
        <w:t>10. Sécurité des intégrations</w:t>
      </w:r>
      <w:bookmarkEnd w:id="137"/>
    </w:p>
    <w:p>
      <w:pPr>
        <w:pStyle w:val="Heading2"/>
        <w:spacing w:before="280" w:after="80"/>
        <w:keepNext/>
      </w:pPr>
      <w:bookmarkStart w:id="138" w:name="_Toc_s037"/>
      <w:r>
        <w:rPr>
          <w:rFonts w:ascii="Calibri" w:hAnsi="Calibri"/>
          <w:b/>
          <w:color w:val="1B3A5C"/>
          <w:sz w:val="24"/>
        </w:rPr>
        <w:t>10.1 SUNULIFE</w:t>
      </w:r>
      <w:bookmarkEnd w:id="13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Transport</w:t>
            </w:r>
          </w:p>
        </w:tc>
        <w:tc>
          <w:tcPr>
            <w:tcW w:type="dxa" w:w="4873"/>
          </w:tcPr>
          <w:p>
            <w:pPr>
              <w:spacing w:before="40" w:after="40"/>
            </w:pPr>
            <w:r>
              <w:rPr>
                <w:rFonts w:ascii="Calibri" w:hAnsi="Calibri"/>
                <w:b w:val="0"/>
                <w:i w:val="0"/>
                <w:color w:val="333333"/>
                <w:sz w:val="17"/>
              </w:rPr>
              <w:t>TLS 1.2+ obligatoire. Si SUNULIFE est hébergé dans les locaux de SUNU, un VPN site à site ou un lien privé est préférable à l'Internet public</w:t>
            </w:r>
          </w:p>
        </w:tc>
      </w:tr>
      <w:tr>
        <w:tc>
          <w:tcPr>
            <w:tcW w:type="dxa" w:w="4873"/>
            <w:shd w:val="clear" w:fill="F2F6FA"/>
          </w:tcPr>
          <w:p>
            <w:pPr>
              <w:spacing w:before="40" w:after="40"/>
            </w:pPr>
            <w:r>
              <w:rPr>
                <w:rFonts w:ascii="Calibri" w:hAnsi="Calibri"/>
                <w:b w:val="0"/>
                <w:i w:val="0"/>
                <w:color w:val="333333"/>
                <w:sz w:val="17"/>
              </w:rPr>
              <w:t>Authentification</w:t>
            </w:r>
          </w:p>
        </w:tc>
        <w:tc>
          <w:tcPr>
            <w:tcW w:type="dxa" w:w="4873"/>
            <w:shd w:val="clear" w:fill="F2F6FA"/>
          </w:tcPr>
          <w:p>
            <w:pPr>
              <w:spacing w:before="40" w:after="40"/>
            </w:pPr>
            <w:r>
              <w:rPr>
                <w:rFonts w:ascii="Calibri" w:hAnsi="Calibri"/>
                <w:b w:val="0"/>
                <w:i w:val="0"/>
                <w:color w:val="333333"/>
                <w:sz w:val="17"/>
              </w:rPr>
              <w:t>Selon ce qu'exige SUNULIFE : OAuth 2.0, JWT bearer, HTTP basic ou TLS mutuel — le cadre d'adaptateur prend déjà en charge ces stratégies</w:t>
            </w:r>
          </w:p>
        </w:tc>
      </w:tr>
      <w:tr>
        <w:tc>
          <w:tcPr>
            <w:tcW w:type="dxa" w:w="4873"/>
          </w:tcPr>
          <w:p>
            <w:pPr>
              <w:spacing w:before="40" w:after="40"/>
            </w:pPr>
            <w:r>
              <w:rPr>
                <w:rFonts w:ascii="Calibri" w:hAnsi="Calibri"/>
                <w:b w:val="0"/>
                <w:i w:val="0"/>
                <w:color w:val="333333"/>
                <w:sz w:val="17"/>
              </w:rPr>
              <w:t>Moindre privilège</w:t>
            </w:r>
          </w:p>
        </w:tc>
        <w:tc>
          <w:tcPr>
            <w:tcW w:type="dxa" w:w="4873"/>
          </w:tcPr>
          <w:p>
            <w:pPr>
              <w:spacing w:before="40" w:after="40"/>
            </w:pPr>
            <w:r>
              <w:rPr>
                <w:rFonts w:ascii="Calibri" w:hAnsi="Calibri"/>
                <w:b w:val="0"/>
                <w:i w:val="0"/>
                <w:color w:val="333333"/>
                <w:sz w:val="17"/>
              </w:rPr>
              <w:t>Le compte d'intégration ne se voit accorder que les opérations du Doc 1 §8.2 — aucun droit d'administration dans SUNULIFE</w:t>
            </w:r>
          </w:p>
        </w:tc>
      </w:tr>
      <w:tr>
        <w:tc>
          <w:tcPr>
            <w:tcW w:type="dxa" w:w="4873"/>
            <w:shd w:val="clear" w:fill="F2F6FA"/>
          </w:tcPr>
          <w:p>
            <w:pPr>
              <w:spacing w:before="40" w:after="40"/>
            </w:pPr>
            <w:r>
              <w:rPr>
                <w:rFonts w:ascii="Calibri" w:hAnsi="Calibri"/>
                <w:b w:val="0"/>
                <w:i w:val="0"/>
                <w:color w:val="333333"/>
                <w:sz w:val="17"/>
              </w:rPr>
              <w:t>Restriction réseau</w:t>
            </w:r>
          </w:p>
        </w:tc>
        <w:tc>
          <w:tcPr>
            <w:tcW w:type="dxa" w:w="4873"/>
            <w:shd w:val="clear" w:fill="F2F6FA"/>
          </w:tcPr>
          <w:p>
            <w:pPr>
              <w:spacing w:before="40" w:after="40"/>
            </w:pPr>
            <w:r>
              <w:rPr>
                <w:rFonts w:ascii="Calibri" w:hAnsi="Calibri"/>
                <w:b w:val="0"/>
                <w:i w:val="0"/>
                <w:color w:val="333333"/>
                <w:sz w:val="17"/>
              </w:rPr>
              <w:t>SUNU inscrit les adresses IP de sortie de la plateforme sur liste d'autorisation</w:t>
            </w:r>
          </w:p>
        </w:tc>
      </w:tr>
      <w:tr>
        <w:tc>
          <w:tcPr>
            <w:tcW w:type="dxa" w:w="4873"/>
          </w:tcPr>
          <w:p>
            <w:pPr>
              <w:spacing w:before="40" w:after="40"/>
            </w:pPr>
            <w:r>
              <w:rPr>
                <w:rFonts w:ascii="Calibri" w:hAnsi="Calibri"/>
                <w:b w:val="0"/>
                <w:i w:val="0"/>
                <w:color w:val="333333"/>
                <w:sz w:val="17"/>
              </w:rPr>
              <w:t>Validation des entrées</w:t>
            </w:r>
          </w:p>
        </w:tc>
        <w:tc>
          <w:tcPr>
            <w:tcW w:type="dxa" w:w="4873"/>
          </w:tcPr>
          <w:p>
            <w:pPr>
              <w:spacing w:before="40" w:after="40"/>
            </w:pPr>
            <w:r>
              <w:rPr>
                <w:rFonts w:ascii="Calibri" w:hAnsi="Calibri"/>
                <w:b w:val="0"/>
                <w:i w:val="0"/>
                <w:color w:val="333333"/>
                <w:sz w:val="17"/>
              </w:rPr>
              <w:t>Chaque champ reçu de SUNULIFE est validé au regard du schéma avant de toucher la base ; les charges utiles malformées ou anormales sont mises en quarantaine, non appliquées</w:t>
            </w:r>
          </w:p>
        </w:tc>
      </w:tr>
      <w:tr>
        <w:tc>
          <w:tcPr>
            <w:tcW w:type="dxa" w:w="4873"/>
            <w:shd w:val="clear" w:fill="F2F6FA"/>
          </w:tcPr>
          <w:p>
            <w:pPr>
              <w:spacing w:before="40" w:after="40"/>
            </w:pPr>
            <w:r>
              <w:rPr>
                <w:rFonts w:ascii="Calibri" w:hAnsi="Calibri"/>
                <w:b w:val="0"/>
                <w:i w:val="0"/>
                <w:color w:val="333333"/>
                <w:sz w:val="17"/>
              </w:rPr>
              <w:t>Non destructif par construction</w:t>
            </w:r>
          </w:p>
        </w:tc>
        <w:tc>
          <w:tcPr>
            <w:tcW w:type="dxa" w:w="4873"/>
            <w:shd w:val="clear" w:fill="F2F6FA"/>
          </w:tcPr>
          <w:p>
            <w:pPr>
              <w:spacing w:before="40" w:after="40"/>
            </w:pPr>
            <w:r>
              <w:rPr>
                <w:rFonts w:ascii="Calibri" w:hAnsi="Calibri"/>
                <w:b w:val="0"/>
                <w:i w:val="0"/>
                <w:color w:val="333333"/>
                <w:sz w:val="17"/>
              </w:rPr>
              <w:t>Une synchronisation depuis SUNULIFE ne peut jamais supprimer ni altérer un enregistrement d'encaissement local</w:t>
            </w:r>
          </w:p>
        </w:tc>
      </w:tr>
      <w:tr>
        <w:tc>
          <w:tcPr>
            <w:tcW w:type="dxa" w:w="4873"/>
          </w:tcPr>
          <w:p>
            <w:pPr>
              <w:spacing w:before="40" w:after="40"/>
            </w:pPr>
            <w:r>
              <w:rPr>
                <w:rFonts w:ascii="Calibri" w:hAnsi="Calibri"/>
                <w:b w:val="0"/>
                <w:i w:val="0"/>
                <w:color w:val="333333"/>
                <w:sz w:val="17"/>
              </w:rPr>
              <w:t>Traçabilité</w:t>
            </w:r>
          </w:p>
        </w:tc>
        <w:tc>
          <w:tcPr>
            <w:tcW w:type="dxa" w:w="4873"/>
          </w:tcPr>
          <w:p>
            <w:pPr>
              <w:spacing w:before="40" w:after="40"/>
            </w:pPr>
            <w:r>
              <w:rPr>
                <w:rFonts w:ascii="Calibri" w:hAnsi="Calibri"/>
                <w:b w:val="0"/>
                <w:i w:val="0"/>
                <w:color w:val="333333"/>
                <w:sz w:val="17"/>
              </w:rPr>
              <w:t>Journalisation complète requête/réponse avec masquage des champs sensibles ; chaque échange rejouable et idempotent</w:t>
            </w:r>
          </w:p>
        </w:tc>
      </w:tr>
      <w:tr>
        <w:tc>
          <w:tcPr>
            <w:tcW w:type="dxa" w:w="4873"/>
            <w:shd w:val="clear" w:fill="F2F6FA"/>
          </w:tcPr>
          <w:p>
            <w:pPr>
              <w:spacing w:before="40" w:after="40"/>
            </w:pPr>
            <w:r>
              <w:rPr>
                <w:rFonts w:ascii="Calibri" w:hAnsi="Calibri"/>
                <w:b w:val="0"/>
                <w:i w:val="0"/>
                <w:color w:val="333333"/>
                <w:sz w:val="17"/>
              </w:rPr>
              <w:t>Isolation de disponibilité</w:t>
            </w:r>
          </w:p>
        </w:tc>
        <w:tc>
          <w:tcPr>
            <w:tcW w:type="dxa" w:w="4873"/>
            <w:shd w:val="clear" w:fill="F2F6FA"/>
          </w:tcPr>
          <w:p>
            <w:pPr>
              <w:spacing w:before="40" w:after="40"/>
            </w:pPr>
            <w:r>
              <w:rPr>
                <w:rFonts w:ascii="Calibri" w:hAnsi="Calibri"/>
                <w:b w:val="0"/>
                <w:i w:val="0"/>
                <w:color w:val="333333"/>
                <w:sz w:val="17"/>
              </w:rPr>
              <w:t>Coupe-circuit ; une indisponibilité SUNULIFE ne bloque jamais l'encaissement terrain</w:t>
            </w:r>
          </w:p>
        </w:tc>
      </w:tr>
    </w:tbl>
    <w:p>
      <w:pPr>
        <w:spacing w:after="40"/>
      </w:pPr>
    </w:p>
    <w:p>
      <w:pPr>
        <w:pStyle w:val="Heading2"/>
        <w:spacing w:before="280" w:after="80"/>
        <w:keepNext/>
      </w:pPr>
      <w:bookmarkStart w:id="139" w:name="_Toc_s038"/>
      <w:r>
        <w:rPr>
          <w:rFonts w:ascii="Calibri" w:hAnsi="Calibri"/>
          <w:b/>
          <w:color w:val="1B3A5C"/>
          <w:sz w:val="24"/>
        </w:rPr>
        <w:t>10.2 Mobile Money</w:t>
      </w:r>
      <w:bookmarkEnd w:id="13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Contrôle</w:t>
            </w:r>
          </w:p>
        </w:tc>
        <w:tc>
          <w:tcPr>
            <w:tcW w:type="dxa" w:w="4873"/>
            <w:shd w:val="clear" w:fill="1B3A5C"/>
          </w:tcPr>
          <w:p>
            <w:pPr>
              <w:spacing w:before="60" w:after="60"/>
            </w:pPr>
            <w:r>
              <w:rPr>
                <w:rFonts w:ascii="Calibri" w:hAnsi="Calibri"/>
                <w:b/>
                <w:color w:val="FFFFFF"/>
                <w:sz w:val="17"/>
              </w:rPr>
              <w:t>Mise en œuvre</w:t>
            </w:r>
          </w:p>
        </w:tc>
      </w:tr>
      <w:tr>
        <w:tc>
          <w:tcPr>
            <w:tcW w:type="dxa" w:w="4873"/>
          </w:tcPr>
          <w:p>
            <w:pPr>
              <w:spacing w:before="40" w:after="40"/>
            </w:pPr>
            <w:r>
              <w:rPr>
                <w:rFonts w:ascii="Calibri" w:hAnsi="Calibri"/>
                <w:b w:val="0"/>
                <w:i w:val="0"/>
                <w:color w:val="333333"/>
                <w:sz w:val="17"/>
              </w:rPr>
              <w:t>Identifiants</w:t>
            </w:r>
          </w:p>
        </w:tc>
        <w:tc>
          <w:tcPr>
            <w:tcW w:type="dxa" w:w="4873"/>
          </w:tcPr>
          <w:p>
            <w:pPr>
              <w:spacing w:before="40" w:after="40"/>
            </w:pPr>
            <w:r>
              <w:rPr>
                <w:rFonts w:ascii="Calibri" w:hAnsi="Calibri"/>
                <w:b w:val="0"/>
                <w:i w:val="0"/>
                <w:color w:val="333333"/>
                <w:sz w:val="17"/>
              </w:rPr>
              <w:t>Détenus dans le coffre chiffré ; identifiants distincts par environnement ; jamais dans le dépôt de code</w:t>
            </w:r>
          </w:p>
        </w:tc>
      </w:tr>
      <w:tr>
        <w:tc>
          <w:tcPr>
            <w:tcW w:type="dxa" w:w="4873"/>
            <w:shd w:val="clear" w:fill="F2F6FA"/>
          </w:tcPr>
          <w:p>
            <w:pPr>
              <w:spacing w:before="40" w:after="40"/>
            </w:pPr>
            <w:r>
              <w:rPr>
                <w:rFonts w:ascii="Calibri" w:hAnsi="Calibri"/>
                <w:b w:val="0"/>
                <w:i w:val="0"/>
                <w:color w:val="333333"/>
                <w:sz w:val="17"/>
              </w:rPr>
              <w:t>Authentification des rappels</w:t>
            </w:r>
          </w:p>
        </w:tc>
        <w:tc>
          <w:tcPr>
            <w:tcW w:type="dxa" w:w="4873"/>
            <w:shd w:val="clear" w:fill="F2F6FA"/>
          </w:tcPr>
          <w:p>
            <w:pPr>
              <w:spacing w:before="40" w:after="40"/>
            </w:pPr>
            <w:r>
              <w:rPr>
                <w:rFonts w:ascii="Calibri" w:hAnsi="Calibri"/>
                <w:b w:val="0"/>
                <w:i w:val="0"/>
                <w:color w:val="333333"/>
                <w:sz w:val="17"/>
              </w:rPr>
              <w:t>Les rappels de l'opérateur sont vérifiés par signature et par liste d'IP sources autorisées ; un rappel non vérifié est rejeté et signalé</w:t>
            </w:r>
          </w:p>
        </w:tc>
      </w:tr>
      <w:tr>
        <w:tc>
          <w:tcPr>
            <w:tcW w:type="dxa" w:w="4873"/>
          </w:tcPr>
          <w:p>
            <w:pPr>
              <w:spacing w:before="40" w:after="40"/>
            </w:pPr>
            <w:r>
              <w:rPr>
                <w:rFonts w:ascii="Calibri" w:hAnsi="Calibri"/>
                <w:b w:val="0"/>
                <w:i w:val="0"/>
                <w:color w:val="333333"/>
                <w:sz w:val="17"/>
              </w:rPr>
              <w:t>Idempotence</w:t>
            </w:r>
          </w:p>
        </w:tc>
        <w:tc>
          <w:tcPr>
            <w:tcW w:type="dxa" w:w="4873"/>
          </w:tcPr>
          <w:p>
            <w:pPr>
              <w:spacing w:before="40" w:after="40"/>
            </w:pPr>
            <w:r>
              <w:rPr>
                <w:rFonts w:ascii="Calibri" w:hAnsi="Calibri"/>
                <w:b w:val="0"/>
                <w:i w:val="0"/>
                <w:color w:val="333333"/>
                <w:sz w:val="17"/>
              </w:rPr>
              <w:t>Chaque initiation porte une clé d'idempotence ; un rappel répété ne peut pas créer un second encaissement</w:t>
            </w:r>
          </w:p>
        </w:tc>
      </w:tr>
      <w:tr>
        <w:tc>
          <w:tcPr>
            <w:tcW w:type="dxa" w:w="4873"/>
            <w:shd w:val="clear" w:fill="F2F6FA"/>
          </w:tcPr>
          <w:p>
            <w:pPr>
              <w:spacing w:before="40" w:after="40"/>
            </w:pPr>
            <w:r>
              <w:rPr>
                <w:rFonts w:ascii="Calibri" w:hAnsi="Calibri"/>
                <w:b w:val="0"/>
                <w:i w:val="0"/>
                <w:color w:val="333333"/>
                <w:sz w:val="17"/>
              </w:rPr>
              <w:t>Contrôle du montant</w:t>
            </w:r>
          </w:p>
        </w:tc>
        <w:tc>
          <w:tcPr>
            <w:tcW w:type="dxa" w:w="4873"/>
            <w:shd w:val="clear" w:fill="F2F6FA"/>
          </w:tcPr>
          <w:p>
            <w:pPr>
              <w:spacing w:before="40" w:after="40"/>
            </w:pPr>
            <w:r>
              <w:rPr>
                <w:rFonts w:ascii="Calibri" w:hAnsi="Calibri"/>
                <w:b w:val="0"/>
                <w:i w:val="0"/>
                <w:color w:val="333333"/>
                <w:sz w:val="17"/>
              </w:rPr>
              <w:t>Le montant confirmé par l'opérateur est comparé au montant demandé ; toute divergence bloque l'encaissement et lève une anomalie</w:t>
            </w:r>
          </w:p>
        </w:tc>
      </w:tr>
      <w:tr>
        <w:tc>
          <w:tcPr>
            <w:tcW w:type="dxa" w:w="4873"/>
          </w:tcPr>
          <w:p>
            <w:pPr>
              <w:spacing w:before="40" w:after="40"/>
            </w:pPr>
            <w:r>
              <w:rPr>
                <w:rFonts w:ascii="Calibri" w:hAnsi="Calibri"/>
                <w:b w:val="0"/>
                <w:i w:val="0"/>
                <w:color w:val="333333"/>
                <w:sz w:val="17"/>
              </w:rPr>
              <w:t>Aucun traitement du code</w:t>
            </w:r>
          </w:p>
        </w:tc>
        <w:tc>
          <w:tcPr>
            <w:tcW w:type="dxa" w:w="4873"/>
          </w:tcPr>
          <w:p>
            <w:pPr>
              <w:spacing w:before="40" w:after="40"/>
            </w:pPr>
            <w:r>
              <w:rPr>
                <w:rFonts w:ascii="Calibri" w:hAnsi="Calibri"/>
                <w:b w:val="0"/>
                <w:i w:val="0"/>
                <w:color w:val="333333"/>
                <w:sz w:val="17"/>
              </w:rPr>
              <w:t xml:space="preserve">L'assuré saisit son code Mobile Money </w:t>
            </w:r>
            <w:r>
              <w:rPr>
                <w:rFonts w:ascii="Calibri" w:hAnsi="Calibri"/>
                <w:b/>
                <w:i w:val="0"/>
                <w:color w:val="333333"/>
                <w:sz w:val="17"/>
              </w:rPr>
              <w:t>sur son propre téléphone, sur le canal de l'opérateur</w:t>
            </w:r>
            <w:r>
              <w:rPr>
                <w:rFonts w:ascii="Calibri" w:hAnsi="Calibri"/>
                <w:b w:val="0"/>
                <w:i w:val="0"/>
                <w:color w:val="333333"/>
                <w:sz w:val="17"/>
              </w:rPr>
              <w:t>. Le code ne transite jamais par le TPE, l'application ou la plateforme</w:t>
            </w:r>
          </w:p>
        </w:tc>
      </w:tr>
      <w:tr>
        <w:tc>
          <w:tcPr>
            <w:tcW w:type="dxa" w:w="4873"/>
            <w:shd w:val="clear" w:fill="F2F6FA"/>
          </w:tcPr>
          <w:p>
            <w:pPr>
              <w:spacing w:before="40" w:after="40"/>
            </w:pPr>
            <w:r>
              <w:rPr>
                <w:rFonts w:ascii="Calibri" w:hAnsi="Calibri"/>
                <w:b w:val="0"/>
                <w:i w:val="0"/>
                <w:color w:val="333333"/>
                <w:sz w:val="17"/>
              </w:rPr>
              <w:t>Rapprochement des règlements</w:t>
            </w:r>
          </w:p>
        </w:tc>
        <w:tc>
          <w:tcPr>
            <w:tcW w:type="dxa" w:w="4873"/>
            <w:shd w:val="clear" w:fill="F2F6FA"/>
          </w:tcPr>
          <w:p>
            <w:pPr>
              <w:spacing w:before="40" w:after="40"/>
            </w:pPr>
            <w:r>
              <w:rPr>
                <w:rFonts w:ascii="Calibri" w:hAnsi="Calibri"/>
                <w:b w:val="0"/>
                <w:i w:val="0"/>
                <w:color w:val="333333"/>
                <w:sz w:val="17"/>
              </w:rPr>
              <w:t>Rapprochement quotidien à trois voies (plateforme / rapport opérateur / crédit bancaire) avec file d'anomalies horodatée</w:t>
            </w:r>
          </w:p>
        </w:tc>
      </w:tr>
      <w:tr>
        <w:tc>
          <w:tcPr>
            <w:tcW w:type="dxa" w:w="4873"/>
          </w:tcPr>
          <w:p>
            <w:pPr>
              <w:spacing w:before="40" w:after="40"/>
            </w:pPr>
            <w:r>
              <w:rPr>
                <w:rFonts w:ascii="Calibri" w:hAnsi="Calibri"/>
                <w:b w:val="0"/>
                <w:i w:val="0"/>
                <w:color w:val="333333"/>
                <w:sz w:val="17"/>
              </w:rPr>
              <w:t>Gestion des expirations</w:t>
            </w:r>
          </w:p>
        </w:tc>
        <w:tc>
          <w:tcPr>
            <w:tcW w:type="dxa" w:w="4873"/>
          </w:tcPr>
          <w:p>
            <w:pPr>
              <w:spacing w:before="40" w:after="40"/>
            </w:pPr>
            <w:r>
              <w:rPr>
                <w:rFonts w:ascii="Calibri" w:hAnsi="Calibri"/>
                <w:b w:val="0"/>
                <w:i w:val="0"/>
                <w:color w:val="333333"/>
                <w:sz w:val="17"/>
              </w:rPr>
              <w:t xml:space="preserve">Un paiement non confirmé reste en attente et est résolu par le rapprochement ; </w:t>
            </w:r>
            <w:r>
              <w:rPr>
                <w:rFonts w:ascii="Calibri" w:hAnsi="Calibri"/>
                <w:b/>
                <w:i w:val="0"/>
                <w:color w:val="333333"/>
                <w:sz w:val="17"/>
              </w:rPr>
              <w:t>le reçu n'est imprimé qu'après confirmation</w:t>
            </w:r>
          </w:p>
        </w:tc>
      </w:tr>
    </w:tbl>
    <w:p>
      <w:pPr>
        <w:spacing w:after="40"/>
      </w:pPr>
    </w:p>
    <w:p>
      <w:pPr>
        <w:pStyle w:val="Heading2"/>
        <w:spacing w:before="280" w:after="80"/>
        <w:keepNext/>
      </w:pPr>
      <w:bookmarkStart w:id="140" w:name="_Toc_s039"/>
      <w:r>
        <w:rPr>
          <w:rFonts w:ascii="Calibri" w:hAnsi="Calibri"/>
          <w:b/>
          <w:color w:val="1B3A5C"/>
          <w:sz w:val="24"/>
        </w:rPr>
        <w:t>10.3 SMS</w:t>
      </w:r>
      <w:bookmarkEnd w:id="140"/>
    </w:p>
    <w:p>
      <w:r>
        <w:rPr>
          <w:rFonts w:ascii="Calibri" w:hAnsi="Calibri"/>
          <w:b w:val="0"/>
          <w:i w:val="0"/>
          <w:color w:val="333333"/>
          <w:sz w:val="20"/>
        </w:rPr>
        <w:t xml:space="preserve">Identifiants de l'opérateur dans le coffre ; contenu des messages limité au strict nécessaire (montant, référence de police, date) avec </w:t>
      </w:r>
      <w:r>
        <w:rPr>
          <w:rFonts w:ascii="Calibri" w:hAnsi="Calibri"/>
          <w:b/>
          <w:i w:val="0"/>
          <w:color w:val="333333"/>
          <w:sz w:val="20"/>
        </w:rPr>
        <w:t>ni CNIB, ni détail complet de police, ni lien porteur d'un secret</w:t>
      </w:r>
      <w:r>
        <w:rPr>
          <w:rFonts w:ascii="Calibri" w:hAnsi="Calibri"/>
          <w:b w:val="0"/>
          <w:i w:val="0"/>
          <w:color w:val="333333"/>
          <w:sz w:val="20"/>
        </w:rPr>
        <w:t xml:space="preserve"> ; statut de remise journalisé.</w:t>
      </w:r>
    </w:p>
    <w:p>
      <w:pPr>
        <w:pStyle w:val="Heading1"/>
        <w:pageBreakBefore/>
        <w:spacing w:before="360" w:after="80"/>
        <w:keepNext/>
        <w:pBdr>
          <w:bottom w:val="single" w:sz="8" w:space="6" w:color="1B3A5C"/>
        </w:pBdr>
      </w:pPr>
      <w:bookmarkStart w:id="141" w:name="_Toc_s040"/>
      <w:r>
        <w:rPr>
          <w:rFonts w:ascii="Calibri" w:hAnsi="Calibri"/>
          <w:b/>
          <w:color w:val="1B3A5C"/>
          <w:sz w:val="30"/>
        </w:rPr>
        <w:t>11. Journalisation, audit et supervision</w:t>
      </w:r>
      <w:bookmarkEnd w:id="141"/>
    </w:p>
    <w:p>
      <w:pPr>
        <w:pStyle w:val="Heading2"/>
        <w:spacing w:before="280" w:after="80"/>
        <w:keepNext/>
      </w:pPr>
      <w:bookmarkStart w:id="142" w:name="_Toc_s041"/>
      <w:r>
        <w:rPr>
          <w:rFonts w:ascii="Calibri" w:hAnsi="Calibri"/>
          <w:b/>
          <w:color w:val="1B3A5C"/>
          <w:sz w:val="24"/>
        </w:rPr>
        <w:t>11.1 Ce qui est consigné</w:t>
      </w:r>
      <w:bookmarkEnd w:id="14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Journal</w:t>
            </w:r>
          </w:p>
        </w:tc>
        <w:tc>
          <w:tcPr>
            <w:tcW w:type="dxa" w:w="3249"/>
            <w:shd w:val="clear" w:fill="1B3A5C"/>
          </w:tcPr>
          <w:p>
            <w:pPr>
              <w:spacing w:before="60" w:after="60"/>
            </w:pPr>
            <w:r>
              <w:rPr>
                <w:rFonts w:ascii="Calibri" w:hAnsi="Calibri"/>
                <w:b/>
                <w:color w:val="FFFFFF"/>
                <w:sz w:val="17"/>
              </w:rPr>
              <w:t>Contenu</w:t>
            </w:r>
          </w:p>
        </w:tc>
        <w:tc>
          <w:tcPr>
            <w:tcW w:type="dxa" w:w="3249"/>
            <w:shd w:val="clear" w:fill="1B3A5C"/>
          </w:tcPr>
          <w:p>
            <w:pPr>
              <w:spacing w:before="60" w:after="60"/>
            </w:pPr>
            <w:r>
              <w:rPr>
                <w:rFonts w:ascii="Calibri" w:hAnsi="Calibri"/>
                <w:b/>
                <w:color w:val="FFFFFF"/>
                <w:sz w:val="17"/>
              </w:rPr>
              <w:t>Conservation</w:t>
            </w:r>
          </w:p>
        </w:tc>
      </w:tr>
      <w:tr>
        <w:tc>
          <w:tcPr>
            <w:tcW w:type="dxa" w:w="3249"/>
          </w:tcPr>
          <w:p>
            <w:pPr>
              <w:spacing w:before="40" w:after="40"/>
            </w:pPr>
            <w:r>
              <w:rPr>
                <w:rFonts w:ascii="Calibri" w:hAnsi="Calibri"/>
                <w:b/>
                <w:i w:val="0"/>
                <w:color w:val="333333"/>
                <w:sz w:val="17"/>
              </w:rPr>
              <w:t>Piste d'audit</w:t>
            </w:r>
          </w:p>
        </w:tc>
        <w:tc>
          <w:tcPr>
            <w:tcW w:type="dxa" w:w="3249"/>
          </w:tcPr>
          <w:p>
            <w:pPr>
              <w:spacing w:before="40" w:after="40"/>
            </w:pPr>
            <w:r>
              <w:rPr>
                <w:rFonts w:ascii="Calibri" w:hAnsi="Calibri"/>
                <w:b w:val="0"/>
                <w:i w:val="0"/>
                <w:color w:val="333333"/>
                <w:sz w:val="17"/>
              </w:rPr>
              <w:t>Toute création/modification/suppression sur une entité sensible : acteur, action, objet, valeurs avant/après, horodatage, IP, regroupé par lot d'opération</w:t>
            </w:r>
          </w:p>
        </w:tc>
        <w:tc>
          <w:tcPr>
            <w:tcW w:type="dxa" w:w="3249"/>
          </w:tcPr>
          <w:p>
            <w:pPr>
              <w:spacing w:before="40" w:after="40"/>
            </w:pPr>
            <w:r>
              <w:rPr>
                <w:rFonts w:ascii="Calibri" w:hAnsi="Calibri"/>
                <w:b w:val="0"/>
                <w:i w:val="0"/>
                <w:color w:val="333333"/>
                <w:sz w:val="17"/>
              </w:rPr>
              <w:t>5 ans</w:t>
            </w:r>
          </w:p>
        </w:tc>
      </w:tr>
      <w:tr>
        <w:tc>
          <w:tcPr>
            <w:tcW w:type="dxa" w:w="3249"/>
            <w:shd w:val="clear" w:fill="F2F6FA"/>
          </w:tcPr>
          <w:p>
            <w:pPr>
              <w:spacing w:before="40" w:after="40"/>
            </w:pPr>
            <w:r>
              <w:rPr>
                <w:rFonts w:ascii="Calibri" w:hAnsi="Calibri"/>
                <w:b/>
                <w:i w:val="0"/>
                <w:color w:val="333333"/>
                <w:sz w:val="17"/>
              </w:rPr>
              <w:t>Journal d'authentification</w:t>
            </w:r>
          </w:p>
        </w:tc>
        <w:tc>
          <w:tcPr>
            <w:tcW w:type="dxa" w:w="3249"/>
            <w:shd w:val="clear" w:fill="F2F6FA"/>
          </w:tcPr>
          <w:p>
            <w:pPr>
              <w:spacing w:before="40" w:after="40"/>
            </w:pPr>
            <w:r>
              <w:rPr>
                <w:rFonts w:ascii="Calibri" w:hAnsi="Calibri"/>
                <w:b w:val="0"/>
                <w:i w:val="0"/>
                <w:color w:val="333333"/>
                <w:sz w:val="17"/>
              </w:rPr>
              <w:t>Succès et échecs, back-office et TPE, avec IP, terminal et agent utilisateur</w:t>
            </w:r>
          </w:p>
        </w:tc>
        <w:tc>
          <w:tcPr>
            <w:tcW w:type="dxa" w:w="3249"/>
            <w:shd w:val="clear" w:fill="F2F6FA"/>
          </w:tcPr>
          <w:p>
            <w:pPr>
              <w:spacing w:before="40" w:after="40"/>
            </w:pPr>
            <w:r>
              <w:rPr>
                <w:rFonts w:ascii="Calibri" w:hAnsi="Calibri"/>
                <w:b w:val="0"/>
                <w:i w:val="0"/>
                <w:color w:val="333333"/>
                <w:sz w:val="17"/>
              </w:rPr>
              <w:t>12 mois</w:t>
            </w:r>
          </w:p>
        </w:tc>
      </w:tr>
      <w:tr>
        <w:tc>
          <w:tcPr>
            <w:tcW w:type="dxa" w:w="3249"/>
          </w:tcPr>
          <w:p>
            <w:pPr>
              <w:spacing w:before="40" w:after="40"/>
            </w:pPr>
            <w:r>
              <w:rPr>
                <w:rFonts w:ascii="Calibri" w:hAnsi="Calibri"/>
                <w:b/>
                <w:i w:val="0"/>
                <w:color w:val="333333"/>
                <w:sz w:val="17"/>
              </w:rPr>
              <w:t>Journal API</w:t>
            </w:r>
          </w:p>
        </w:tc>
        <w:tc>
          <w:tcPr>
            <w:tcW w:type="dxa" w:w="3249"/>
          </w:tcPr>
          <w:p>
            <w:pPr>
              <w:spacing w:before="40" w:after="40"/>
            </w:pPr>
            <w:r>
              <w:rPr>
                <w:rFonts w:ascii="Calibri" w:hAnsi="Calibri"/>
                <w:b w:val="0"/>
                <w:i w:val="0"/>
                <w:color w:val="333333"/>
                <w:sz w:val="17"/>
              </w:rPr>
              <w:t>Un middleware dédié consigne déjà le trafic API des transactions, des cartes et des OTP : point d'entrée, charge utile (champs sensibles masqués), réponse, statut, latence</w:t>
            </w:r>
          </w:p>
        </w:tc>
        <w:tc>
          <w:tcPr>
            <w:tcW w:type="dxa" w:w="3249"/>
          </w:tcPr>
          <w:p>
            <w:pPr>
              <w:spacing w:before="40" w:after="40"/>
            </w:pPr>
            <w:r>
              <w:rPr>
                <w:rFonts w:ascii="Calibri" w:hAnsi="Calibri"/>
                <w:b w:val="0"/>
                <w:i w:val="0"/>
                <w:color w:val="333333"/>
                <w:sz w:val="17"/>
              </w:rPr>
              <w:t>12 mois</w:t>
            </w:r>
          </w:p>
        </w:tc>
      </w:tr>
      <w:tr>
        <w:tc>
          <w:tcPr>
            <w:tcW w:type="dxa" w:w="3249"/>
            <w:shd w:val="clear" w:fill="F2F6FA"/>
          </w:tcPr>
          <w:p>
            <w:pPr>
              <w:spacing w:before="40" w:after="40"/>
            </w:pPr>
            <w:r>
              <w:rPr>
                <w:rFonts w:ascii="Calibri" w:hAnsi="Calibri"/>
                <w:b/>
                <w:i w:val="0"/>
                <w:color w:val="333333"/>
                <w:sz w:val="17"/>
              </w:rPr>
              <w:t>Journal financier</w:t>
            </w:r>
          </w:p>
        </w:tc>
        <w:tc>
          <w:tcPr>
            <w:tcW w:type="dxa" w:w="3249"/>
            <w:shd w:val="clear" w:fill="F2F6FA"/>
          </w:tcPr>
          <w:p>
            <w:pPr>
              <w:spacing w:before="40" w:after="40"/>
            </w:pPr>
            <w:r>
              <w:rPr>
                <w:rFonts w:ascii="Calibri" w:hAnsi="Calibri"/>
                <w:b w:val="0"/>
                <w:i w:val="0"/>
                <w:color w:val="333333"/>
                <w:sz w:val="17"/>
              </w:rPr>
              <w:t>Chaque encaissement, versement, confirmation, correction et modification de plafond</w:t>
            </w:r>
          </w:p>
        </w:tc>
        <w:tc>
          <w:tcPr>
            <w:tcW w:type="dxa" w:w="3249"/>
            <w:shd w:val="clear" w:fill="F2F6FA"/>
          </w:tcPr>
          <w:p>
            <w:pPr>
              <w:spacing w:before="40" w:after="40"/>
            </w:pPr>
            <w:r>
              <w:rPr>
                <w:rFonts w:ascii="Calibri" w:hAnsi="Calibri"/>
                <w:b w:val="0"/>
                <w:i w:val="0"/>
                <w:color w:val="333333"/>
                <w:sz w:val="17"/>
              </w:rPr>
              <w:t>10 ans</w:t>
            </w:r>
          </w:p>
        </w:tc>
      </w:tr>
      <w:tr>
        <w:tc>
          <w:tcPr>
            <w:tcW w:type="dxa" w:w="3249"/>
          </w:tcPr>
          <w:p>
            <w:pPr>
              <w:spacing w:before="40" w:after="40"/>
            </w:pPr>
            <w:r>
              <w:rPr>
                <w:rFonts w:ascii="Calibri" w:hAnsi="Calibri"/>
                <w:b/>
                <w:i w:val="0"/>
                <w:color w:val="333333"/>
                <w:sz w:val="17"/>
              </w:rPr>
              <w:t>Journal d'intégration</w:t>
            </w:r>
          </w:p>
        </w:tc>
        <w:tc>
          <w:tcPr>
            <w:tcW w:type="dxa" w:w="3249"/>
          </w:tcPr>
          <w:p>
            <w:pPr>
              <w:spacing w:before="40" w:after="40"/>
            </w:pPr>
            <w:r>
              <w:rPr>
                <w:rFonts w:ascii="Calibri" w:hAnsi="Calibri"/>
                <w:b w:val="0"/>
                <w:i w:val="0"/>
                <w:color w:val="333333"/>
                <w:sz w:val="17"/>
              </w:rPr>
              <w:t>Chaque échange SUNULIFE et Mobile Money avec statut et nombre de tentatives</w:t>
            </w:r>
          </w:p>
        </w:tc>
        <w:tc>
          <w:tcPr>
            <w:tcW w:type="dxa" w:w="3249"/>
          </w:tcPr>
          <w:p>
            <w:pPr>
              <w:spacing w:before="40" w:after="40"/>
            </w:pPr>
            <w:r>
              <w:rPr>
                <w:rFonts w:ascii="Calibri" w:hAnsi="Calibri"/>
                <w:b w:val="0"/>
                <w:i w:val="0"/>
                <w:color w:val="333333"/>
                <w:sz w:val="17"/>
              </w:rPr>
              <w:t>24 mois</w:t>
            </w:r>
          </w:p>
        </w:tc>
      </w:tr>
      <w:tr>
        <w:tc>
          <w:tcPr>
            <w:tcW w:type="dxa" w:w="3249"/>
            <w:shd w:val="clear" w:fill="F2F6FA"/>
          </w:tcPr>
          <w:p>
            <w:pPr>
              <w:spacing w:before="40" w:after="40"/>
            </w:pPr>
            <w:r>
              <w:rPr>
                <w:rFonts w:ascii="Calibri" w:hAnsi="Calibri"/>
                <w:b/>
                <w:i w:val="0"/>
                <w:color w:val="333333"/>
                <w:sz w:val="17"/>
              </w:rPr>
              <w:t>Journal technique</w:t>
            </w:r>
          </w:p>
        </w:tc>
        <w:tc>
          <w:tcPr>
            <w:tcW w:type="dxa" w:w="3249"/>
            <w:shd w:val="clear" w:fill="F2F6FA"/>
          </w:tcPr>
          <w:p>
            <w:pPr>
              <w:spacing w:before="40" w:after="40"/>
            </w:pPr>
            <w:r>
              <w:rPr>
                <w:rFonts w:ascii="Calibri" w:hAnsi="Calibri"/>
                <w:b w:val="0"/>
                <w:i w:val="0"/>
                <w:color w:val="333333"/>
                <w:sz w:val="17"/>
              </w:rPr>
              <w:t>Erreurs, exceptions, performance</w:t>
            </w:r>
          </w:p>
        </w:tc>
        <w:tc>
          <w:tcPr>
            <w:tcW w:type="dxa" w:w="3249"/>
            <w:shd w:val="clear" w:fill="F2F6FA"/>
          </w:tcPr>
          <w:p>
            <w:pPr>
              <w:spacing w:before="40" w:after="40"/>
            </w:pPr>
            <w:r>
              <w:rPr>
                <w:rFonts w:ascii="Calibri" w:hAnsi="Calibri"/>
                <w:b w:val="0"/>
                <w:i w:val="0"/>
                <w:color w:val="333333"/>
                <w:sz w:val="17"/>
              </w:rPr>
              <w:t>90 jours</w:t>
            </w:r>
          </w:p>
        </w:tc>
      </w:tr>
    </w:tbl>
    <w:p>
      <w:pPr>
        <w:spacing w:after="40"/>
      </w:pPr>
    </w:p>
    <w:p>
      <w:pPr>
        <w:pStyle w:val="Heading2"/>
        <w:spacing w:before="280" w:after="80"/>
        <w:keepNext/>
      </w:pPr>
      <w:bookmarkStart w:id="143" w:name="_Toc_s042"/>
      <w:r>
        <w:rPr>
          <w:rFonts w:ascii="Calibri" w:hAnsi="Calibri"/>
          <w:b/>
          <w:color w:val="1B3A5C"/>
          <w:sz w:val="24"/>
        </w:rPr>
        <w:t>11.2 Protection des journaux</w:t>
      </w:r>
      <w:bookmarkEnd w:id="143"/>
    </w:p>
    <w:p>
      <w:r>
        <w:rPr>
          <w:rFonts w:ascii="Calibri" w:hAnsi="Calibri"/>
          <w:b w:val="0"/>
          <w:i w:val="0"/>
          <w:color w:val="333333"/>
          <w:sz w:val="20"/>
        </w:rPr>
        <w:t>Les journaux sont en ajout seul pour les utilisateurs applicatifs ; aucun profil applicatif ne peut supprimer un enregistrement d'audit. Les valeurs sensibles (mots de passe, codes, jetons, CNIB complète, gabarits biométriques) sont masquées au moment de l'écriture — une configuration de journalisation susceptible de les émettre en clair ne doit pas exister en production. Voir §12 point H-6.</w:t>
      </w:r>
    </w:p>
    <w:p>
      <w:pPr>
        <w:pStyle w:val="Heading2"/>
        <w:spacing w:before="280" w:after="80"/>
        <w:keepNext/>
      </w:pPr>
      <w:bookmarkStart w:id="144" w:name="_Toc_s043"/>
      <w:r>
        <w:rPr>
          <w:rFonts w:ascii="Calibri" w:hAnsi="Calibri"/>
          <w:b/>
          <w:color w:val="1B3A5C"/>
          <w:sz w:val="24"/>
        </w:rPr>
        <w:t>11.3 Alertes</w:t>
      </w:r>
      <w:bookmarkEnd w:id="14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Événement</w:t>
            </w:r>
          </w:p>
        </w:tc>
        <w:tc>
          <w:tcPr>
            <w:tcW w:type="dxa" w:w="3249"/>
            <w:shd w:val="clear" w:fill="1B3A5C"/>
          </w:tcPr>
          <w:p>
            <w:pPr>
              <w:spacing w:before="60" w:after="60"/>
            </w:pPr>
            <w:r>
              <w:rPr>
                <w:rFonts w:ascii="Calibri" w:hAnsi="Calibri"/>
                <w:b/>
                <w:color w:val="FFFFFF"/>
                <w:sz w:val="17"/>
              </w:rPr>
              <w:t>Gravité</w:t>
            </w:r>
          </w:p>
        </w:tc>
        <w:tc>
          <w:tcPr>
            <w:tcW w:type="dxa" w:w="3249"/>
            <w:shd w:val="clear" w:fill="1B3A5C"/>
          </w:tcPr>
          <w:p>
            <w:pPr>
              <w:spacing w:before="60" w:after="60"/>
            </w:pPr>
            <w:r>
              <w:rPr>
                <w:rFonts w:ascii="Calibri" w:hAnsi="Calibri"/>
                <w:b/>
                <w:color w:val="FFFFFF"/>
                <w:sz w:val="17"/>
              </w:rPr>
              <w:t>Destinataire</w:t>
            </w:r>
          </w:p>
        </w:tc>
      </w:tr>
      <w:tr>
        <w:tc>
          <w:tcPr>
            <w:tcW w:type="dxa" w:w="3249"/>
          </w:tcPr>
          <w:p>
            <w:pPr>
              <w:spacing w:before="40" w:after="40"/>
            </w:pPr>
            <w:r>
              <w:rPr>
                <w:rFonts w:ascii="Calibri" w:hAnsi="Calibri"/>
                <w:b w:val="0"/>
                <w:i w:val="0"/>
                <w:color w:val="333333"/>
                <w:sz w:val="17"/>
              </w:rPr>
              <w:t>Échecs d'authentification répétés sur un compte</w:t>
            </w:r>
          </w:p>
        </w:tc>
        <w:tc>
          <w:tcPr>
            <w:tcW w:type="dxa" w:w="3249"/>
          </w:tcPr>
          <w:p>
            <w:pPr>
              <w:spacing w:before="40" w:after="40"/>
            </w:pPr>
            <w:r>
              <w:rPr>
                <w:rFonts w:ascii="Calibri" w:hAnsi="Calibri"/>
                <w:b w:val="0"/>
                <w:i w:val="0"/>
                <w:color w:val="333333"/>
                <w:sz w:val="17"/>
              </w:rPr>
              <w:t>Moyenne</w:t>
            </w:r>
          </w:p>
        </w:tc>
        <w:tc>
          <w:tcPr>
            <w:tcW w:type="dxa" w:w="3249"/>
          </w:tcPr>
          <w:p>
            <w:pPr>
              <w:spacing w:before="40" w:after="40"/>
            </w:pPr>
            <w:r>
              <w:rPr>
                <w:rFonts w:ascii="Calibri" w:hAnsi="Calibri"/>
                <w:b w:val="0"/>
                <w:i w:val="0"/>
                <w:color w:val="333333"/>
                <w:sz w:val="17"/>
              </w:rPr>
              <w:t>Administrateur</w:t>
            </w:r>
          </w:p>
        </w:tc>
      </w:tr>
      <w:tr>
        <w:tc>
          <w:tcPr>
            <w:tcW w:type="dxa" w:w="3249"/>
            <w:shd w:val="clear" w:fill="F2F6FA"/>
          </w:tcPr>
          <w:p>
            <w:pPr>
              <w:spacing w:before="40" w:after="40"/>
            </w:pPr>
            <w:r>
              <w:rPr>
                <w:rFonts w:ascii="Calibri" w:hAnsi="Calibri"/>
                <w:b w:val="0"/>
                <w:i w:val="0"/>
                <w:color w:val="333333"/>
                <w:sz w:val="17"/>
              </w:rPr>
              <w:t>Connexion depuis un terminal non affecté</w:t>
            </w:r>
          </w:p>
        </w:tc>
        <w:tc>
          <w:tcPr>
            <w:tcW w:type="dxa" w:w="3249"/>
            <w:shd w:val="clear" w:fill="F2F6FA"/>
          </w:tcPr>
          <w:p>
            <w:pPr>
              <w:spacing w:before="40" w:after="40"/>
            </w:pPr>
            <w:r>
              <w:rPr>
                <w:rFonts w:ascii="Calibri" w:hAnsi="Calibri"/>
                <w:b w:val="0"/>
                <w:i w:val="0"/>
                <w:color w:val="333333"/>
                <w:sz w:val="17"/>
              </w:rPr>
              <w:t>Élevée</w:t>
            </w:r>
          </w:p>
        </w:tc>
        <w:tc>
          <w:tcPr>
            <w:tcW w:type="dxa" w:w="3249"/>
            <w:shd w:val="clear" w:fill="F2F6FA"/>
          </w:tcPr>
          <w:p>
            <w:pPr>
              <w:spacing w:before="40" w:after="40"/>
            </w:pPr>
            <w:r>
              <w:rPr>
                <w:rFonts w:ascii="Calibri" w:hAnsi="Calibri"/>
                <w:b w:val="0"/>
                <w:i w:val="0"/>
                <w:color w:val="333333"/>
                <w:sz w:val="17"/>
              </w:rPr>
              <w:t>Superviseur + Administrateur</w:t>
            </w:r>
          </w:p>
        </w:tc>
      </w:tr>
      <w:tr>
        <w:tc>
          <w:tcPr>
            <w:tcW w:type="dxa" w:w="3249"/>
          </w:tcPr>
          <w:p>
            <w:pPr>
              <w:spacing w:before="40" w:after="40"/>
            </w:pPr>
            <w:r>
              <w:rPr>
                <w:rFonts w:ascii="Calibri" w:hAnsi="Calibri"/>
                <w:b w:val="0"/>
                <w:i w:val="0"/>
                <w:color w:val="333333"/>
                <w:sz w:val="17"/>
              </w:rPr>
              <w:t>Appareil rooté ou altéré détecté</w:t>
            </w:r>
          </w:p>
        </w:tc>
        <w:tc>
          <w:tcPr>
            <w:tcW w:type="dxa" w:w="3249"/>
          </w:tcPr>
          <w:p>
            <w:pPr>
              <w:spacing w:before="40" w:after="40"/>
            </w:pPr>
            <w:r>
              <w:rPr>
                <w:rFonts w:ascii="Calibri" w:hAnsi="Calibri"/>
                <w:b w:val="0"/>
                <w:i w:val="0"/>
                <w:color w:val="333333"/>
                <w:sz w:val="17"/>
              </w:rPr>
              <w:t>Élevée</w:t>
            </w:r>
          </w:p>
        </w:tc>
        <w:tc>
          <w:tcPr>
            <w:tcW w:type="dxa" w:w="3249"/>
          </w:tcPr>
          <w:p>
            <w:pPr>
              <w:spacing w:before="40" w:after="40"/>
            </w:pPr>
            <w:r>
              <w:rPr>
                <w:rFonts w:ascii="Calibri" w:hAnsi="Calibri"/>
                <w:b w:val="0"/>
                <w:i w:val="0"/>
                <w:color w:val="333333"/>
                <w:sz w:val="17"/>
              </w:rPr>
              <w:t>DSI</w:t>
            </w:r>
          </w:p>
        </w:tc>
      </w:tr>
      <w:tr>
        <w:tc>
          <w:tcPr>
            <w:tcW w:type="dxa" w:w="3249"/>
            <w:shd w:val="clear" w:fill="F2F6FA"/>
          </w:tcPr>
          <w:p>
            <w:pPr>
              <w:spacing w:before="40" w:after="40"/>
            </w:pPr>
            <w:r>
              <w:rPr>
                <w:rFonts w:ascii="Calibri" w:hAnsi="Calibri"/>
                <w:b w:val="0"/>
                <w:i w:val="0"/>
                <w:color w:val="333333"/>
                <w:sz w:val="17"/>
              </w:rPr>
              <w:t>Rupture détectée dans la numérotation des reçus</w:t>
            </w:r>
          </w:p>
        </w:tc>
        <w:tc>
          <w:tcPr>
            <w:tcW w:type="dxa" w:w="3249"/>
            <w:shd w:val="clear" w:fill="F2F6FA"/>
          </w:tcPr>
          <w:p>
            <w:pPr>
              <w:spacing w:before="40" w:after="40"/>
            </w:pPr>
            <w:r>
              <w:rPr>
                <w:rFonts w:ascii="Calibri" w:hAnsi="Calibri"/>
                <w:b w:val="0"/>
                <w:i w:val="0"/>
                <w:color w:val="333333"/>
                <w:sz w:val="17"/>
              </w:rPr>
              <w:t>Élevée</w:t>
            </w:r>
          </w:p>
        </w:tc>
        <w:tc>
          <w:tcPr>
            <w:tcW w:type="dxa" w:w="3249"/>
            <w:shd w:val="clear" w:fill="F2F6FA"/>
          </w:tcPr>
          <w:p>
            <w:pPr>
              <w:spacing w:before="40" w:after="40"/>
            </w:pPr>
            <w:r>
              <w:rPr>
                <w:rFonts w:ascii="Calibri" w:hAnsi="Calibri"/>
                <w:b w:val="0"/>
                <w:i w:val="0"/>
                <w:color w:val="333333"/>
                <w:sz w:val="17"/>
              </w:rPr>
              <w:t>Superviseur</w:t>
            </w:r>
          </w:p>
        </w:tc>
      </w:tr>
      <w:tr>
        <w:tc>
          <w:tcPr>
            <w:tcW w:type="dxa" w:w="3249"/>
          </w:tcPr>
          <w:p>
            <w:pPr>
              <w:spacing w:before="40" w:after="40"/>
            </w:pPr>
            <w:r>
              <w:rPr>
                <w:rFonts w:ascii="Calibri" w:hAnsi="Calibri"/>
                <w:b w:val="0"/>
                <w:i w:val="0"/>
                <w:color w:val="333333"/>
                <w:sz w:val="17"/>
              </w:rPr>
              <w:t>Collecteur au-dessus du plafond depuis plus de N jours</w:t>
            </w:r>
          </w:p>
        </w:tc>
        <w:tc>
          <w:tcPr>
            <w:tcW w:type="dxa" w:w="3249"/>
          </w:tcPr>
          <w:p>
            <w:pPr>
              <w:spacing w:before="40" w:after="40"/>
            </w:pPr>
            <w:r>
              <w:rPr>
                <w:rFonts w:ascii="Calibri" w:hAnsi="Calibri"/>
                <w:b w:val="0"/>
                <w:i w:val="0"/>
                <w:color w:val="333333"/>
                <w:sz w:val="17"/>
              </w:rPr>
              <w:t>Moyenne</w:t>
            </w:r>
          </w:p>
        </w:tc>
        <w:tc>
          <w:tcPr>
            <w:tcW w:type="dxa" w:w="3249"/>
          </w:tcPr>
          <w:p>
            <w:pPr>
              <w:spacing w:before="40" w:after="40"/>
            </w:pPr>
            <w:r>
              <w:rPr>
                <w:rFonts w:ascii="Calibri" w:hAnsi="Calibri"/>
                <w:b w:val="0"/>
                <w:i w:val="0"/>
                <w:color w:val="333333"/>
                <w:sz w:val="17"/>
              </w:rPr>
              <w:t>Superviseur</w:t>
            </w:r>
          </w:p>
        </w:tc>
      </w:tr>
      <w:tr>
        <w:tc>
          <w:tcPr>
            <w:tcW w:type="dxa" w:w="3249"/>
            <w:shd w:val="clear" w:fill="F2F6FA"/>
          </w:tcPr>
          <w:p>
            <w:pPr>
              <w:spacing w:before="40" w:after="40"/>
            </w:pPr>
            <w:r>
              <w:rPr>
                <w:rFonts w:ascii="Calibri" w:hAnsi="Calibri"/>
                <w:b w:val="0"/>
                <w:i w:val="0"/>
                <w:color w:val="333333"/>
                <w:sz w:val="17"/>
              </w:rPr>
              <w:t>Écart de versement au-delà de la tolérance</w:t>
            </w:r>
          </w:p>
        </w:tc>
        <w:tc>
          <w:tcPr>
            <w:tcW w:type="dxa" w:w="3249"/>
            <w:shd w:val="clear" w:fill="F2F6FA"/>
          </w:tcPr>
          <w:p>
            <w:pPr>
              <w:spacing w:before="40" w:after="40"/>
            </w:pPr>
            <w:r>
              <w:rPr>
                <w:rFonts w:ascii="Calibri" w:hAnsi="Calibri"/>
                <w:b w:val="0"/>
                <w:i w:val="0"/>
                <w:color w:val="333333"/>
                <w:sz w:val="17"/>
              </w:rPr>
              <w:t>Élevée</w:t>
            </w:r>
          </w:p>
        </w:tc>
        <w:tc>
          <w:tcPr>
            <w:tcW w:type="dxa" w:w="3249"/>
            <w:shd w:val="clear" w:fill="F2F6FA"/>
          </w:tcPr>
          <w:p>
            <w:pPr>
              <w:spacing w:before="40" w:after="40"/>
            </w:pPr>
            <w:r>
              <w:rPr>
                <w:rFonts w:ascii="Calibri" w:hAnsi="Calibri"/>
                <w:b w:val="0"/>
                <w:i w:val="0"/>
                <w:color w:val="333333"/>
                <w:sz w:val="17"/>
              </w:rPr>
              <w:t>Superviseur + Finance</w:t>
            </w:r>
          </w:p>
        </w:tc>
      </w:tr>
      <w:tr>
        <w:tc>
          <w:tcPr>
            <w:tcW w:type="dxa" w:w="3249"/>
          </w:tcPr>
          <w:p>
            <w:pPr>
              <w:spacing w:before="40" w:after="40"/>
            </w:pPr>
            <w:r>
              <w:rPr>
                <w:rFonts w:ascii="Calibri" w:hAnsi="Calibri"/>
                <w:b w:val="0"/>
                <w:i w:val="0"/>
                <w:color w:val="333333"/>
                <w:sz w:val="17"/>
              </w:rPr>
              <w:t>Volume d'export anormal</w:t>
            </w:r>
          </w:p>
        </w:tc>
        <w:tc>
          <w:tcPr>
            <w:tcW w:type="dxa" w:w="3249"/>
          </w:tcPr>
          <w:p>
            <w:pPr>
              <w:spacing w:before="40" w:after="40"/>
            </w:pPr>
            <w:r>
              <w:rPr>
                <w:rFonts w:ascii="Calibri" w:hAnsi="Calibri"/>
                <w:b w:val="0"/>
                <w:i w:val="0"/>
                <w:color w:val="333333"/>
                <w:sz w:val="17"/>
              </w:rPr>
              <w:t>Élevée</w:t>
            </w:r>
          </w:p>
        </w:tc>
        <w:tc>
          <w:tcPr>
            <w:tcW w:type="dxa" w:w="3249"/>
          </w:tcPr>
          <w:p>
            <w:pPr>
              <w:spacing w:before="40" w:after="40"/>
            </w:pPr>
            <w:r>
              <w:rPr>
                <w:rFonts w:ascii="Calibri" w:hAnsi="Calibri"/>
                <w:b w:val="0"/>
                <w:i w:val="0"/>
                <w:color w:val="333333"/>
                <w:sz w:val="17"/>
              </w:rPr>
              <w:t>Administrateur + DSI</w:t>
            </w:r>
          </w:p>
        </w:tc>
      </w:tr>
      <w:tr>
        <w:tc>
          <w:tcPr>
            <w:tcW w:type="dxa" w:w="3249"/>
            <w:shd w:val="clear" w:fill="F2F6FA"/>
          </w:tcPr>
          <w:p>
            <w:pPr>
              <w:spacing w:before="40" w:after="40"/>
            </w:pPr>
            <w:r>
              <w:rPr>
                <w:rFonts w:ascii="Calibri" w:hAnsi="Calibri"/>
                <w:b w:val="0"/>
                <w:i w:val="0"/>
                <w:color w:val="333333"/>
                <w:sz w:val="17"/>
              </w:rPr>
              <w:t>Taux d'échec d'intégration au-dessus du seuil</w:t>
            </w:r>
          </w:p>
        </w:tc>
        <w:tc>
          <w:tcPr>
            <w:tcW w:type="dxa" w:w="3249"/>
            <w:shd w:val="clear" w:fill="F2F6FA"/>
          </w:tcPr>
          <w:p>
            <w:pPr>
              <w:spacing w:before="40" w:after="40"/>
            </w:pPr>
            <w:r>
              <w:rPr>
                <w:rFonts w:ascii="Calibri" w:hAnsi="Calibri"/>
                <w:b w:val="0"/>
                <w:i w:val="0"/>
                <w:color w:val="333333"/>
                <w:sz w:val="17"/>
              </w:rPr>
              <w:t>Moyenne</w:t>
            </w:r>
          </w:p>
        </w:tc>
        <w:tc>
          <w:tcPr>
            <w:tcW w:type="dxa" w:w="3249"/>
            <w:shd w:val="clear" w:fill="F2F6FA"/>
          </w:tcPr>
          <w:p>
            <w:pPr>
              <w:spacing w:before="40" w:after="40"/>
            </w:pPr>
            <w:r>
              <w:rPr>
                <w:rFonts w:ascii="Calibri" w:hAnsi="Calibri"/>
                <w:b w:val="0"/>
                <w:i w:val="0"/>
                <w:color w:val="333333"/>
                <w:sz w:val="17"/>
              </w:rPr>
              <w:t>DSI</w:t>
            </w:r>
          </w:p>
        </w:tc>
      </w:tr>
      <w:tr>
        <w:tc>
          <w:tcPr>
            <w:tcW w:type="dxa" w:w="3249"/>
          </w:tcPr>
          <w:p>
            <w:pPr>
              <w:spacing w:before="40" w:after="40"/>
            </w:pPr>
            <w:r>
              <w:rPr>
                <w:rFonts w:ascii="Calibri" w:hAnsi="Calibri"/>
                <w:b w:val="0"/>
                <w:i w:val="0"/>
                <w:color w:val="333333"/>
                <w:sz w:val="17"/>
              </w:rPr>
              <w:t>Rappel Mobile Money non vérifié</w:t>
            </w:r>
          </w:p>
        </w:tc>
        <w:tc>
          <w:tcPr>
            <w:tcW w:type="dxa" w:w="3249"/>
          </w:tcPr>
          <w:p>
            <w:pPr>
              <w:spacing w:before="40" w:after="40"/>
            </w:pPr>
            <w:r>
              <w:rPr>
                <w:rFonts w:ascii="Calibri" w:hAnsi="Calibri"/>
                <w:b w:val="0"/>
                <w:i w:val="0"/>
                <w:color w:val="333333"/>
                <w:sz w:val="17"/>
              </w:rPr>
              <w:t>Élevée</w:t>
            </w:r>
          </w:p>
        </w:tc>
        <w:tc>
          <w:tcPr>
            <w:tcW w:type="dxa" w:w="3249"/>
          </w:tcPr>
          <w:p>
            <w:pPr>
              <w:spacing w:before="40" w:after="40"/>
            </w:pPr>
            <w:r>
              <w:rPr>
                <w:rFonts w:ascii="Calibri" w:hAnsi="Calibri"/>
                <w:b w:val="0"/>
                <w:i w:val="0"/>
                <w:color w:val="333333"/>
                <w:sz w:val="17"/>
              </w:rPr>
              <w:t>DSI</w:t>
            </w:r>
          </w:p>
        </w:tc>
      </w:tr>
      <w:tr>
        <w:tc>
          <w:tcPr>
            <w:tcW w:type="dxa" w:w="3249"/>
            <w:shd w:val="clear" w:fill="F2F6FA"/>
          </w:tcPr>
          <w:p>
            <w:pPr>
              <w:spacing w:before="40" w:after="40"/>
            </w:pPr>
            <w:r>
              <w:rPr>
                <w:rFonts w:ascii="Calibri" w:hAnsi="Calibri"/>
                <w:b w:val="0"/>
                <w:i w:val="0"/>
                <w:color w:val="333333"/>
                <w:sz w:val="17"/>
              </w:rPr>
              <w:t>Échec de sauvegarde</w:t>
            </w:r>
          </w:p>
        </w:tc>
        <w:tc>
          <w:tcPr>
            <w:tcW w:type="dxa" w:w="3249"/>
            <w:shd w:val="clear" w:fill="F2F6FA"/>
          </w:tcPr>
          <w:p>
            <w:pPr>
              <w:spacing w:before="40" w:after="40"/>
            </w:pPr>
            <w:r>
              <w:rPr>
                <w:rFonts w:ascii="Calibri" w:hAnsi="Calibri"/>
                <w:b w:val="0"/>
                <w:i w:val="0"/>
                <w:color w:val="333333"/>
                <w:sz w:val="17"/>
              </w:rPr>
              <w:t>Élevée</w:t>
            </w:r>
          </w:p>
        </w:tc>
        <w:tc>
          <w:tcPr>
            <w:tcW w:type="dxa" w:w="3249"/>
            <w:shd w:val="clear" w:fill="F2F6FA"/>
          </w:tcPr>
          <w:p>
            <w:pPr>
              <w:spacing w:before="40" w:after="40"/>
            </w:pPr>
            <w:r>
              <w:rPr>
                <w:rFonts w:ascii="Calibri" w:hAnsi="Calibri"/>
                <w:b w:val="0"/>
                <w:i w:val="0"/>
                <w:color w:val="333333"/>
                <w:sz w:val="17"/>
              </w:rPr>
              <w:t>DSI</w:t>
            </w:r>
          </w:p>
        </w:tc>
      </w:tr>
    </w:tbl>
    <w:p>
      <w:pPr>
        <w:spacing w:after="40"/>
      </w:pPr>
    </w:p>
    <w:p>
      <w:pPr>
        <w:pStyle w:val="Heading2"/>
        <w:spacing w:before="280" w:after="80"/>
        <w:keepNext/>
      </w:pPr>
      <w:bookmarkStart w:id="145" w:name="_Toc_s044"/>
      <w:r>
        <w:rPr>
          <w:rFonts w:ascii="Calibri" w:hAnsi="Calibri"/>
          <w:b/>
          <w:color w:val="1B3A5C"/>
          <w:sz w:val="24"/>
        </w:rPr>
        <w:t>11.4 Cadence de revue</w:t>
      </w:r>
      <w:bookmarkEnd w:id="145"/>
    </w:p>
    <w:p>
      <w:r>
        <w:rPr>
          <w:rFonts w:ascii="Calibri" w:hAnsi="Calibri"/>
          <w:b w:val="0"/>
          <w:i w:val="0"/>
          <w:color w:val="333333"/>
          <w:sz w:val="20"/>
        </w:rPr>
        <w:t>Quotidienne : file d'alertes et files d'anomalies. Hebdomadaire : rapprochement des plafonds et des versements. Mensuelle : revue des accès des comptes privilégiés, santé des intégrations. Trimestrielle : revue complète des utilisateurs et habilitations, test de restauration des sauvegardes, revue des correctifs de sécurité.</w:t>
      </w:r>
    </w:p>
    <w:p>
      <w:pPr>
        <w:pStyle w:val="Heading1"/>
        <w:pageBreakBefore/>
        <w:spacing w:before="360" w:after="80"/>
        <w:keepNext/>
        <w:pBdr>
          <w:bottom w:val="single" w:sz="8" w:space="6" w:color="1B3A5C"/>
        </w:pBdr>
      </w:pPr>
      <w:bookmarkStart w:id="146" w:name="_Toc_s045"/>
      <w:r>
        <w:rPr>
          <w:rFonts w:ascii="Calibri" w:hAnsi="Calibri"/>
          <w:b/>
          <w:color w:val="1B3A5C"/>
          <w:sz w:val="30"/>
        </w:rPr>
        <w:t>12. Programme de durcissement — points préexistants à corriger</w:t>
      </w:r>
      <w:bookmarkEnd w:id="146"/>
    </w:p>
    <w:p>
      <w:r>
        <w:rPr>
          <w:rFonts w:ascii="Calibri" w:hAnsi="Calibri"/>
          <w:b w:val="0"/>
          <w:i w:val="0"/>
          <w:color w:val="333333"/>
          <w:sz w:val="20"/>
        </w:rPr>
        <w:t xml:space="preserve">Ces points existent dans la plateforme actuelle et sont </w:t>
      </w:r>
      <w:r>
        <w:rPr>
          <w:rFonts w:ascii="Calibri" w:hAnsi="Calibri"/>
          <w:b/>
          <w:i w:val="0"/>
          <w:color w:val="333333"/>
          <w:sz w:val="20"/>
        </w:rPr>
        <w:t>corrigés dans le cadre du présent projet</w:t>
      </w:r>
      <w:r>
        <w:rPr>
          <w:rFonts w:ascii="Calibri" w:hAnsi="Calibri"/>
          <w:b w:val="0"/>
          <w:i w:val="0"/>
          <w:color w:val="333333"/>
          <w:sz w:val="20"/>
        </w:rPr>
        <w:t>, avant la mise en production. Ils sont listés ouvertement afin que SUNU puisse vérifier chacun d'eux à la réception. Chacun porte une échéance alignée sur le Document 4.</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Point</w:t>
            </w:r>
          </w:p>
        </w:tc>
        <w:tc>
          <w:tcPr>
            <w:tcW w:type="dxa" w:w="2126"/>
            <w:shd w:val="clear" w:fill="1B3A5C"/>
          </w:tcPr>
          <w:p>
            <w:pPr>
              <w:spacing w:before="60" w:after="60"/>
            </w:pPr>
            <w:r>
              <w:rPr>
                <w:rFonts w:ascii="Calibri" w:hAnsi="Calibri"/>
                <w:b/>
                <w:color w:val="FFFFFF"/>
                <w:sz w:val="17"/>
              </w:rPr>
              <w:t>État actuel</w:t>
            </w:r>
          </w:p>
        </w:tc>
        <w:tc>
          <w:tcPr>
            <w:tcW w:type="dxa" w:w="2126"/>
            <w:shd w:val="clear" w:fill="1B3A5C"/>
          </w:tcPr>
          <w:p>
            <w:pPr>
              <w:spacing w:before="60" w:after="60"/>
            </w:pPr>
            <w:r>
              <w:rPr>
                <w:rFonts w:ascii="Calibri" w:hAnsi="Calibri"/>
                <w:b/>
                <w:color w:val="FFFFFF"/>
                <w:sz w:val="17"/>
              </w:rPr>
              <w:t>Correction</w:t>
            </w:r>
          </w:p>
        </w:tc>
        <w:tc>
          <w:tcPr>
            <w:tcW w:type="dxa" w:w="2126"/>
            <w:shd w:val="clear" w:fill="1B3A5C"/>
          </w:tcPr>
          <w:p>
            <w:pPr>
              <w:spacing w:before="60" w:after="60"/>
            </w:pPr>
            <w:r>
              <w:rPr>
                <w:rFonts w:ascii="Calibri" w:hAnsi="Calibri"/>
                <w:b/>
                <w:color w:val="FFFFFF"/>
                <w:sz w:val="17"/>
              </w:rPr>
              <w:t>Échéance</w:t>
            </w:r>
          </w:p>
        </w:tc>
      </w:tr>
      <w:tr>
        <w:tc>
          <w:tcPr>
            <w:tcW w:type="dxa" w:w="907"/>
          </w:tcPr>
          <w:p>
            <w:pPr>
              <w:spacing w:before="40" w:after="40"/>
            </w:pPr>
            <w:r>
              <w:rPr>
                <w:rFonts w:ascii="Calibri" w:hAnsi="Calibri"/>
                <w:b/>
                <w:i w:val="0"/>
                <w:color w:val="333333"/>
                <w:sz w:val="17"/>
              </w:rPr>
              <w:t>H-1</w:t>
            </w:r>
          </w:p>
        </w:tc>
        <w:tc>
          <w:tcPr>
            <w:tcW w:type="dxa" w:w="2126"/>
          </w:tcPr>
          <w:p>
            <w:pPr>
              <w:spacing w:before="40" w:after="40"/>
            </w:pPr>
            <w:r>
              <w:rPr>
                <w:rFonts w:ascii="Calibri" w:hAnsi="Calibri"/>
                <w:b/>
                <w:i w:val="0"/>
                <w:color w:val="333333"/>
                <w:sz w:val="17"/>
              </w:rPr>
              <w:t>Sécurité du transport</w:t>
            </w:r>
          </w:p>
        </w:tc>
        <w:tc>
          <w:tcPr>
            <w:tcW w:type="dxa" w:w="2126"/>
          </w:tcPr>
          <w:p>
            <w:pPr>
              <w:spacing w:before="40" w:after="40"/>
            </w:pPr>
            <w:r>
              <w:rPr>
                <w:rFonts w:ascii="Calibri" w:hAnsi="Calibri"/>
                <w:b w:val="0"/>
                <w:i w:val="0"/>
                <w:color w:val="333333"/>
                <w:sz w:val="17"/>
              </w:rPr>
              <w:t xml:space="preserve">L'URL de base d'API par défaut de l'application TPE est en </w:t>
            </w:r>
            <w:r>
              <w:rPr>
                <w:rFonts w:ascii="Consolas" w:hAnsi="Consolas"/>
                <w:b w:val="0"/>
                <w:i w:val="0"/>
                <w:color w:val="1B3A5C"/>
                <w:sz w:val="16"/>
              </w:rPr>
              <w:t>http://</w:t>
            </w:r>
            <w:r>
              <w:rPr>
                <w:rFonts w:ascii="Calibri" w:hAnsi="Calibri"/>
                <w:b w:val="0"/>
                <w:i w:val="0"/>
                <w:color w:val="333333"/>
                <w:sz w:val="17"/>
              </w:rPr>
              <w:t xml:space="preserve"> en clair, et les points d'entrée d'API acceptent HTTP</w:t>
            </w:r>
          </w:p>
        </w:tc>
        <w:tc>
          <w:tcPr>
            <w:tcW w:type="dxa" w:w="2126"/>
          </w:tcPr>
          <w:p>
            <w:pPr>
              <w:spacing w:before="40" w:after="40"/>
            </w:pPr>
            <w:r>
              <w:rPr>
                <w:rFonts w:ascii="Calibri" w:hAnsi="Calibri"/>
                <w:b w:val="0"/>
                <w:i w:val="0"/>
                <w:color w:val="333333"/>
                <w:sz w:val="17"/>
              </w:rPr>
              <w:t>Imposer HTTPS de bout en bout ; refuser le clair sur l'API ; ajouter l'épinglage de certificat dans l'application TPE ; HSTS sur le back-office</w:t>
            </w:r>
          </w:p>
        </w:tc>
        <w:tc>
          <w:tcPr>
            <w:tcW w:type="dxa" w:w="2126"/>
          </w:tcPr>
          <w:p>
            <w:pPr>
              <w:spacing w:before="40" w:after="40"/>
            </w:pPr>
            <w:r>
              <w:rPr>
                <w:rFonts w:ascii="Calibri" w:hAnsi="Calibri"/>
                <w:b/>
                <w:i w:val="0"/>
                <w:color w:val="333333"/>
                <w:sz w:val="17"/>
              </w:rPr>
              <w:t>Avant la recette</w:t>
            </w:r>
            <w:r>
              <w:rPr>
                <w:rFonts w:ascii="Calibri" w:hAnsi="Calibri"/>
                <w:b w:val="0"/>
                <w:i w:val="0"/>
                <w:color w:val="333333"/>
                <w:sz w:val="17"/>
              </w:rPr>
              <w:t xml:space="preserve"> — jalon obligatoire</w:t>
            </w:r>
          </w:p>
        </w:tc>
      </w:tr>
      <w:tr>
        <w:tc>
          <w:tcPr>
            <w:tcW w:type="dxa" w:w="907"/>
            <w:shd w:val="clear" w:fill="F2F6FA"/>
          </w:tcPr>
          <w:p>
            <w:pPr>
              <w:spacing w:before="40" w:after="40"/>
            </w:pPr>
            <w:r>
              <w:rPr>
                <w:rFonts w:ascii="Calibri" w:hAnsi="Calibri"/>
                <w:b/>
                <w:i w:val="0"/>
                <w:color w:val="333333"/>
                <w:sz w:val="17"/>
              </w:rPr>
              <w:t>H-2</w:t>
            </w:r>
          </w:p>
        </w:tc>
        <w:tc>
          <w:tcPr>
            <w:tcW w:type="dxa" w:w="2126"/>
            <w:shd w:val="clear" w:fill="F2F6FA"/>
          </w:tcPr>
          <w:p>
            <w:pPr>
              <w:spacing w:before="40" w:after="40"/>
            </w:pPr>
            <w:r>
              <w:rPr>
                <w:rFonts w:ascii="Calibri" w:hAnsi="Calibri"/>
                <w:b/>
                <w:i w:val="0"/>
                <w:color w:val="333333"/>
                <w:sz w:val="17"/>
              </w:rPr>
              <w:t>Jeton de session du collecteur</w:t>
            </w:r>
          </w:p>
        </w:tc>
        <w:tc>
          <w:tcPr>
            <w:tcW w:type="dxa" w:w="2126"/>
            <w:shd w:val="clear" w:fill="F2F6FA"/>
          </w:tcPr>
          <w:p>
            <w:pPr>
              <w:spacing w:before="40" w:after="40"/>
            </w:pPr>
            <w:r>
              <w:rPr>
                <w:rFonts w:ascii="Calibri" w:hAnsi="Calibri"/>
                <w:b w:val="0"/>
                <w:i w:val="0"/>
                <w:color w:val="333333"/>
                <w:sz w:val="17"/>
              </w:rPr>
              <w:t>La connexion TPE renvoie le profil de l'agent mais n'émet aucun jeton de session borné ; les appels suivants reposent sur une clé d'API partagée</w:t>
            </w:r>
          </w:p>
        </w:tc>
        <w:tc>
          <w:tcPr>
            <w:tcW w:type="dxa" w:w="2126"/>
            <w:shd w:val="clear" w:fill="F2F6FA"/>
          </w:tcPr>
          <w:p>
            <w:pPr>
              <w:spacing w:before="40" w:after="40"/>
            </w:pPr>
            <w:r>
              <w:rPr>
                <w:rFonts w:ascii="Calibri" w:hAnsi="Calibri"/>
                <w:b w:val="0"/>
                <w:i w:val="0"/>
                <w:color w:val="333333"/>
                <w:sz w:val="17"/>
              </w:rPr>
              <w:t>Émettre un jeton signé de courte durée par agent, renouvelé à l'activité, révocable côté serveur et invalidé sur inactivité</w:t>
            </w:r>
          </w:p>
        </w:tc>
        <w:tc>
          <w:tcPr>
            <w:tcW w:type="dxa" w:w="2126"/>
            <w:shd w:val="clear" w:fill="F2F6FA"/>
          </w:tcPr>
          <w:p>
            <w:pPr>
              <w:spacing w:before="40" w:after="40"/>
            </w:pPr>
            <w:r>
              <w:rPr>
                <w:rFonts w:ascii="Calibri" w:hAnsi="Calibri"/>
                <w:b w:val="0"/>
                <w:i w:val="0"/>
                <w:color w:val="333333"/>
                <w:sz w:val="17"/>
              </w:rPr>
              <w:t>Avant le pilote</w:t>
            </w:r>
          </w:p>
        </w:tc>
      </w:tr>
      <w:tr>
        <w:tc>
          <w:tcPr>
            <w:tcW w:type="dxa" w:w="907"/>
          </w:tcPr>
          <w:p>
            <w:pPr>
              <w:spacing w:before="40" w:after="40"/>
            </w:pPr>
            <w:r>
              <w:rPr>
                <w:rFonts w:ascii="Calibri" w:hAnsi="Calibri"/>
                <w:b/>
                <w:i w:val="0"/>
                <w:color w:val="333333"/>
                <w:sz w:val="17"/>
              </w:rPr>
              <w:t>H-3</w:t>
            </w:r>
          </w:p>
        </w:tc>
        <w:tc>
          <w:tcPr>
            <w:tcW w:type="dxa" w:w="2126"/>
          </w:tcPr>
          <w:p>
            <w:pPr>
              <w:spacing w:before="40" w:after="40"/>
            </w:pPr>
            <w:r>
              <w:rPr>
                <w:rFonts w:ascii="Calibri" w:hAnsi="Calibri"/>
                <w:b/>
                <w:i w:val="0"/>
                <w:color w:val="333333"/>
                <w:sz w:val="17"/>
              </w:rPr>
              <w:t>Limitation de débit des API</w:t>
            </w:r>
          </w:p>
        </w:tc>
        <w:tc>
          <w:tcPr>
            <w:tcW w:type="dxa" w:w="2126"/>
          </w:tcPr>
          <w:p>
            <w:pPr>
              <w:spacing w:before="40" w:after="40"/>
            </w:pPr>
            <w:r>
              <w:rPr>
                <w:rFonts w:ascii="Calibri" w:hAnsi="Calibri"/>
                <w:b w:val="0"/>
                <w:i w:val="0"/>
                <w:color w:val="333333"/>
                <w:sz w:val="17"/>
              </w:rPr>
              <w:t>Les routes d'API ne sont pas limitées en débit</w:t>
            </w:r>
          </w:p>
        </w:tc>
        <w:tc>
          <w:tcPr>
            <w:tcW w:type="dxa" w:w="2126"/>
          </w:tcPr>
          <w:p>
            <w:pPr>
              <w:spacing w:before="40" w:after="40"/>
            </w:pPr>
            <w:r>
              <w:rPr>
                <w:rFonts w:ascii="Calibri" w:hAnsi="Calibri"/>
                <w:b w:val="0"/>
                <w:i w:val="0"/>
                <w:color w:val="333333"/>
                <w:sz w:val="17"/>
              </w:rPr>
              <w:t>Limitation par clé d'API, par agent et par IP, avec verrouillage progressif et alerte</w:t>
            </w:r>
          </w:p>
        </w:tc>
        <w:tc>
          <w:tcPr>
            <w:tcW w:type="dxa" w:w="2126"/>
          </w:tcPr>
          <w:p>
            <w:pPr>
              <w:spacing w:before="40" w:after="40"/>
            </w:pPr>
            <w:r>
              <w:rPr>
                <w:rFonts w:ascii="Calibri" w:hAnsi="Calibri"/>
                <w:b w:val="0"/>
                <w:i w:val="0"/>
                <w:color w:val="333333"/>
                <w:sz w:val="17"/>
              </w:rPr>
              <w:t>Avant le pilote</w:t>
            </w:r>
          </w:p>
        </w:tc>
      </w:tr>
      <w:tr>
        <w:tc>
          <w:tcPr>
            <w:tcW w:type="dxa" w:w="907"/>
            <w:shd w:val="clear" w:fill="F2F6FA"/>
          </w:tcPr>
          <w:p>
            <w:pPr>
              <w:spacing w:before="40" w:after="40"/>
            </w:pPr>
            <w:r>
              <w:rPr>
                <w:rFonts w:ascii="Calibri" w:hAnsi="Calibri"/>
                <w:b/>
                <w:i w:val="0"/>
                <w:color w:val="333333"/>
                <w:sz w:val="17"/>
              </w:rPr>
              <w:t>H-4</w:t>
            </w:r>
          </w:p>
        </w:tc>
        <w:tc>
          <w:tcPr>
            <w:tcW w:type="dxa" w:w="2126"/>
            <w:shd w:val="clear" w:fill="F2F6FA"/>
          </w:tcPr>
          <w:p>
            <w:pPr>
              <w:spacing w:before="40" w:after="40"/>
            </w:pPr>
            <w:r>
              <w:rPr>
                <w:rFonts w:ascii="Calibri" w:hAnsi="Calibri"/>
                <w:b/>
                <w:i w:val="0"/>
                <w:color w:val="333333"/>
                <w:sz w:val="17"/>
              </w:rPr>
              <w:t>Cryptographie côté mobile</w:t>
            </w:r>
          </w:p>
        </w:tc>
        <w:tc>
          <w:tcPr>
            <w:tcW w:type="dxa" w:w="2126"/>
            <w:shd w:val="clear" w:fill="F2F6FA"/>
          </w:tcPr>
          <w:p>
            <w:pPr>
              <w:spacing w:before="40" w:after="40"/>
            </w:pPr>
            <w:r>
              <w:rPr>
                <w:rFonts w:ascii="Calibri" w:hAnsi="Calibri"/>
                <w:b w:val="0"/>
                <w:i w:val="0"/>
                <w:color w:val="333333"/>
                <w:sz w:val="17"/>
              </w:rPr>
              <w:t>Un utilitaire de traitement des codes dans l'application TPE utilise une clé symétrique codée en dur dans l'application, en mode ECB. Une clé présente dans l'APK est extractible, et l'ECB laisse transparaître la structure</w:t>
            </w:r>
          </w:p>
        </w:tc>
        <w:tc>
          <w:tcPr>
            <w:tcW w:type="dxa" w:w="2126"/>
            <w:shd w:val="clear" w:fill="F2F6FA"/>
          </w:tcPr>
          <w:p>
            <w:pPr>
              <w:spacing w:before="40" w:after="40"/>
            </w:pPr>
            <w:r>
              <w:rPr>
                <w:rFonts w:ascii="Calibri" w:hAnsi="Calibri"/>
                <w:b w:val="0"/>
                <w:i w:val="0"/>
                <w:color w:val="333333"/>
                <w:sz w:val="17"/>
              </w:rPr>
              <w:t>Supprimer la clé codée en dur ; clés par appareil provisionnées à l'enrôlement et stockées dans le keystore Android ; AES-GCM (chiffrement authentifié) en remplacement de l'ECB ; vérification du code côté serveur contre l'empreinte bcrypt plutôt que par chiffrement réversible sur l'appareil</w:t>
            </w:r>
          </w:p>
        </w:tc>
        <w:tc>
          <w:tcPr>
            <w:tcW w:type="dxa" w:w="2126"/>
            <w:shd w:val="clear" w:fill="F2F6FA"/>
          </w:tcPr>
          <w:p>
            <w:pPr>
              <w:spacing w:before="40" w:after="40"/>
            </w:pPr>
            <w:r>
              <w:rPr>
                <w:rFonts w:ascii="Calibri" w:hAnsi="Calibri"/>
                <w:b w:val="0"/>
                <w:i w:val="0"/>
                <w:color w:val="333333"/>
                <w:sz w:val="17"/>
              </w:rPr>
              <w:t>Avant le pilote</w:t>
            </w:r>
          </w:p>
        </w:tc>
      </w:tr>
      <w:tr>
        <w:tc>
          <w:tcPr>
            <w:tcW w:type="dxa" w:w="907"/>
          </w:tcPr>
          <w:p>
            <w:pPr>
              <w:spacing w:before="40" w:after="40"/>
            </w:pPr>
            <w:r>
              <w:rPr>
                <w:rFonts w:ascii="Calibri" w:hAnsi="Calibri"/>
                <w:b/>
                <w:i w:val="0"/>
                <w:color w:val="333333"/>
                <w:sz w:val="17"/>
              </w:rPr>
              <w:t>H-5</w:t>
            </w:r>
          </w:p>
        </w:tc>
        <w:tc>
          <w:tcPr>
            <w:tcW w:type="dxa" w:w="2126"/>
          </w:tcPr>
          <w:p>
            <w:pPr>
              <w:spacing w:before="40" w:after="40"/>
            </w:pPr>
            <w:r>
              <w:rPr>
                <w:rFonts w:ascii="Calibri" w:hAnsi="Calibri"/>
                <w:b/>
                <w:i w:val="0"/>
                <w:color w:val="333333"/>
                <w:sz w:val="17"/>
              </w:rPr>
              <w:t>MFA pour les profils privilégiés</w:t>
            </w:r>
          </w:p>
        </w:tc>
        <w:tc>
          <w:tcPr>
            <w:tcW w:type="dxa" w:w="2126"/>
          </w:tcPr>
          <w:p>
            <w:pPr>
              <w:spacing w:before="40" w:after="40"/>
            </w:pPr>
            <w:r>
              <w:rPr>
                <w:rFonts w:ascii="Calibri" w:hAnsi="Calibri"/>
                <w:b w:val="0"/>
                <w:i w:val="0"/>
                <w:color w:val="333333"/>
                <w:sz w:val="17"/>
              </w:rPr>
              <w:t>L'authentification back-office est à facteur unique</w:t>
            </w:r>
          </w:p>
        </w:tc>
        <w:tc>
          <w:tcPr>
            <w:tcW w:type="dxa" w:w="2126"/>
          </w:tcPr>
          <w:p>
            <w:pPr>
              <w:spacing w:before="40" w:after="40"/>
            </w:pPr>
            <w:r>
              <w:rPr>
                <w:rFonts w:ascii="Calibri" w:hAnsi="Calibri"/>
                <w:b w:val="0"/>
                <w:i w:val="0"/>
                <w:color w:val="333333"/>
                <w:sz w:val="17"/>
              </w:rPr>
              <w:t>Second facteur TOTP ou SMS, obligatoire pour les profils Administrateur et DSI</w:t>
            </w:r>
          </w:p>
        </w:tc>
        <w:tc>
          <w:tcPr>
            <w:tcW w:type="dxa" w:w="2126"/>
          </w:tcPr>
          <w:p>
            <w:pPr>
              <w:spacing w:before="40" w:after="40"/>
            </w:pPr>
            <w:r>
              <w:rPr>
                <w:rFonts w:ascii="Calibri" w:hAnsi="Calibri"/>
                <w:b w:val="0"/>
                <w:i w:val="0"/>
                <w:color w:val="333333"/>
                <w:sz w:val="17"/>
              </w:rPr>
              <w:t>Avant la production</w:t>
            </w:r>
          </w:p>
        </w:tc>
      </w:tr>
      <w:tr>
        <w:tc>
          <w:tcPr>
            <w:tcW w:type="dxa" w:w="907"/>
            <w:shd w:val="clear" w:fill="F2F6FA"/>
          </w:tcPr>
          <w:p>
            <w:pPr>
              <w:spacing w:before="40" w:after="40"/>
            </w:pPr>
            <w:r>
              <w:rPr>
                <w:rFonts w:ascii="Calibri" w:hAnsi="Calibri"/>
                <w:b/>
                <w:i w:val="0"/>
                <w:color w:val="333333"/>
                <w:sz w:val="17"/>
              </w:rPr>
              <w:t>H-6</w:t>
            </w:r>
          </w:p>
        </w:tc>
        <w:tc>
          <w:tcPr>
            <w:tcW w:type="dxa" w:w="2126"/>
            <w:shd w:val="clear" w:fill="F2F6FA"/>
          </w:tcPr>
          <w:p>
            <w:pPr>
              <w:spacing w:before="40" w:after="40"/>
            </w:pPr>
            <w:r>
              <w:rPr>
                <w:rFonts w:ascii="Calibri" w:hAnsi="Calibri"/>
                <w:b/>
                <w:i w:val="0"/>
                <w:color w:val="333333"/>
                <w:sz w:val="17"/>
              </w:rPr>
              <w:t>Commutateur de journalisation en clair</w:t>
            </w:r>
          </w:p>
        </w:tc>
        <w:tc>
          <w:tcPr>
            <w:tcW w:type="dxa" w:w="2126"/>
            <w:shd w:val="clear" w:fill="F2F6FA"/>
          </w:tcPr>
          <w:p>
            <w:pPr>
              <w:spacing w:before="40" w:after="40"/>
            </w:pPr>
            <w:r>
              <w:rPr>
                <w:rFonts w:ascii="Calibri" w:hAnsi="Calibri"/>
                <w:b w:val="0"/>
                <w:i w:val="0"/>
                <w:color w:val="333333"/>
                <w:sz w:val="17"/>
              </w:rPr>
              <w:t>Un indicateur de configuration peut faire journaliser les codes à usage unique en clair</w:t>
            </w:r>
          </w:p>
        </w:tc>
        <w:tc>
          <w:tcPr>
            <w:tcW w:type="dxa" w:w="2126"/>
            <w:shd w:val="clear" w:fill="F2F6FA"/>
          </w:tcPr>
          <w:p>
            <w:pPr>
              <w:spacing w:before="40" w:after="40"/>
            </w:pPr>
            <w:r>
              <w:rPr>
                <w:rFonts w:ascii="Calibri" w:hAnsi="Calibri"/>
                <w:b w:val="0"/>
                <w:i w:val="0"/>
                <w:color w:val="333333"/>
                <w:sz w:val="17"/>
              </w:rPr>
              <w:t>Indicateur définitivement désactivé en production et retiré de la configuration de production ; vérifié par la liste de contrôle de mise en service</w:t>
            </w:r>
          </w:p>
        </w:tc>
        <w:tc>
          <w:tcPr>
            <w:tcW w:type="dxa" w:w="2126"/>
            <w:shd w:val="clear" w:fill="F2F6FA"/>
          </w:tcPr>
          <w:p>
            <w:pPr>
              <w:spacing w:before="40" w:after="40"/>
            </w:pPr>
            <w:r>
              <w:rPr>
                <w:rFonts w:ascii="Calibri" w:hAnsi="Calibri"/>
                <w:b w:val="0"/>
                <w:i w:val="0"/>
                <w:color w:val="333333"/>
                <w:sz w:val="17"/>
              </w:rPr>
              <w:t>Avant la recette</w:t>
            </w:r>
          </w:p>
        </w:tc>
      </w:tr>
      <w:tr>
        <w:tc>
          <w:tcPr>
            <w:tcW w:type="dxa" w:w="907"/>
          </w:tcPr>
          <w:p>
            <w:pPr>
              <w:spacing w:before="40" w:after="40"/>
            </w:pPr>
            <w:r>
              <w:rPr>
                <w:rFonts w:ascii="Calibri" w:hAnsi="Calibri"/>
                <w:b/>
                <w:i w:val="0"/>
                <w:color w:val="333333"/>
                <w:sz w:val="17"/>
              </w:rPr>
              <w:t>H-7</w:t>
            </w:r>
          </w:p>
        </w:tc>
        <w:tc>
          <w:tcPr>
            <w:tcW w:type="dxa" w:w="2126"/>
          </w:tcPr>
          <w:p>
            <w:pPr>
              <w:spacing w:before="40" w:after="40"/>
            </w:pPr>
            <w:r>
              <w:rPr>
                <w:rFonts w:ascii="Calibri" w:hAnsi="Calibri"/>
                <w:b/>
                <w:i w:val="0"/>
                <w:color w:val="333333"/>
                <w:sz w:val="17"/>
              </w:rPr>
              <w:t>Efficacité de la recherche de clé d'API</w:t>
            </w:r>
          </w:p>
        </w:tc>
        <w:tc>
          <w:tcPr>
            <w:tcW w:type="dxa" w:w="2126"/>
          </w:tcPr>
          <w:p>
            <w:pPr>
              <w:spacing w:before="40" w:after="40"/>
            </w:pPr>
            <w:r>
              <w:rPr>
                <w:rFonts w:ascii="Calibri" w:hAnsi="Calibri"/>
                <w:b w:val="0"/>
                <w:i w:val="0"/>
                <w:color w:val="333333"/>
                <w:sz w:val="17"/>
              </w:rPr>
              <w:t>La vérification parcourt toutes les clés actives en effectuant une comparaison d'empreinte sur chacune — correct, mais linéaire en nombre de clés et coûteux en CPU</w:t>
            </w:r>
          </w:p>
        </w:tc>
        <w:tc>
          <w:tcPr>
            <w:tcW w:type="dxa" w:w="2126"/>
          </w:tcPr>
          <w:p>
            <w:pPr>
              <w:spacing w:before="40" w:after="40"/>
            </w:pPr>
            <w:r>
              <w:rPr>
                <w:rFonts w:ascii="Calibri" w:hAnsi="Calibri"/>
                <w:b w:val="0"/>
                <w:i w:val="0"/>
                <w:color w:val="333333"/>
                <w:sz w:val="17"/>
              </w:rPr>
              <w:t>Recherche indexée sur un préfixe de clé, puis une seule comparaison à temps constant</w:t>
            </w:r>
          </w:p>
        </w:tc>
        <w:tc>
          <w:tcPr>
            <w:tcW w:type="dxa" w:w="2126"/>
          </w:tcPr>
          <w:p>
            <w:pPr>
              <w:spacing w:before="40" w:after="40"/>
            </w:pPr>
            <w:r>
              <w:rPr>
                <w:rFonts w:ascii="Calibri" w:hAnsi="Calibri"/>
                <w:b w:val="0"/>
                <w:i w:val="0"/>
                <w:color w:val="333333"/>
                <w:sz w:val="17"/>
              </w:rPr>
              <w:t>Avant la production</w:t>
            </w:r>
          </w:p>
        </w:tc>
      </w:tr>
      <w:tr>
        <w:tc>
          <w:tcPr>
            <w:tcW w:type="dxa" w:w="907"/>
            <w:shd w:val="clear" w:fill="F2F6FA"/>
          </w:tcPr>
          <w:p>
            <w:pPr>
              <w:spacing w:before="40" w:after="40"/>
            </w:pPr>
            <w:r>
              <w:rPr>
                <w:rFonts w:ascii="Calibri" w:hAnsi="Calibri"/>
                <w:b/>
                <w:i w:val="0"/>
                <w:color w:val="333333"/>
                <w:sz w:val="17"/>
              </w:rPr>
              <w:t>H-8</w:t>
            </w:r>
          </w:p>
        </w:tc>
        <w:tc>
          <w:tcPr>
            <w:tcW w:type="dxa" w:w="2126"/>
            <w:shd w:val="clear" w:fill="F2F6FA"/>
          </w:tcPr>
          <w:p>
            <w:pPr>
              <w:spacing w:before="40" w:after="40"/>
            </w:pPr>
            <w:r>
              <w:rPr>
                <w:rFonts w:ascii="Calibri" w:hAnsi="Calibri"/>
                <w:b/>
                <w:i w:val="0"/>
                <w:color w:val="333333"/>
                <w:sz w:val="17"/>
              </w:rPr>
              <w:t>En-têtes de sécurité</w:t>
            </w:r>
          </w:p>
        </w:tc>
        <w:tc>
          <w:tcPr>
            <w:tcW w:type="dxa" w:w="2126"/>
            <w:shd w:val="clear" w:fill="F2F6FA"/>
          </w:tcPr>
          <w:p>
            <w:pPr>
              <w:spacing w:before="40" w:after="40"/>
            </w:pPr>
            <w:r>
              <w:rPr>
                <w:rFonts w:ascii="Calibri" w:hAnsi="Calibri"/>
                <w:b w:val="0"/>
                <w:i w:val="0"/>
                <w:color w:val="333333"/>
                <w:sz w:val="17"/>
              </w:rPr>
              <w:t>Non entièrement configurés</w:t>
            </w:r>
          </w:p>
        </w:tc>
        <w:tc>
          <w:tcPr>
            <w:tcW w:type="dxa" w:w="2126"/>
            <w:shd w:val="clear" w:fill="F2F6FA"/>
          </w:tcPr>
          <w:p>
            <w:pPr>
              <w:spacing w:before="40" w:after="40"/>
            </w:pPr>
            <w:r>
              <w:rPr>
                <w:rFonts w:ascii="Calibri" w:hAnsi="Calibri"/>
                <w:b w:val="0"/>
                <w:i w:val="0"/>
                <w:color w:val="333333"/>
                <w:sz w:val="17"/>
              </w:rPr>
              <w:t>Content-Security-Policy, X-Frame-Options, X-Content-Type-Options, Referrer-Policy, Permissions-Policy</w:t>
            </w:r>
          </w:p>
        </w:tc>
        <w:tc>
          <w:tcPr>
            <w:tcW w:type="dxa" w:w="2126"/>
            <w:shd w:val="clear" w:fill="F2F6FA"/>
          </w:tcPr>
          <w:p>
            <w:pPr>
              <w:spacing w:before="40" w:after="40"/>
            </w:pPr>
            <w:r>
              <w:rPr>
                <w:rFonts w:ascii="Calibri" w:hAnsi="Calibri"/>
                <w:b w:val="0"/>
                <w:i w:val="0"/>
                <w:color w:val="333333"/>
                <w:sz w:val="17"/>
              </w:rPr>
              <w:t>Avant la production</w:t>
            </w:r>
          </w:p>
        </w:tc>
      </w:tr>
      <w:tr>
        <w:tc>
          <w:tcPr>
            <w:tcW w:type="dxa" w:w="907"/>
          </w:tcPr>
          <w:p>
            <w:pPr>
              <w:spacing w:before="40" w:after="40"/>
            </w:pPr>
            <w:r>
              <w:rPr>
                <w:rFonts w:ascii="Calibri" w:hAnsi="Calibri"/>
                <w:b/>
                <w:i w:val="0"/>
                <w:color w:val="333333"/>
                <w:sz w:val="17"/>
              </w:rPr>
              <w:t>H-9</w:t>
            </w:r>
          </w:p>
        </w:tc>
        <w:tc>
          <w:tcPr>
            <w:tcW w:type="dxa" w:w="2126"/>
          </w:tcPr>
          <w:p>
            <w:pPr>
              <w:spacing w:before="40" w:after="40"/>
            </w:pPr>
            <w:r>
              <w:rPr>
                <w:rFonts w:ascii="Calibri" w:hAnsi="Calibri"/>
                <w:b/>
                <w:i w:val="0"/>
                <w:color w:val="333333"/>
                <w:sz w:val="17"/>
              </w:rPr>
              <w:t>Gestion des secrets</w:t>
            </w:r>
          </w:p>
        </w:tc>
        <w:tc>
          <w:tcPr>
            <w:tcW w:type="dxa" w:w="2126"/>
          </w:tcPr>
          <w:p>
            <w:pPr>
              <w:spacing w:before="40" w:after="40"/>
            </w:pPr>
            <w:r>
              <w:rPr>
                <w:rFonts w:ascii="Calibri" w:hAnsi="Calibri"/>
                <w:b w:val="0"/>
                <w:i w:val="0"/>
                <w:color w:val="333333"/>
                <w:sz w:val="17"/>
              </w:rPr>
              <w:t>Secrets détenus dans la configuration d'environnement sur le serveur</w:t>
            </w:r>
          </w:p>
        </w:tc>
        <w:tc>
          <w:tcPr>
            <w:tcW w:type="dxa" w:w="2126"/>
          </w:tcPr>
          <w:p>
            <w:pPr>
              <w:spacing w:before="40" w:after="40"/>
            </w:pPr>
            <w:r>
              <w:rPr>
                <w:rFonts w:ascii="Calibri" w:hAnsi="Calibri"/>
                <w:b w:val="0"/>
                <w:i w:val="0"/>
                <w:color w:val="333333"/>
                <w:sz w:val="17"/>
              </w:rPr>
              <w:t>Permissions de fichier restreintes, exclusion du dépôt, procédure de rotation documentée ; coffre à secrets géré si le choix d'hébergement le permet</w:t>
            </w:r>
          </w:p>
        </w:tc>
        <w:tc>
          <w:tcPr>
            <w:tcW w:type="dxa" w:w="2126"/>
          </w:tcPr>
          <w:p>
            <w:pPr>
              <w:spacing w:before="40" w:after="40"/>
            </w:pPr>
            <w:r>
              <w:rPr>
                <w:rFonts w:ascii="Calibri" w:hAnsi="Calibri"/>
                <w:b w:val="0"/>
                <w:i w:val="0"/>
                <w:color w:val="333333"/>
                <w:sz w:val="17"/>
              </w:rPr>
              <w:t>Avant la production</w:t>
            </w:r>
          </w:p>
        </w:tc>
      </w:tr>
      <w:tr>
        <w:tc>
          <w:tcPr>
            <w:tcW w:type="dxa" w:w="907"/>
            <w:shd w:val="clear" w:fill="F2F6FA"/>
          </w:tcPr>
          <w:p>
            <w:pPr>
              <w:spacing w:before="40" w:after="40"/>
            </w:pPr>
            <w:r>
              <w:rPr>
                <w:rFonts w:ascii="Calibri" w:hAnsi="Calibri"/>
                <w:b/>
                <w:i w:val="0"/>
                <w:color w:val="333333"/>
                <w:sz w:val="17"/>
              </w:rPr>
              <w:t>H-10</w:t>
            </w:r>
          </w:p>
        </w:tc>
        <w:tc>
          <w:tcPr>
            <w:tcW w:type="dxa" w:w="2126"/>
            <w:shd w:val="clear" w:fill="F2F6FA"/>
          </w:tcPr>
          <w:p>
            <w:pPr>
              <w:spacing w:before="40" w:after="40"/>
            </w:pPr>
            <w:r>
              <w:rPr>
                <w:rFonts w:ascii="Calibri" w:hAnsi="Calibri"/>
                <w:b/>
                <w:i w:val="0"/>
                <w:color w:val="333333"/>
                <w:sz w:val="17"/>
              </w:rPr>
              <w:t>Gestion des dépendances et des correctifs</w:t>
            </w:r>
          </w:p>
        </w:tc>
        <w:tc>
          <w:tcPr>
            <w:tcW w:type="dxa" w:w="2126"/>
            <w:shd w:val="clear" w:fill="F2F6FA"/>
          </w:tcPr>
          <w:p>
            <w:pPr>
              <w:spacing w:before="40" w:after="40"/>
            </w:pPr>
            <w:r>
              <w:rPr>
                <w:rFonts w:ascii="Calibri" w:hAnsi="Calibri"/>
                <w:b w:val="0"/>
                <w:i w:val="0"/>
                <w:color w:val="333333"/>
                <w:sz w:val="17"/>
              </w:rPr>
              <w:t>Au cas par cas</w:t>
            </w:r>
          </w:p>
        </w:tc>
        <w:tc>
          <w:tcPr>
            <w:tcW w:type="dxa" w:w="2126"/>
            <w:shd w:val="clear" w:fill="F2F6FA"/>
          </w:tcPr>
          <w:p>
            <w:pPr>
              <w:spacing w:before="40" w:after="40"/>
            </w:pPr>
            <w:r>
              <w:rPr>
                <w:rFonts w:ascii="Calibri" w:hAnsi="Calibri"/>
                <w:b w:val="0"/>
                <w:i w:val="0"/>
                <w:color w:val="333333"/>
                <w:sz w:val="17"/>
              </w:rPr>
              <w:t>Analyse mensuelle de vulnérabilité des dépendances ; fenêtre de correctifs documentée ; correctifs critiques sous 7 jours</w:t>
            </w:r>
          </w:p>
        </w:tc>
        <w:tc>
          <w:tcPr>
            <w:tcW w:type="dxa" w:w="2126"/>
            <w:shd w:val="clear" w:fill="F2F6FA"/>
          </w:tcPr>
          <w:p>
            <w:pPr>
              <w:spacing w:before="40" w:after="40"/>
            </w:pPr>
            <w:r>
              <w:rPr>
                <w:rFonts w:ascii="Calibri" w:hAnsi="Calibri"/>
                <w:b w:val="0"/>
                <w:i w:val="0"/>
                <w:color w:val="333333"/>
                <w:sz w:val="17"/>
              </w:rPr>
              <w:t>En continu dès la mise en service</w:t>
            </w:r>
          </w:p>
        </w:tc>
      </w:tr>
    </w:tbl>
    <w:p>
      <w:pPr>
        <w:spacing w:after="40"/>
      </w:pPr>
    </w:p>
    <w:p>
      <w:r>
        <w:rPr>
          <w:rFonts w:ascii="Calibri" w:hAnsi="Calibri"/>
          <w:b/>
          <w:i w:val="0"/>
          <w:color w:val="333333"/>
          <w:sz w:val="20"/>
        </w:rPr>
        <w:t>Position de réception :</w:t>
      </w:r>
      <w:r>
        <w:rPr>
          <w:rFonts w:ascii="Calibri" w:hAnsi="Calibri"/>
          <w:b w:val="0"/>
          <w:i w:val="0"/>
          <w:color w:val="333333"/>
          <w:sz w:val="20"/>
        </w:rPr>
        <w:t xml:space="preserve"> H-1, H-4 et H-6 sont traités comme </w:t>
      </w:r>
      <w:r>
        <w:rPr>
          <w:rFonts w:ascii="Calibri" w:hAnsi="Calibri"/>
          <w:b/>
          <w:i w:val="0"/>
          <w:color w:val="333333"/>
          <w:sz w:val="20"/>
        </w:rPr>
        <w:t>bloquants</w:t>
      </w:r>
      <w:r>
        <w:rPr>
          <w:rFonts w:ascii="Calibri" w:hAnsi="Calibri"/>
          <w:b w:val="0"/>
          <w:i w:val="0"/>
          <w:color w:val="333333"/>
          <w:sz w:val="20"/>
        </w:rPr>
        <w:t xml:space="preserve"> — le pilote ne démarre pas sans eux. Les autres sont planifiés avant la mise en production de novembre et vérifiés par la liste de contrôle de la section 16.</w:t>
      </w:r>
    </w:p>
    <w:p>
      <w:pPr>
        <w:pStyle w:val="Heading1"/>
        <w:pageBreakBefore/>
        <w:spacing w:before="360" w:after="80"/>
        <w:keepNext/>
        <w:pBdr>
          <w:bottom w:val="single" w:sz="8" w:space="6" w:color="1B3A5C"/>
        </w:pBdr>
      </w:pPr>
      <w:bookmarkStart w:id="147" w:name="_Toc_s046"/>
      <w:r>
        <w:rPr>
          <w:rFonts w:ascii="Calibri" w:hAnsi="Calibri"/>
          <w:b/>
          <w:color w:val="1B3A5C"/>
          <w:sz w:val="30"/>
        </w:rPr>
        <w:t>13. Continuité d'activité et résilience</w:t>
      </w:r>
      <w:bookmarkEnd w:id="14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Scénario</w:t>
            </w:r>
          </w:p>
        </w:tc>
        <w:tc>
          <w:tcPr>
            <w:tcW w:type="dxa" w:w="2436"/>
            <w:shd w:val="clear" w:fill="1B3A5C"/>
          </w:tcPr>
          <w:p>
            <w:pPr>
              <w:spacing w:before="60" w:after="60"/>
            </w:pPr>
            <w:r>
              <w:rPr>
                <w:rFonts w:ascii="Calibri" w:hAnsi="Calibri"/>
                <w:b/>
                <w:color w:val="FFFFFF"/>
                <w:sz w:val="17"/>
              </w:rPr>
              <w:t>Impact</w:t>
            </w:r>
          </w:p>
        </w:tc>
        <w:tc>
          <w:tcPr>
            <w:tcW w:type="dxa" w:w="2436"/>
            <w:shd w:val="clear" w:fill="1B3A5C"/>
          </w:tcPr>
          <w:p>
            <w:pPr>
              <w:spacing w:before="60" w:after="60"/>
            </w:pPr>
            <w:r>
              <w:rPr>
                <w:rFonts w:ascii="Calibri" w:hAnsi="Calibri"/>
                <w:b/>
                <w:color w:val="FFFFFF"/>
                <w:sz w:val="17"/>
              </w:rPr>
              <w:t>Réponse</w:t>
            </w:r>
          </w:p>
        </w:tc>
        <w:tc>
          <w:tcPr>
            <w:tcW w:type="dxa" w:w="2436"/>
            <w:shd w:val="clear" w:fill="1B3A5C"/>
          </w:tcPr>
          <w:p>
            <w:pPr>
              <w:spacing w:before="60" w:after="60"/>
            </w:pPr>
            <w:r>
              <w:rPr>
                <w:rFonts w:ascii="Calibri" w:hAnsi="Calibri"/>
                <w:b/>
                <w:color w:val="FFFFFF"/>
                <w:sz w:val="17"/>
              </w:rPr>
              <w:t>Objectif</w:t>
            </w:r>
          </w:p>
        </w:tc>
      </w:tr>
      <w:tr>
        <w:tc>
          <w:tcPr>
            <w:tcW w:type="dxa" w:w="2436"/>
          </w:tcPr>
          <w:p>
            <w:pPr>
              <w:spacing w:before="40" w:after="40"/>
            </w:pPr>
            <w:r>
              <w:rPr>
                <w:rFonts w:ascii="Calibri" w:hAnsi="Calibri"/>
                <w:b w:val="0"/>
                <w:i w:val="0"/>
                <w:color w:val="333333"/>
                <w:sz w:val="17"/>
              </w:rPr>
              <w:t>Réseau mobile indisponible sur le terrain</w:t>
            </w:r>
          </w:p>
        </w:tc>
        <w:tc>
          <w:tcPr>
            <w:tcW w:type="dxa" w:w="2436"/>
          </w:tcPr>
          <w:p>
            <w:pPr>
              <w:spacing w:before="40" w:after="40"/>
            </w:pPr>
            <w:r>
              <w:rPr>
                <w:rFonts w:ascii="Calibri" w:hAnsi="Calibri"/>
                <w:b w:val="0"/>
                <w:i w:val="0"/>
                <w:color w:val="333333"/>
                <w:sz w:val="17"/>
              </w:rPr>
              <w:t>Aucun sur l'encaissement</w:t>
            </w:r>
          </w:p>
        </w:tc>
        <w:tc>
          <w:tcPr>
            <w:tcW w:type="dxa" w:w="2436"/>
          </w:tcPr>
          <w:p>
            <w:pPr>
              <w:spacing w:before="40" w:after="40"/>
            </w:pPr>
            <w:r>
              <w:rPr>
                <w:rFonts w:ascii="Calibri" w:hAnsi="Calibri"/>
                <w:b w:val="0"/>
                <w:i w:val="0"/>
                <w:color w:val="333333"/>
                <w:sz w:val="17"/>
              </w:rPr>
              <w:t>Mode hors ligne ; file locale ; synchronisation à la reconnexion</w:t>
            </w:r>
          </w:p>
        </w:tc>
        <w:tc>
          <w:tcPr>
            <w:tcW w:type="dxa" w:w="2436"/>
          </w:tcPr>
          <w:p>
            <w:pPr>
              <w:spacing w:before="40" w:after="40"/>
            </w:pPr>
            <w:r>
              <w:rPr>
                <w:rFonts w:ascii="Calibri" w:hAnsi="Calibri"/>
                <w:b w:val="0"/>
                <w:i w:val="0"/>
                <w:color w:val="333333"/>
                <w:sz w:val="17"/>
              </w:rPr>
              <w:t>Fonctionnement continu</w:t>
            </w:r>
          </w:p>
        </w:tc>
      </w:tr>
      <w:tr>
        <w:tc>
          <w:tcPr>
            <w:tcW w:type="dxa" w:w="2436"/>
            <w:shd w:val="clear" w:fill="F2F6FA"/>
          </w:tcPr>
          <w:p>
            <w:pPr>
              <w:spacing w:before="40" w:after="40"/>
            </w:pPr>
            <w:r>
              <w:rPr>
                <w:rFonts w:ascii="Calibri" w:hAnsi="Calibri"/>
                <w:b w:val="0"/>
                <w:i w:val="0"/>
                <w:color w:val="333333"/>
                <w:sz w:val="17"/>
              </w:rPr>
              <w:t>Plateforme back-office indisponible</w:t>
            </w:r>
          </w:p>
        </w:tc>
        <w:tc>
          <w:tcPr>
            <w:tcW w:type="dxa" w:w="2436"/>
            <w:shd w:val="clear" w:fill="F2F6FA"/>
          </w:tcPr>
          <w:p>
            <w:pPr>
              <w:spacing w:before="40" w:after="40"/>
            </w:pPr>
            <w:r>
              <w:rPr>
                <w:rFonts w:ascii="Calibri" w:hAnsi="Calibri"/>
                <w:b w:val="0"/>
                <w:i w:val="0"/>
                <w:color w:val="333333"/>
                <w:sz w:val="17"/>
              </w:rPr>
              <w:t>L'encaissement continue, les restitutions s'arrêtent</w:t>
            </w:r>
          </w:p>
        </w:tc>
        <w:tc>
          <w:tcPr>
            <w:tcW w:type="dxa" w:w="2436"/>
            <w:shd w:val="clear" w:fill="F2F6FA"/>
          </w:tcPr>
          <w:p>
            <w:pPr>
              <w:spacing w:before="40" w:after="40"/>
            </w:pPr>
            <w:r>
              <w:rPr>
                <w:rFonts w:ascii="Calibri" w:hAnsi="Calibri"/>
                <w:b w:val="0"/>
                <w:i w:val="0"/>
                <w:color w:val="333333"/>
                <w:sz w:val="17"/>
              </w:rPr>
              <w:t>Redondance, supervision, procédure de redémarrage documentée</w:t>
            </w:r>
          </w:p>
        </w:tc>
        <w:tc>
          <w:tcPr>
            <w:tcW w:type="dxa" w:w="2436"/>
            <w:shd w:val="clear" w:fill="F2F6FA"/>
          </w:tcPr>
          <w:p>
            <w:pPr>
              <w:spacing w:before="40" w:after="40"/>
            </w:pPr>
            <w:r>
              <w:rPr>
                <w:rFonts w:ascii="Calibri" w:hAnsi="Calibri"/>
                <w:b w:val="0"/>
                <w:i w:val="0"/>
                <w:color w:val="333333"/>
                <w:sz w:val="17"/>
              </w:rPr>
              <w:t>RTO 4 h</w:t>
            </w:r>
          </w:p>
        </w:tc>
      </w:tr>
      <w:tr>
        <w:tc>
          <w:tcPr>
            <w:tcW w:type="dxa" w:w="2436"/>
          </w:tcPr>
          <w:p>
            <w:pPr>
              <w:spacing w:before="40" w:after="40"/>
            </w:pPr>
            <w:r>
              <w:rPr>
                <w:rFonts w:ascii="Calibri" w:hAnsi="Calibri"/>
                <w:b w:val="0"/>
                <w:i w:val="0"/>
                <w:color w:val="333333"/>
                <w:sz w:val="17"/>
              </w:rPr>
              <w:t>Corruption ou perte de la base</w:t>
            </w:r>
          </w:p>
        </w:tc>
        <w:tc>
          <w:tcPr>
            <w:tcW w:type="dxa" w:w="2436"/>
          </w:tcPr>
          <w:p>
            <w:pPr>
              <w:spacing w:before="40" w:after="40"/>
            </w:pPr>
            <w:r>
              <w:rPr>
                <w:rFonts w:ascii="Calibri" w:hAnsi="Calibri"/>
                <w:b w:val="0"/>
                <w:i w:val="0"/>
                <w:color w:val="333333"/>
                <w:sz w:val="17"/>
              </w:rPr>
              <w:t>Perte de données potentielle</w:t>
            </w:r>
          </w:p>
        </w:tc>
        <w:tc>
          <w:tcPr>
            <w:tcW w:type="dxa" w:w="2436"/>
          </w:tcPr>
          <w:p>
            <w:pPr>
              <w:spacing w:before="40" w:after="40"/>
            </w:pPr>
            <w:r>
              <w:rPr>
                <w:rFonts w:ascii="Calibri" w:hAnsi="Calibri"/>
                <w:b w:val="0"/>
                <w:i w:val="0"/>
                <w:color w:val="333333"/>
                <w:sz w:val="17"/>
              </w:rPr>
              <w:t>Sauvegarde complète quotidienne chiffrée + binlog continu ; test de restauration trimestriel</w:t>
            </w:r>
          </w:p>
        </w:tc>
        <w:tc>
          <w:tcPr>
            <w:tcW w:type="dxa" w:w="2436"/>
          </w:tcPr>
          <w:p>
            <w:pPr>
              <w:spacing w:before="40" w:after="40"/>
            </w:pPr>
            <w:r>
              <w:rPr>
                <w:rFonts w:ascii="Calibri" w:hAnsi="Calibri"/>
                <w:b w:val="0"/>
                <w:i w:val="0"/>
                <w:color w:val="333333"/>
                <w:sz w:val="17"/>
              </w:rPr>
              <w:t>RPO 15 min</w:t>
            </w:r>
          </w:p>
        </w:tc>
      </w:tr>
      <w:tr>
        <w:tc>
          <w:tcPr>
            <w:tcW w:type="dxa" w:w="2436"/>
            <w:shd w:val="clear" w:fill="F2F6FA"/>
          </w:tcPr>
          <w:p>
            <w:pPr>
              <w:spacing w:before="40" w:after="40"/>
            </w:pPr>
            <w:r>
              <w:rPr>
                <w:rFonts w:ascii="Calibri" w:hAnsi="Calibri"/>
                <w:b w:val="0"/>
                <w:i w:val="0"/>
                <w:color w:val="333333"/>
                <w:sz w:val="17"/>
              </w:rPr>
              <w:t>Terminal perdu, volé ou cassé</w:t>
            </w:r>
          </w:p>
        </w:tc>
        <w:tc>
          <w:tcPr>
            <w:tcW w:type="dxa" w:w="2436"/>
            <w:shd w:val="clear" w:fill="F2F6FA"/>
          </w:tcPr>
          <w:p>
            <w:pPr>
              <w:spacing w:before="40" w:after="40"/>
            </w:pPr>
            <w:r>
              <w:rPr>
                <w:rFonts w:ascii="Calibri" w:hAnsi="Calibri"/>
                <w:b w:val="0"/>
                <w:i w:val="0"/>
                <w:color w:val="333333"/>
                <w:sz w:val="17"/>
              </w:rPr>
              <w:t>Un collecteur s'arrête</w:t>
            </w:r>
          </w:p>
        </w:tc>
        <w:tc>
          <w:tcPr>
            <w:tcW w:type="dxa" w:w="2436"/>
            <w:shd w:val="clear" w:fill="F2F6FA"/>
          </w:tcPr>
          <w:p>
            <w:pPr>
              <w:spacing w:before="40" w:after="40"/>
            </w:pPr>
            <w:r>
              <w:rPr>
                <w:rFonts w:ascii="Calibri" w:hAnsi="Calibri"/>
                <w:b w:val="0"/>
                <w:i w:val="0"/>
                <w:color w:val="333333"/>
                <w:sz w:val="17"/>
              </w:rPr>
              <w:t>Terminaux de rechange en stock ; agent réaffecté à un terminal de secours ; données non synchronisées récupérées si l'appareil revient</w:t>
            </w:r>
          </w:p>
        </w:tc>
        <w:tc>
          <w:tcPr>
            <w:tcW w:type="dxa" w:w="2436"/>
            <w:shd w:val="clear" w:fill="F2F6FA"/>
          </w:tcPr>
          <w:p>
            <w:pPr>
              <w:spacing w:before="40" w:after="40"/>
            </w:pPr>
            <w:r>
              <w:rPr>
                <w:rFonts w:ascii="Calibri" w:hAnsi="Calibri"/>
                <w:b w:val="0"/>
                <w:i w:val="0"/>
                <w:color w:val="333333"/>
                <w:sz w:val="17"/>
              </w:rPr>
              <w:t>Le jour même</w:t>
            </w:r>
          </w:p>
        </w:tc>
      </w:tr>
      <w:tr>
        <w:tc>
          <w:tcPr>
            <w:tcW w:type="dxa" w:w="2436"/>
          </w:tcPr>
          <w:p>
            <w:pPr>
              <w:spacing w:before="40" w:after="40"/>
            </w:pPr>
            <w:r>
              <w:rPr>
                <w:rFonts w:ascii="Calibri" w:hAnsi="Calibri"/>
                <w:b w:val="0"/>
                <w:i w:val="0"/>
                <w:color w:val="333333"/>
                <w:sz w:val="17"/>
              </w:rPr>
              <w:t>SUNULIFE indisponible</w:t>
            </w:r>
          </w:p>
        </w:tc>
        <w:tc>
          <w:tcPr>
            <w:tcW w:type="dxa" w:w="2436"/>
          </w:tcPr>
          <w:p>
            <w:pPr>
              <w:spacing w:before="40" w:after="40"/>
            </w:pPr>
            <w:r>
              <w:rPr>
                <w:rFonts w:ascii="Calibri" w:hAnsi="Calibri"/>
                <w:b w:val="0"/>
                <w:i w:val="0"/>
                <w:color w:val="333333"/>
                <w:sz w:val="17"/>
              </w:rPr>
              <w:t>La fraîcheur des données de polices se dégrade</w:t>
            </w:r>
          </w:p>
        </w:tc>
        <w:tc>
          <w:tcPr>
            <w:tcW w:type="dxa" w:w="2436"/>
          </w:tcPr>
          <w:p>
            <w:pPr>
              <w:spacing w:before="40" w:after="40"/>
            </w:pPr>
            <w:r>
              <w:rPr>
                <w:rFonts w:ascii="Calibri" w:hAnsi="Calibri"/>
                <w:b w:val="0"/>
                <w:i w:val="0"/>
                <w:color w:val="333333"/>
                <w:sz w:val="17"/>
              </w:rPr>
              <w:t>Miroir local + remontée en file avec reprise ; repli Excel du Besoin 2 du TdR</w:t>
            </w:r>
          </w:p>
        </w:tc>
        <w:tc>
          <w:tcPr>
            <w:tcW w:type="dxa" w:w="2436"/>
          </w:tcPr>
          <w:p>
            <w:pPr>
              <w:spacing w:before="40" w:after="40"/>
            </w:pPr>
            <w:r>
              <w:rPr>
                <w:rFonts w:ascii="Calibri" w:hAnsi="Calibri"/>
                <w:b w:val="0"/>
                <w:i w:val="0"/>
                <w:color w:val="333333"/>
                <w:sz w:val="17"/>
              </w:rPr>
              <w:t>Aucun impact sur l'encaissement</w:t>
            </w:r>
          </w:p>
        </w:tc>
      </w:tr>
      <w:tr>
        <w:tc>
          <w:tcPr>
            <w:tcW w:type="dxa" w:w="2436"/>
            <w:shd w:val="clear" w:fill="F2F6FA"/>
          </w:tcPr>
          <w:p>
            <w:pPr>
              <w:spacing w:before="40" w:after="40"/>
            </w:pPr>
            <w:r>
              <w:rPr>
                <w:rFonts w:ascii="Calibri" w:hAnsi="Calibri"/>
                <w:b w:val="0"/>
                <w:i w:val="0"/>
                <w:color w:val="333333"/>
                <w:sz w:val="17"/>
              </w:rPr>
              <w:t>Opérateur Mobile Money indisponible</w:t>
            </w:r>
          </w:p>
        </w:tc>
        <w:tc>
          <w:tcPr>
            <w:tcW w:type="dxa" w:w="2436"/>
            <w:shd w:val="clear" w:fill="F2F6FA"/>
          </w:tcPr>
          <w:p>
            <w:pPr>
              <w:spacing w:before="40" w:after="40"/>
            </w:pPr>
            <w:r>
              <w:rPr>
                <w:rFonts w:ascii="Calibri" w:hAnsi="Calibri"/>
                <w:b w:val="0"/>
                <w:i w:val="0"/>
                <w:color w:val="333333"/>
                <w:sz w:val="17"/>
              </w:rPr>
              <w:t>Le canal MoMo s'arrête</w:t>
            </w:r>
          </w:p>
        </w:tc>
        <w:tc>
          <w:tcPr>
            <w:tcW w:type="dxa" w:w="2436"/>
            <w:shd w:val="clear" w:fill="F2F6FA"/>
          </w:tcPr>
          <w:p>
            <w:pPr>
              <w:spacing w:before="40" w:after="40"/>
            </w:pPr>
            <w:r>
              <w:rPr>
                <w:rFonts w:ascii="Calibri" w:hAnsi="Calibri"/>
                <w:b w:val="0"/>
                <w:i w:val="0"/>
                <w:color w:val="333333"/>
                <w:sz w:val="17"/>
              </w:rPr>
              <w:t>L'encaissement espèces continue ; les paiements en attente sont résolus par rapprochement</w:t>
            </w:r>
          </w:p>
        </w:tc>
        <w:tc>
          <w:tcPr>
            <w:tcW w:type="dxa" w:w="2436"/>
            <w:shd w:val="clear" w:fill="F2F6FA"/>
          </w:tcPr>
          <w:p>
            <w:pPr>
              <w:spacing w:before="40" w:after="40"/>
            </w:pPr>
            <w:r>
              <w:rPr>
                <w:rFonts w:ascii="Calibri" w:hAnsi="Calibri"/>
                <w:b w:val="0"/>
                <w:i w:val="0"/>
                <w:color w:val="333333"/>
                <w:sz w:val="17"/>
              </w:rPr>
              <w:t>Aucun impact sur l'encaissement</w:t>
            </w:r>
          </w:p>
        </w:tc>
      </w:tr>
      <w:tr>
        <w:tc>
          <w:tcPr>
            <w:tcW w:type="dxa" w:w="2436"/>
          </w:tcPr>
          <w:p>
            <w:pPr>
              <w:spacing w:before="40" w:after="40"/>
            </w:pPr>
            <w:r>
              <w:rPr>
                <w:rFonts w:ascii="Calibri" w:hAnsi="Calibri"/>
                <w:b w:val="0"/>
                <w:i w:val="0"/>
                <w:color w:val="333333"/>
                <w:sz w:val="17"/>
              </w:rPr>
              <w:t>Perte du centre de données</w:t>
            </w:r>
          </w:p>
        </w:tc>
        <w:tc>
          <w:tcPr>
            <w:tcW w:type="dxa" w:w="2436"/>
          </w:tcPr>
          <w:p>
            <w:pPr>
              <w:spacing w:before="40" w:after="40"/>
            </w:pPr>
            <w:r>
              <w:rPr>
                <w:rFonts w:ascii="Calibri" w:hAnsi="Calibri"/>
                <w:b w:val="0"/>
                <w:i w:val="0"/>
                <w:color w:val="333333"/>
                <w:sz w:val="17"/>
              </w:rPr>
              <w:t>Panne totale</w:t>
            </w:r>
          </w:p>
        </w:tc>
        <w:tc>
          <w:tcPr>
            <w:tcW w:type="dxa" w:w="2436"/>
          </w:tcPr>
          <w:p>
            <w:pPr>
              <w:spacing w:before="40" w:after="40"/>
            </w:pPr>
            <w:r>
              <w:rPr>
                <w:rFonts w:ascii="Calibri" w:hAnsi="Calibri"/>
                <w:b w:val="0"/>
                <w:i w:val="0"/>
                <w:color w:val="333333"/>
                <w:sz w:val="17"/>
              </w:rPr>
              <w:t>Sauvegardes chiffrées hors site ; procédure de reconstruction documentée ; délai de rétablissement contractuel</w:t>
            </w:r>
          </w:p>
        </w:tc>
        <w:tc>
          <w:tcPr>
            <w:tcW w:type="dxa" w:w="2436"/>
          </w:tcPr>
          <w:p>
            <w:pPr>
              <w:spacing w:before="40" w:after="40"/>
            </w:pPr>
            <w:r>
              <w:rPr>
                <w:rFonts w:ascii="Calibri" w:hAnsi="Calibri"/>
                <w:b w:val="0"/>
                <w:i w:val="0"/>
                <w:color w:val="333333"/>
                <w:sz w:val="17"/>
              </w:rPr>
              <w:t>RTO 24 h</w:t>
            </w:r>
          </w:p>
        </w:tc>
      </w:tr>
      <w:tr>
        <w:tc>
          <w:tcPr>
            <w:tcW w:type="dxa" w:w="2436"/>
            <w:shd w:val="clear" w:fill="F2F6FA"/>
          </w:tcPr>
          <w:p>
            <w:pPr>
              <w:spacing w:before="40" w:after="40"/>
            </w:pPr>
            <w:r>
              <w:rPr>
                <w:rFonts w:ascii="Calibri" w:hAnsi="Calibri"/>
                <w:b w:val="0"/>
                <w:i w:val="0"/>
                <w:color w:val="333333"/>
                <w:sz w:val="17"/>
              </w:rPr>
              <w:t>Rançongiciel</w:t>
            </w:r>
          </w:p>
        </w:tc>
        <w:tc>
          <w:tcPr>
            <w:tcW w:type="dxa" w:w="2436"/>
            <w:shd w:val="clear" w:fill="F2F6FA"/>
          </w:tcPr>
          <w:p>
            <w:pPr>
              <w:spacing w:before="40" w:after="40"/>
            </w:pPr>
            <w:r>
              <w:rPr>
                <w:rFonts w:ascii="Calibri" w:hAnsi="Calibri"/>
                <w:b w:val="0"/>
                <w:i w:val="0"/>
                <w:color w:val="333333"/>
                <w:sz w:val="17"/>
              </w:rPr>
              <w:t>Chiffrement de l'environnement</w:t>
            </w:r>
          </w:p>
        </w:tc>
        <w:tc>
          <w:tcPr>
            <w:tcW w:type="dxa" w:w="2436"/>
            <w:shd w:val="clear" w:fill="F2F6FA"/>
          </w:tcPr>
          <w:p>
            <w:pPr>
              <w:spacing w:before="40" w:after="40"/>
            </w:pPr>
            <w:r>
              <w:rPr>
                <w:rFonts w:ascii="Calibri" w:hAnsi="Calibri"/>
                <w:b w:val="0"/>
                <w:i w:val="0"/>
                <w:color w:val="333333"/>
                <w:sz w:val="17"/>
              </w:rPr>
              <w:t>Sauvegardes hors site immuables ; moindre privilège ; procédure de restauration testée trimestriellement</w:t>
            </w:r>
          </w:p>
        </w:tc>
        <w:tc>
          <w:tcPr>
            <w:tcW w:type="dxa" w:w="2436"/>
            <w:shd w:val="clear" w:fill="F2F6FA"/>
          </w:tcPr>
          <w:p>
            <w:pPr>
              <w:spacing w:before="40" w:after="40"/>
            </w:pPr>
            <w:r>
              <w:rPr>
                <w:rFonts w:ascii="Calibri" w:hAnsi="Calibri"/>
                <w:b w:val="0"/>
                <w:i w:val="0"/>
                <w:color w:val="333333"/>
                <w:sz w:val="17"/>
              </w:rPr>
              <w:t>RTO 24 h</w:t>
            </w:r>
          </w:p>
        </w:tc>
      </w:tr>
    </w:tbl>
    <w:p>
      <w:pPr>
        <w:spacing w:after="40"/>
      </w:pPr>
    </w:p>
    <w:p>
      <w:pPr>
        <w:pStyle w:val="Heading1"/>
        <w:pageBreakBefore/>
        <w:spacing w:before="360" w:after="80"/>
        <w:keepNext/>
        <w:pBdr>
          <w:bottom w:val="single" w:sz="8" w:space="6" w:color="1B3A5C"/>
        </w:pBdr>
      </w:pPr>
      <w:bookmarkStart w:id="148" w:name="_Toc_s047"/>
      <w:r>
        <w:rPr>
          <w:rFonts w:ascii="Calibri" w:hAnsi="Calibri"/>
          <w:b/>
          <w:color w:val="1B3A5C"/>
          <w:sz w:val="30"/>
        </w:rPr>
        <w:t>14. Procédures de sécurité pour SUNU</w:t>
      </w:r>
      <w:bookmarkEnd w:id="148"/>
    </w:p>
    <w:p>
      <w:r>
        <w:rPr>
          <w:rFonts w:ascii="Calibri" w:hAnsi="Calibri"/>
          <w:b w:val="0"/>
          <w:i w:val="0"/>
          <w:color w:val="333333"/>
          <w:sz w:val="20"/>
        </w:rPr>
        <w:t>La technologie ne fait que la moitié du contrôle. Voici les responsabilités opérationnelles de SUNU.</w:t>
      </w:r>
    </w:p>
    <w:p>
      <w:pPr>
        <w:pStyle w:val="Heading2"/>
        <w:spacing w:before="280" w:after="80"/>
        <w:keepNext/>
      </w:pPr>
      <w:bookmarkStart w:id="149" w:name="_Toc_s048"/>
      <w:r>
        <w:rPr>
          <w:rFonts w:ascii="Calibri" w:hAnsi="Calibri"/>
          <w:b/>
          <w:color w:val="1B3A5C"/>
          <w:sz w:val="24"/>
        </w:rPr>
        <w:t>14.1 Entrée et sortie d'un collecteur</w:t>
      </w:r>
      <w:bookmarkEnd w:id="149"/>
    </w:p>
    <w:p>
      <w:r>
        <w:rPr>
          <w:rFonts w:ascii="Calibri" w:hAnsi="Calibri"/>
          <w:b/>
          <w:i w:val="0"/>
          <w:color w:val="333333"/>
          <w:sz w:val="20"/>
        </w:rPr>
        <w:t>Entrée :</w:t>
      </w:r>
      <w:r>
        <w:rPr>
          <w:rFonts w:ascii="Calibri" w:hAnsi="Calibri"/>
          <w:b w:val="0"/>
          <w:i w:val="0"/>
          <w:color w:val="333333"/>
          <w:sz w:val="20"/>
        </w:rPr>
        <w:t xml:space="preserve"> vérification d'identité et enquête de moralité selon la politique RH de SUNU → compte créé par l'Administrateur avec le seul profil Agent collecteur → terminal affecté et consigné → code remis par un canal distinct et changé à la première utilisation → plafond fixé → briefing de sécurité signé (garde du terminal, non-partage du code, discipline des reçus, signalement immédiat en cas de perte).</w:t>
      </w:r>
    </w:p>
    <w:p>
      <w:r>
        <w:rPr>
          <w:rFonts w:ascii="Calibri" w:hAnsi="Calibri"/>
          <w:b/>
          <w:i w:val="0"/>
          <w:color w:val="333333"/>
          <w:sz w:val="20"/>
        </w:rPr>
        <w:t>Sortie, exécutée le jour même :</w:t>
      </w:r>
      <w:r>
        <w:rPr>
          <w:rFonts w:ascii="Calibri" w:hAnsi="Calibri"/>
          <w:b w:val="0"/>
          <w:i w:val="0"/>
          <w:color w:val="333333"/>
          <w:sz w:val="20"/>
        </w:rPr>
        <w:t xml:space="preserve"> terminal restitué et son affectation close → toutes les espèces versées et confirmées → compte désactivé (jamais supprimé) → solde résiduel rapproché à zéro → cartes en possession du collecteur restituées et rapprochées du stock.</w:t>
      </w:r>
    </w:p>
    <w:p>
      <w:pPr>
        <w:pStyle w:val="Heading2"/>
        <w:spacing w:before="280" w:after="80"/>
        <w:keepNext/>
      </w:pPr>
      <w:bookmarkStart w:id="150" w:name="_Toc_s049"/>
      <w:r>
        <w:rPr>
          <w:rFonts w:ascii="Calibri" w:hAnsi="Calibri"/>
          <w:b/>
          <w:color w:val="1B3A5C"/>
          <w:sz w:val="24"/>
        </w:rPr>
        <w:t>14.2 Revue des accès</w:t>
      </w:r>
      <w:bookmarkEnd w:id="150"/>
    </w:p>
    <w:p>
      <w:r>
        <w:rPr>
          <w:rFonts w:ascii="Calibri" w:hAnsi="Calibri"/>
          <w:b w:val="0"/>
          <w:i w:val="0"/>
          <w:color w:val="333333"/>
          <w:sz w:val="20"/>
        </w:rPr>
        <w:t>Chaque trimestre, l'Administrateur passe en revue chaque compte et ses habilitations avec le responsable de service concerné ; les comptes inutilisés sont désactivés ; la revue est documentée et conservée.</w:t>
      </w:r>
    </w:p>
    <w:p>
      <w:pPr>
        <w:pStyle w:val="Heading2"/>
        <w:spacing w:before="280" w:after="80"/>
        <w:keepNext/>
      </w:pPr>
      <w:bookmarkStart w:id="151" w:name="_Toc_s050"/>
      <w:r>
        <w:rPr>
          <w:rFonts w:ascii="Calibri" w:hAnsi="Calibri"/>
          <w:b/>
          <w:color w:val="1B3A5C"/>
          <w:sz w:val="24"/>
        </w:rPr>
        <w:t>14.3 Stock de cartes</w:t>
      </w:r>
      <w:bookmarkEnd w:id="151"/>
    </w:p>
    <w:p>
      <w:r>
        <w:rPr>
          <w:rFonts w:ascii="Calibri" w:hAnsi="Calibri"/>
          <w:b w:val="0"/>
          <w:i w:val="0"/>
          <w:color w:val="333333"/>
          <w:sz w:val="20"/>
        </w:rPr>
        <w:t>Les cartes vierges sont conservées dans un local fermé sous la responsabilité d'un dépositaire nommé. Les mouvements d'entrée et de sortie sont consignés. Un comptage mensuel rapproche le stock physique des enregistrements d'émission du back-office ; tout écart fait l'objet d'une enquête en tant qu'incident de sécurité.</w:t>
      </w:r>
    </w:p>
    <w:p>
      <w:pPr>
        <w:pStyle w:val="Heading2"/>
        <w:spacing w:before="280" w:after="80"/>
        <w:keepNext/>
      </w:pPr>
      <w:bookmarkStart w:id="152" w:name="_Toc_s051"/>
      <w:r>
        <w:rPr>
          <w:rFonts w:ascii="Calibri" w:hAnsi="Calibri"/>
          <w:b/>
          <w:color w:val="1B3A5C"/>
          <w:sz w:val="24"/>
        </w:rPr>
        <w:t>14.4 Gestion des justificatifs</w:t>
      </w:r>
      <w:bookmarkEnd w:id="152"/>
    </w:p>
    <w:p>
      <w:r>
        <w:rPr>
          <w:rFonts w:ascii="Calibri" w:hAnsi="Calibri"/>
          <w:b w:val="0"/>
          <w:i w:val="0"/>
          <w:color w:val="333333"/>
          <w:sz w:val="20"/>
        </w:rPr>
        <w:t>Les codes et mots de passe sont remis par un canal distinct de celui de l'identifiant, changés à la première utilisation, jamais partagés, jamais écrits, jamais transmis par courriel ou messagerie. Aucun collaborateur de SUNU ou de DBS ne demandera jamais à un collecteur ou à un assuré son code.</w:t>
      </w:r>
    </w:p>
    <w:p>
      <w:pPr>
        <w:pStyle w:val="Heading2"/>
        <w:spacing w:before="280" w:after="80"/>
        <w:keepNext/>
      </w:pPr>
      <w:bookmarkStart w:id="153" w:name="_Toc_s052"/>
      <w:r>
        <w:rPr>
          <w:rFonts w:ascii="Calibri" w:hAnsi="Calibri"/>
          <w:b/>
          <w:color w:val="1B3A5C"/>
          <w:sz w:val="24"/>
        </w:rPr>
        <w:t>14.5 Sensibilisation</w:t>
      </w:r>
      <w:bookmarkEnd w:id="153"/>
    </w:p>
    <w:p>
      <w:r>
        <w:rPr>
          <w:rFonts w:ascii="Calibri" w:hAnsi="Calibri"/>
          <w:b w:val="0"/>
          <w:i w:val="0"/>
          <w:color w:val="333333"/>
          <w:sz w:val="20"/>
        </w:rPr>
        <w:t>Briefing de sécurité à l'entrée, rappel annuel, et court rappel trimestriel sur les risques qui comptent réellement ici : hameçonnage sur les comptes back-office, discipline des reçus sur le terrain, garde du terminal, et signalement immédiat de tout fait inhabituel.</w:t>
      </w:r>
    </w:p>
    <w:p>
      <w:pPr>
        <w:pStyle w:val="Heading1"/>
        <w:pageBreakBefore/>
        <w:spacing w:before="360" w:after="80"/>
        <w:keepNext/>
        <w:pBdr>
          <w:bottom w:val="single" w:sz="8" w:space="6" w:color="1B3A5C"/>
        </w:pBdr>
      </w:pPr>
      <w:bookmarkStart w:id="154" w:name="_Toc_s053"/>
      <w:r>
        <w:rPr>
          <w:rFonts w:ascii="Calibri" w:hAnsi="Calibri"/>
          <w:b/>
          <w:color w:val="1B3A5C"/>
          <w:sz w:val="30"/>
        </w:rPr>
        <w:t>15. Cartographie des contrôles (ISO/IEC 27001:2022 Annexe A)</w:t>
      </w:r>
      <w:bookmarkEnd w:id="15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Domaine de contrôle</w:t>
            </w:r>
          </w:p>
        </w:tc>
        <w:tc>
          <w:tcPr>
            <w:tcW w:type="dxa" w:w="3249"/>
            <w:shd w:val="clear" w:fill="1B3A5C"/>
          </w:tcPr>
          <w:p>
            <w:pPr>
              <w:spacing w:before="60" w:after="60"/>
            </w:pPr>
            <w:r>
              <w:rPr>
                <w:rFonts w:ascii="Calibri" w:hAnsi="Calibri"/>
                <w:b/>
                <w:color w:val="FFFFFF"/>
                <w:sz w:val="17"/>
              </w:rPr>
              <w:t>Référence</w:t>
            </w:r>
          </w:p>
        </w:tc>
        <w:tc>
          <w:tcPr>
            <w:tcW w:type="dxa" w:w="3249"/>
            <w:shd w:val="clear" w:fill="1B3A5C"/>
          </w:tcPr>
          <w:p>
            <w:pPr>
              <w:spacing w:before="60" w:after="60"/>
            </w:pPr>
            <w:r>
              <w:rPr>
                <w:rFonts w:ascii="Calibri" w:hAnsi="Calibri"/>
                <w:b/>
                <w:color w:val="FFFFFF"/>
                <w:sz w:val="17"/>
              </w:rPr>
              <w:t>Traité en</w:t>
            </w:r>
          </w:p>
        </w:tc>
      </w:tr>
      <w:tr>
        <w:tc>
          <w:tcPr>
            <w:tcW w:type="dxa" w:w="3249"/>
          </w:tcPr>
          <w:p>
            <w:pPr>
              <w:spacing w:before="40" w:after="40"/>
            </w:pPr>
            <w:r>
              <w:rPr>
                <w:rFonts w:ascii="Calibri" w:hAnsi="Calibri"/>
                <w:b w:val="0"/>
                <w:i w:val="0"/>
                <w:color w:val="333333"/>
                <w:sz w:val="17"/>
              </w:rPr>
              <w:t>Politiques de sécurité de l'information</w:t>
            </w:r>
          </w:p>
        </w:tc>
        <w:tc>
          <w:tcPr>
            <w:tcW w:type="dxa" w:w="3249"/>
          </w:tcPr>
          <w:p>
            <w:pPr>
              <w:spacing w:before="40" w:after="40"/>
            </w:pPr>
            <w:r>
              <w:rPr>
                <w:rFonts w:ascii="Calibri" w:hAnsi="Calibri"/>
                <w:b w:val="0"/>
                <w:i w:val="0"/>
                <w:color w:val="333333"/>
                <w:sz w:val="17"/>
              </w:rPr>
              <w:t>A.5.1</w:t>
            </w:r>
          </w:p>
        </w:tc>
        <w:tc>
          <w:tcPr>
            <w:tcW w:type="dxa" w:w="3249"/>
          </w:tcPr>
          <w:p>
            <w:pPr>
              <w:spacing w:before="40" w:after="40"/>
            </w:pPr>
            <w:r>
              <w:rPr>
                <w:rFonts w:ascii="Calibri" w:hAnsi="Calibri"/>
                <w:b w:val="0"/>
                <w:i w:val="0"/>
                <w:color w:val="333333"/>
                <w:sz w:val="17"/>
              </w:rPr>
              <w:t>§14, politique de sécurité annexée à la mise en service</w:t>
            </w:r>
          </w:p>
        </w:tc>
      </w:tr>
      <w:tr>
        <w:tc>
          <w:tcPr>
            <w:tcW w:type="dxa" w:w="3249"/>
            <w:shd w:val="clear" w:fill="F2F6FA"/>
          </w:tcPr>
          <w:p>
            <w:pPr>
              <w:spacing w:before="40" w:after="40"/>
            </w:pPr>
            <w:r>
              <w:rPr>
                <w:rFonts w:ascii="Calibri" w:hAnsi="Calibri"/>
                <w:b w:val="0"/>
                <w:i w:val="0"/>
                <w:color w:val="333333"/>
                <w:sz w:val="17"/>
              </w:rPr>
              <w:t>Séparation des tâches</w:t>
            </w:r>
          </w:p>
        </w:tc>
        <w:tc>
          <w:tcPr>
            <w:tcW w:type="dxa" w:w="3249"/>
            <w:shd w:val="clear" w:fill="F2F6FA"/>
          </w:tcPr>
          <w:p>
            <w:pPr>
              <w:spacing w:before="40" w:after="40"/>
            </w:pPr>
            <w:r>
              <w:rPr>
                <w:rFonts w:ascii="Calibri" w:hAnsi="Calibri"/>
                <w:b w:val="0"/>
                <w:i w:val="0"/>
                <w:color w:val="333333"/>
                <w:sz w:val="17"/>
              </w:rPr>
              <w:t>A.5.3</w:t>
            </w:r>
          </w:p>
        </w:tc>
        <w:tc>
          <w:tcPr>
            <w:tcW w:type="dxa" w:w="3249"/>
            <w:shd w:val="clear" w:fill="F2F6FA"/>
          </w:tcPr>
          <w:p>
            <w:pPr>
              <w:spacing w:before="40" w:after="40"/>
            </w:pPr>
            <w:r>
              <w:rPr>
                <w:rFonts w:ascii="Calibri" w:hAnsi="Calibri"/>
                <w:b w:val="0"/>
                <w:i w:val="0"/>
                <w:color w:val="333333"/>
                <w:sz w:val="17"/>
              </w:rPr>
              <w:t>§5.2, §8.3</w:t>
            </w:r>
          </w:p>
        </w:tc>
      </w:tr>
      <w:tr>
        <w:tc>
          <w:tcPr>
            <w:tcW w:type="dxa" w:w="3249"/>
          </w:tcPr>
          <w:p>
            <w:pPr>
              <w:spacing w:before="40" w:after="40"/>
            </w:pPr>
            <w:r>
              <w:rPr>
                <w:rFonts w:ascii="Calibri" w:hAnsi="Calibri"/>
                <w:b w:val="0"/>
                <w:i w:val="0"/>
                <w:color w:val="333333"/>
                <w:sz w:val="17"/>
              </w:rPr>
              <w:t>Relations avec les autorités</w:t>
            </w:r>
          </w:p>
        </w:tc>
        <w:tc>
          <w:tcPr>
            <w:tcW w:type="dxa" w:w="3249"/>
          </w:tcPr>
          <w:p>
            <w:pPr>
              <w:spacing w:before="40" w:after="40"/>
            </w:pPr>
            <w:r>
              <w:rPr>
                <w:rFonts w:ascii="Calibri" w:hAnsi="Calibri"/>
                <w:b w:val="0"/>
                <w:i w:val="0"/>
                <w:color w:val="333333"/>
                <w:sz w:val="17"/>
              </w:rPr>
              <w:t>A.5.5</w:t>
            </w:r>
          </w:p>
        </w:tc>
        <w:tc>
          <w:tcPr>
            <w:tcW w:type="dxa" w:w="3249"/>
          </w:tcPr>
          <w:p>
            <w:pPr>
              <w:spacing w:before="40" w:after="40"/>
            </w:pPr>
            <w:r>
              <w:rPr>
                <w:rFonts w:ascii="Calibri" w:hAnsi="Calibri"/>
                <w:b w:val="0"/>
                <w:i w:val="0"/>
                <w:color w:val="333333"/>
                <w:sz w:val="17"/>
              </w:rPr>
              <w:t>§17 (CIL, CIMA)</w:t>
            </w:r>
          </w:p>
        </w:tc>
      </w:tr>
      <w:tr>
        <w:tc>
          <w:tcPr>
            <w:tcW w:type="dxa" w:w="3249"/>
            <w:shd w:val="clear" w:fill="F2F6FA"/>
          </w:tcPr>
          <w:p>
            <w:pPr>
              <w:spacing w:before="40" w:after="40"/>
            </w:pPr>
            <w:r>
              <w:rPr>
                <w:rFonts w:ascii="Calibri" w:hAnsi="Calibri"/>
                <w:b w:val="0"/>
                <w:i w:val="0"/>
                <w:color w:val="333333"/>
                <w:sz w:val="17"/>
              </w:rPr>
              <w:t>Renseignement sur les menaces</w:t>
            </w:r>
          </w:p>
        </w:tc>
        <w:tc>
          <w:tcPr>
            <w:tcW w:type="dxa" w:w="3249"/>
            <w:shd w:val="clear" w:fill="F2F6FA"/>
          </w:tcPr>
          <w:p>
            <w:pPr>
              <w:spacing w:before="40" w:after="40"/>
            </w:pPr>
            <w:r>
              <w:rPr>
                <w:rFonts w:ascii="Calibri" w:hAnsi="Calibri"/>
                <w:b w:val="0"/>
                <w:i w:val="0"/>
                <w:color w:val="333333"/>
                <w:sz w:val="17"/>
              </w:rPr>
              <w:t>A.5.7</w:t>
            </w:r>
          </w:p>
        </w:tc>
        <w:tc>
          <w:tcPr>
            <w:tcW w:type="dxa" w:w="3249"/>
            <w:shd w:val="clear" w:fill="F2F6FA"/>
          </w:tcPr>
          <w:p>
            <w:pPr>
              <w:spacing w:before="40" w:after="40"/>
            </w:pPr>
            <w:r>
              <w:rPr>
                <w:rFonts w:ascii="Calibri" w:hAnsi="Calibri"/>
                <w:b w:val="0"/>
                <w:i w:val="0"/>
                <w:color w:val="333333"/>
                <w:sz w:val="17"/>
              </w:rPr>
              <w:t>§12 H-10</w:t>
            </w:r>
          </w:p>
        </w:tc>
      </w:tr>
      <w:tr>
        <w:tc>
          <w:tcPr>
            <w:tcW w:type="dxa" w:w="3249"/>
          </w:tcPr>
          <w:p>
            <w:pPr>
              <w:spacing w:before="40" w:after="40"/>
            </w:pPr>
            <w:r>
              <w:rPr>
                <w:rFonts w:ascii="Calibri" w:hAnsi="Calibri"/>
                <w:b w:val="0"/>
                <w:i w:val="0"/>
                <w:color w:val="333333"/>
                <w:sz w:val="17"/>
              </w:rPr>
              <w:t>Sécurité dans les relations fournisseurs</w:t>
            </w:r>
          </w:p>
        </w:tc>
        <w:tc>
          <w:tcPr>
            <w:tcW w:type="dxa" w:w="3249"/>
          </w:tcPr>
          <w:p>
            <w:pPr>
              <w:spacing w:before="40" w:after="40"/>
            </w:pPr>
            <w:r>
              <w:rPr>
                <w:rFonts w:ascii="Calibri" w:hAnsi="Calibri"/>
                <w:b w:val="0"/>
                <w:i w:val="0"/>
                <w:color w:val="333333"/>
                <w:sz w:val="17"/>
              </w:rPr>
              <w:t>A.5.19–5.22</w:t>
            </w:r>
          </w:p>
        </w:tc>
        <w:tc>
          <w:tcPr>
            <w:tcW w:type="dxa" w:w="3249"/>
          </w:tcPr>
          <w:p>
            <w:pPr>
              <w:spacing w:before="40" w:after="40"/>
            </w:pPr>
            <w:r>
              <w:rPr>
                <w:rFonts w:ascii="Calibri" w:hAnsi="Calibri"/>
                <w:b w:val="0"/>
                <w:i w:val="0"/>
                <w:color w:val="333333"/>
                <w:sz w:val="17"/>
              </w:rPr>
              <w:t>§10, contrat de sous-traitance §6.5</w:t>
            </w:r>
          </w:p>
        </w:tc>
      </w:tr>
      <w:tr>
        <w:tc>
          <w:tcPr>
            <w:tcW w:type="dxa" w:w="3249"/>
            <w:shd w:val="clear" w:fill="F2F6FA"/>
          </w:tcPr>
          <w:p>
            <w:pPr>
              <w:spacing w:before="40" w:after="40"/>
            </w:pPr>
            <w:r>
              <w:rPr>
                <w:rFonts w:ascii="Calibri" w:hAnsi="Calibri"/>
                <w:b w:val="0"/>
                <w:i w:val="0"/>
                <w:color w:val="333333"/>
                <w:sz w:val="17"/>
              </w:rPr>
              <w:t>Gestion des incidents</w:t>
            </w:r>
          </w:p>
        </w:tc>
        <w:tc>
          <w:tcPr>
            <w:tcW w:type="dxa" w:w="3249"/>
            <w:shd w:val="clear" w:fill="F2F6FA"/>
          </w:tcPr>
          <w:p>
            <w:pPr>
              <w:spacing w:before="40" w:after="40"/>
            </w:pPr>
            <w:r>
              <w:rPr>
                <w:rFonts w:ascii="Calibri" w:hAnsi="Calibri"/>
                <w:b w:val="0"/>
                <w:i w:val="0"/>
                <w:color w:val="333333"/>
                <w:sz w:val="17"/>
              </w:rPr>
              <w:t>A.5.24–5.28</w:t>
            </w:r>
          </w:p>
        </w:tc>
        <w:tc>
          <w:tcPr>
            <w:tcW w:type="dxa" w:w="3249"/>
            <w:shd w:val="clear" w:fill="F2F6FA"/>
          </w:tcPr>
          <w:p>
            <w:pPr>
              <w:spacing w:before="40" w:after="40"/>
            </w:pPr>
            <w:r>
              <w:rPr>
                <w:rFonts w:ascii="Calibri" w:hAnsi="Calibri"/>
                <w:b w:val="0"/>
                <w:i w:val="0"/>
                <w:color w:val="333333"/>
                <w:sz w:val="17"/>
              </w:rPr>
              <w:t>§16</w:t>
            </w:r>
          </w:p>
        </w:tc>
      </w:tr>
      <w:tr>
        <w:tc>
          <w:tcPr>
            <w:tcW w:type="dxa" w:w="3249"/>
          </w:tcPr>
          <w:p>
            <w:pPr>
              <w:spacing w:before="40" w:after="40"/>
            </w:pPr>
            <w:r>
              <w:rPr>
                <w:rFonts w:ascii="Calibri" w:hAnsi="Calibri"/>
                <w:b w:val="0"/>
                <w:i w:val="0"/>
                <w:color w:val="333333"/>
                <w:sz w:val="17"/>
              </w:rPr>
              <w:t>Continuité d'activité</w:t>
            </w:r>
          </w:p>
        </w:tc>
        <w:tc>
          <w:tcPr>
            <w:tcW w:type="dxa" w:w="3249"/>
          </w:tcPr>
          <w:p>
            <w:pPr>
              <w:spacing w:before="40" w:after="40"/>
            </w:pPr>
            <w:r>
              <w:rPr>
                <w:rFonts w:ascii="Calibri" w:hAnsi="Calibri"/>
                <w:b w:val="0"/>
                <w:i w:val="0"/>
                <w:color w:val="333333"/>
                <w:sz w:val="17"/>
              </w:rPr>
              <w:t>A.5.29–5.30</w:t>
            </w:r>
          </w:p>
        </w:tc>
        <w:tc>
          <w:tcPr>
            <w:tcW w:type="dxa" w:w="3249"/>
          </w:tcPr>
          <w:p>
            <w:pPr>
              <w:spacing w:before="40" w:after="40"/>
            </w:pPr>
            <w:r>
              <w:rPr>
                <w:rFonts w:ascii="Calibri" w:hAnsi="Calibri"/>
                <w:b w:val="0"/>
                <w:i w:val="0"/>
                <w:color w:val="333333"/>
                <w:sz w:val="17"/>
              </w:rPr>
              <w:t>§13</w:t>
            </w:r>
          </w:p>
        </w:tc>
      </w:tr>
      <w:tr>
        <w:tc>
          <w:tcPr>
            <w:tcW w:type="dxa" w:w="3249"/>
            <w:shd w:val="clear" w:fill="F2F6FA"/>
          </w:tcPr>
          <w:p>
            <w:pPr>
              <w:spacing w:before="40" w:after="40"/>
            </w:pPr>
            <w:r>
              <w:rPr>
                <w:rFonts w:ascii="Calibri" w:hAnsi="Calibri"/>
                <w:b w:val="0"/>
                <w:i w:val="0"/>
                <w:color w:val="333333"/>
                <w:sz w:val="17"/>
              </w:rPr>
              <w:t>Exigences légales et contractuelles</w:t>
            </w:r>
          </w:p>
        </w:tc>
        <w:tc>
          <w:tcPr>
            <w:tcW w:type="dxa" w:w="3249"/>
            <w:shd w:val="clear" w:fill="F2F6FA"/>
          </w:tcPr>
          <w:p>
            <w:pPr>
              <w:spacing w:before="40" w:after="40"/>
            </w:pPr>
            <w:r>
              <w:rPr>
                <w:rFonts w:ascii="Calibri" w:hAnsi="Calibri"/>
                <w:b w:val="0"/>
                <w:i w:val="0"/>
                <w:color w:val="333333"/>
                <w:sz w:val="17"/>
              </w:rPr>
              <w:t>A.5.31–5.34</w:t>
            </w:r>
          </w:p>
        </w:tc>
        <w:tc>
          <w:tcPr>
            <w:tcW w:type="dxa" w:w="3249"/>
            <w:shd w:val="clear" w:fill="F2F6FA"/>
          </w:tcPr>
          <w:p>
            <w:pPr>
              <w:spacing w:before="40" w:after="40"/>
            </w:pPr>
            <w:r>
              <w:rPr>
                <w:rFonts w:ascii="Calibri" w:hAnsi="Calibri"/>
                <w:b w:val="0"/>
                <w:i w:val="0"/>
                <w:color w:val="333333"/>
                <w:sz w:val="17"/>
              </w:rPr>
              <w:t>§1.4, §6.5</w:t>
            </w:r>
          </w:p>
        </w:tc>
      </w:tr>
      <w:tr>
        <w:tc>
          <w:tcPr>
            <w:tcW w:type="dxa" w:w="3249"/>
          </w:tcPr>
          <w:p>
            <w:pPr>
              <w:spacing w:before="40" w:after="40"/>
            </w:pPr>
            <w:r>
              <w:rPr>
                <w:rFonts w:ascii="Calibri" w:hAnsi="Calibri"/>
                <w:b w:val="0"/>
                <w:i w:val="0"/>
                <w:color w:val="333333"/>
                <w:sz w:val="17"/>
              </w:rPr>
              <w:t>Sélection et conditions d'emploi</w:t>
            </w:r>
          </w:p>
        </w:tc>
        <w:tc>
          <w:tcPr>
            <w:tcW w:type="dxa" w:w="3249"/>
          </w:tcPr>
          <w:p>
            <w:pPr>
              <w:spacing w:before="40" w:after="40"/>
            </w:pPr>
            <w:r>
              <w:rPr>
                <w:rFonts w:ascii="Calibri" w:hAnsi="Calibri"/>
                <w:b w:val="0"/>
                <w:i w:val="0"/>
                <w:color w:val="333333"/>
                <w:sz w:val="17"/>
              </w:rPr>
              <w:t>A.6.1–6.2</w:t>
            </w:r>
          </w:p>
        </w:tc>
        <w:tc>
          <w:tcPr>
            <w:tcW w:type="dxa" w:w="3249"/>
          </w:tcPr>
          <w:p>
            <w:pPr>
              <w:spacing w:before="40" w:after="40"/>
            </w:pPr>
            <w:r>
              <w:rPr>
                <w:rFonts w:ascii="Calibri" w:hAnsi="Calibri"/>
                <w:b w:val="0"/>
                <w:i w:val="0"/>
                <w:color w:val="333333"/>
                <w:sz w:val="17"/>
              </w:rPr>
              <w:t>§14.1</w:t>
            </w:r>
          </w:p>
        </w:tc>
      </w:tr>
      <w:tr>
        <w:tc>
          <w:tcPr>
            <w:tcW w:type="dxa" w:w="3249"/>
            <w:shd w:val="clear" w:fill="F2F6FA"/>
          </w:tcPr>
          <w:p>
            <w:pPr>
              <w:spacing w:before="40" w:after="40"/>
            </w:pPr>
            <w:r>
              <w:rPr>
                <w:rFonts w:ascii="Calibri" w:hAnsi="Calibri"/>
                <w:b w:val="0"/>
                <w:i w:val="0"/>
                <w:color w:val="333333"/>
                <w:sz w:val="17"/>
              </w:rPr>
              <w:t>Sensibilisation et formation</w:t>
            </w:r>
          </w:p>
        </w:tc>
        <w:tc>
          <w:tcPr>
            <w:tcW w:type="dxa" w:w="3249"/>
            <w:shd w:val="clear" w:fill="F2F6FA"/>
          </w:tcPr>
          <w:p>
            <w:pPr>
              <w:spacing w:before="40" w:after="40"/>
            </w:pPr>
            <w:r>
              <w:rPr>
                <w:rFonts w:ascii="Calibri" w:hAnsi="Calibri"/>
                <w:b w:val="0"/>
                <w:i w:val="0"/>
                <w:color w:val="333333"/>
                <w:sz w:val="17"/>
              </w:rPr>
              <w:t>A.6.3</w:t>
            </w:r>
          </w:p>
        </w:tc>
        <w:tc>
          <w:tcPr>
            <w:tcW w:type="dxa" w:w="3249"/>
            <w:shd w:val="clear" w:fill="F2F6FA"/>
          </w:tcPr>
          <w:p>
            <w:pPr>
              <w:spacing w:before="40" w:after="40"/>
            </w:pPr>
            <w:r>
              <w:rPr>
                <w:rFonts w:ascii="Calibri" w:hAnsi="Calibri"/>
                <w:b w:val="0"/>
                <w:i w:val="0"/>
                <w:color w:val="333333"/>
                <w:sz w:val="17"/>
              </w:rPr>
              <w:t>§14.5</w:t>
            </w:r>
          </w:p>
        </w:tc>
      </w:tr>
      <w:tr>
        <w:tc>
          <w:tcPr>
            <w:tcW w:type="dxa" w:w="3249"/>
          </w:tcPr>
          <w:p>
            <w:pPr>
              <w:spacing w:before="40" w:after="40"/>
            </w:pPr>
            <w:r>
              <w:rPr>
                <w:rFonts w:ascii="Calibri" w:hAnsi="Calibri"/>
                <w:b w:val="0"/>
                <w:i w:val="0"/>
                <w:color w:val="333333"/>
                <w:sz w:val="17"/>
              </w:rPr>
              <w:t>Processus disciplinaire</w:t>
            </w:r>
          </w:p>
        </w:tc>
        <w:tc>
          <w:tcPr>
            <w:tcW w:type="dxa" w:w="3249"/>
          </w:tcPr>
          <w:p>
            <w:pPr>
              <w:spacing w:before="40" w:after="40"/>
            </w:pPr>
            <w:r>
              <w:rPr>
                <w:rFonts w:ascii="Calibri" w:hAnsi="Calibri"/>
                <w:b w:val="0"/>
                <w:i w:val="0"/>
                <w:color w:val="333333"/>
                <w:sz w:val="17"/>
              </w:rPr>
              <w:t>A.6.4</w:t>
            </w:r>
          </w:p>
        </w:tc>
        <w:tc>
          <w:tcPr>
            <w:tcW w:type="dxa" w:w="3249"/>
          </w:tcPr>
          <w:p>
            <w:pPr>
              <w:spacing w:before="40" w:after="40"/>
            </w:pPr>
            <w:r>
              <w:rPr>
                <w:rFonts w:ascii="Calibri" w:hAnsi="Calibri"/>
                <w:b w:val="0"/>
                <w:i w:val="0"/>
                <w:color w:val="333333"/>
                <w:sz w:val="17"/>
              </w:rPr>
              <w:t>Politique RH de SUNU</w:t>
            </w:r>
          </w:p>
        </w:tc>
      </w:tr>
      <w:tr>
        <w:tc>
          <w:tcPr>
            <w:tcW w:type="dxa" w:w="3249"/>
            <w:shd w:val="clear" w:fill="F2F6FA"/>
          </w:tcPr>
          <w:p>
            <w:pPr>
              <w:spacing w:before="40" w:after="40"/>
            </w:pPr>
            <w:r>
              <w:rPr>
                <w:rFonts w:ascii="Calibri" w:hAnsi="Calibri"/>
                <w:b w:val="0"/>
                <w:i w:val="0"/>
                <w:color w:val="333333"/>
                <w:sz w:val="17"/>
              </w:rPr>
              <w:t>Sécurité physique</w:t>
            </w:r>
          </w:p>
        </w:tc>
        <w:tc>
          <w:tcPr>
            <w:tcW w:type="dxa" w:w="3249"/>
            <w:shd w:val="clear" w:fill="F2F6FA"/>
          </w:tcPr>
          <w:p>
            <w:pPr>
              <w:spacing w:before="40" w:after="40"/>
            </w:pPr>
            <w:r>
              <w:rPr>
                <w:rFonts w:ascii="Calibri" w:hAnsi="Calibri"/>
                <w:b w:val="0"/>
                <w:i w:val="0"/>
                <w:color w:val="333333"/>
                <w:sz w:val="17"/>
              </w:rPr>
              <w:t>A.7.1–7.4</w:t>
            </w:r>
          </w:p>
        </w:tc>
        <w:tc>
          <w:tcPr>
            <w:tcW w:type="dxa" w:w="3249"/>
            <w:shd w:val="clear" w:fill="F2F6FA"/>
          </w:tcPr>
          <w:p>
            <w:pPr>
              <w:spacing w:before="40" w:after="40"/>
            </w:pPr>
            <w:r>
              <w:rPr>
                <w:rFonts w:ascii="Calibri" w:hAnsi="Calibri"/>
                <w:b w:val="0"/>
                <w:i w:val="0"/>
                <w:color w:val="333333"/>
                <w:sz w:val="17"/>
              </w:rPr>
              <w:t>§7.2, §14.3, hébergement</w:t>
            </w:r>
          </w:p>
        </w:tc>
      </w:tr>
      <w:tr>
        <w:tc>
          <w:tcPr>
            <w:tcW w:type="dxa" w:w="3249"/>
          </w:tcPr>
          <w:p>
            <w:pPr>
              <w:spacing w:before="40" w:after="40"/>
            </w:pPr>
            <w:r>
              <w:rPr>
                <w:rFonts w:ascii="Calibri" w:hAnsi="Calibri"/>
                <w:b w:val="0"/>
                <w:i w:val="0"/>
                <w:color w:val="333333"/>
                <w:sz w:val="17"/>
              </w:rPr>
              <w:t>Équipements et mise au rebut sécurisée</w:t>
            </w:r>
          </w:p>
        </w:tc>
        <w:tc>
          <w:tcPr>
            <w:tcW w:type="dxa" w:w="3249"/>
          </w:tcPr>
          <w:p>
            <w:pPr>
              <w:spacing w:before="40" w:after="40"/>
            </w:pPr>
            <w:r>
              <w:rPr>
                <w:rFonts w:ascii="Calibri" w:hAnsi="Calibri"/>
                <w:b w:val="0"/>
                <w:i w:val="0"/>
                <w:color w:val="333333"/>
                <w:sz w:val="17"/>
              </w:rPr>
              <w:t>A.7.9–7.14</w:t>
            </w:r>
          </w:p>
        </w:tc>
        <w:tc>
          <w:tcPr>
            <w:tcW w:type="dxa" w:w="3249"/>
          </w:tcPr>
          <w:p>
            <w:pPr>
              <w:spacing w:before="40" w:after="40"/>
            </w:pPr>
            <w:r>
              <w:rPr>
                <w:rFonts w:ascii="Calibri" w:hAnsi="Calibri"/>
                <w:b w:val="0"/>
                <w:i w:val="0"/>
                <w:color w:val="333333"/>
                <w:sz w:val="17"/>
              </w:rPr>
              <w:t>§9, §14.1</w:t>
            </w:r>
          </w:p>
        </w:tc>
      </w:tr>
      <w:tr>
        <w:tc>
          <w:tcPr>
            <w:tcW w:type="dxa" w:w="3249"/>
            <w:shd w:val="clear" w:fill="F2F6FA"/>
          </w:tcPr>
          <w:p>
            <w:pPr>
              <w:spacing w:before="40" w:after="40"/>
            </w:pPr>
            <w:r>
              <w:rPr>
                <w:rFonts w:ascii="Calibri" w:hAnsi="Calibri"/>
                <w:b w:val="0"/>
                <w:i w:val="0"/>
                <w:color w:val="333333"/>
                <w:sz w:val="17"/>
              </w:rPr>
              <w:t>Terminaux utilisateurs</w:t>
            </w:r>
          </w:p>
        </w:tc>
        <w:tc>
          <w:tcPr>
            <w:tcW w:type="dxa" w:w="3249"/>
            <w:shd w:val="clear" w:fill="F2F6FA"/>
          </w:tcPr>
          <w:p>
            <w:pPr>
              <w:spacing w:before="40" w:after="40"/>
            </w:pPr>
            <w:r>
              <w:rPr>
                <w:rFonts w:ascii="Calibri" w:hAnsi="Calibri"/>
                <w:b w:val="0"/>
                <w:i w:val="0"/>
                <w:color w:val="333333"/>
                <w:sz w:val="17"/>
              </w:rPr>
              <w:t>A.8.1</w:t>
            </w:r>
          </w:p>
        </w:tc>
        <w:tc>
          <w:tcPr>
            <w:tcW w:type="dxa" w:w="3249"/>
            <w:shd w:val="clear" w:fill="F2F6FA"/>
          </w:tcPr>
          <w:p>
            <w:pPr>
              <w:spacing w:before="40" w:after="40"/>
            </w:pPr>
            <w:r>
              <w:rPr>
                <w:rFonts w:ascii="Calibri" w:hAnsi="Calibri"/>
                <w:b w:val="0"/>
                <w:i w:val="0"/>
                <w:color w:val="333333"/>
                <w:sz w:val="17"/>
              </w:rPr>
              <w:t>§9</w:t>
            </w:r>
          </w:p>
        </w:tc>
      </w:tr>
      <w:tr>
        <w:tc>
          <w:tcPr>
            <w:tcW w:type="dxa" w:w="3249"/>
          </w:tcPr>
          <w:p>
            <w:pPr>
              <w:spacing w:before="40" w:after="40"/>
            </w:pPr>
            <w:r>
              <w:rPr>
                <w:rFonts w:ascii="Calibri" w:hAnsi="Calibri"/>
                <w:b w:val="0"/>
                <w:i w:val="0"/>
                <w:color w:val="333333"/>
                <w:sz w:val="17"/>
              </w:rPr>
              <w:t>Droits d'accès privilégiés</w:t>
            </w:r>
          </w:p>
        </w:tc>
        <w:tc>
          <w:tcPr>
            <w:tcW w:type="dxa" w:w="3249"/>
          </w:tcPr>
          <w:p>
            <w:pPr>
              <w:spacing w:before="40" w:after="40"/>
            </w:pPr>
            <w:r>
              <w:rPr>
                <w:rFonts w:ascii="Calibri" w:hAnsi="Calibri"/>
                <w:b w:val="0"/>
                <w:i w:val="0"/>
                <w:color w:val="333333"/>
                <w:sz w:val="17"/>
              </w:rPr>
              <w:t>A.8.2</w:t>
            </w:r>
          </w:p>
        </w:tc>
        <w:tc>
          <w:tcPr>
            <w:tcW w:type="dxa" w:w="3249"/>
          </w:tcPr>
          <w:p>
            <w:pPr>
              <w:spacing w:before="40" w:after="40"/>
            </w:pPr>
            <w:r>
              <w:rPr>
                <w:rFonts w:ascii="Calibri" w:hAnsi="Calibri"/>
                <w:b w:val="0"/>
                <w:i w:val="0"/>
                <w:color w:val="333333"/>
                <w:sz w:val="17"/>
              </w:rPr>
              <w:t>§5.1, §5.2</w:t>
            </w:r>
          </w:p>
        </w:tc>
      </w:tr>
      <w:tr>
        <w:tc>
          <w:tcPr>
            <w:tcW w:type="dxa" w:w="3249"/>
            <w:shd w:val="clear" w:fill="F2F6FA"/>
          </w:tcPr>
          <w:p>
            <w:pPr>
              <w:spacing w:before="40" w:after="40"/>
            </w:pPr>
            <w:r>
              <w:rPr>
                <w:rFonts w:ascii="Calibri" w:hAnsi="Calibri"/>
                <w:b w:val="0"/>
                <w:i w:val="0"/>
                <w:color w:val="333333"/>
                <w:sz w:val="17"/>
              </w:rPr>
              <w:t>Restriction d'accès à l'information</w:t>
            </w:r>
          </w:p>
        </w:tc>
        <w:tc>
          <w:tcPr>
            <w:tcW w:type="dxa" w:w="3249"/>
            <w:shd w:val="clear" w:fill="F2F6FA"/>
          </w:tcPr>
          <w:p>
            <w:pPr>
              <w:spacing w:before="40" w:after="40"/>
            </w:pPr>
            <w:r>
              <w:rPr>
                <w:rFonts w:ascii="Calibri" w:hAnsi="Calibri"/>
                <w:b w:val="0"/>
                <w:i w:val="0"/>
                <w:color w:val="333333"/>
                <w:sz w:val="17"/>
              </w:rPr>
              <w:t>A.8.3</w:t>
            </w:r>
          </w:p>
        </w:tc>
        <w:tc>
          <w:tcPr>
            <w:tcW w:type="dxa" w:w="3249"/>
            <w:shd w:val="clear" w:fill="F2F6FA"/>
          </w:tcPr>
          <w:p>
            <w:pPr>
              <w:spacing w:before="40" w:after="40"/>
            </w:pPr>
            <w:r>
              <w:rPr>
                <w:rFonts w:ascii="Calibri" w:hAnsi="Calibri"/>
                <w:b w:val="0"/>
                <w:i w:val="0"/>
                <w:color w:val="333333"/>
                <w:sz w:val="17"/>
              </w:rPr>
              <w:t>§5.2, §6.4</w:t>
            </w:r>
          </w:p>
        </w:tc>
      </w:tr>
      <w:tr>
        <w:tc>
          <w:tcPr>
            <w:tcW w:type="dxa" w:w="3249"/>
          </w:tcPr>
          <w:p>
            <w:pPr>
              <w:spacing w:before="40" w:after="40"/>
            </w:pPr>
            <w:r>
              <w:rPr>
                <w:rFonts w:ascii="Calibri" w:hAnsi="Calibri"/>
                <w:b w:val="0"/>
                <w:i w:val="0"/>
                <w:color w:val="333333"/>
                <w:sz w:val="17"/>
              </w:rPr>
              <w:t>Authentification</w:t>
            </w:r>
          </w:p>
        </w:tc>
        <w:tc>
          <w:tcPr>
            <w:tcW w:type="dxa" w:w="3249"/>
          </w:tcPr>
          <w:p>
            <w:pPr>
              <w:spacing w:before="40" w:after="40"/>
            </w:pPr>
            <w:r>
              <w:rPr>
                <w:rFonts w:ascii="Calibri" w:hAnsi="Calibri"/>
                <w:b w:val="0"/>
                <w:i w:val="0"/>
                <w:color w:val="333333"/>
                <w:sz w:val="17"/>
              </w:rPr>
              <w:t>A.8.5</w:t>
            </w:r>
          </w:p>
        </w:tc>
        <w:tc>
          <w:tcPr>
            <w:tcW w:type="dxa" w:w="3249"/>
          </w:tcPr>
          <w:p>
            <w:pPr>
              <w:spacing w:before="40" w:after="40"/>
            </w:pPr>
            <w:r>
              <w:rPr>
                <w:rFonts w:ascii="Calibri" w:hAnsi="Calibri"/>
                <w:b w:val="0"/>
                <w:i w:val="0"/>
                <w:color w:val="333333"/>
                <w:sz w:val="17"/>
              </w:rPr>
              <w:t>§5.1, §5.3</w:t>
            </w:r>
          </w:p>
        </w:tc>
      </w:tr>
      <w:tr>
        <w:tc>
          <w:tcPr>
            <w:tcW w:type="dxa" w:w="3249"/>
            <w:shd w:val="clear" w:fill="F2F6FA"/>
          </w:tcPr>
          <w:p>
            <w:pPr>
              <w:spacing w:before="40" w:after="40"/>
            </w:pPr>
            <w:r>
              <w:rPr>
                <w:rFonts w:ascii="Calibri" w:hAnsi="Calibri"/>
                <w:b w:val="0"/>
                <w:i w:val="0"/>
                <w:color w:val="333333"/>
                <w:sz w:val="17"/>
              </w:rPr>
              <w:t>Gestion de la capacité</w:t>
            </w:r>
          </w:p>
        </w:tc>
        <w:tc>
          <w:tcPr>
            <w:tcW w:type="dxa" w:w="3249"/>
            <w:shd w:val="clear" w:fill="F2F6FA"/>
          </w:tcPr>
          <w:p>
            <w:pPr>
              <w:spacing w:before="40" w:after="40"/>
            </w:pPr>
            <w:r>
              <w:rPr>
                <w:rFonts w:ascii="Calibri" w:hAnsi="Calibri"/>
                <w:b w:val="0"/>
                <w:i w:val="0"/>
                <w:color w:val="333333"/>
                <w:sz w:val="17"/>
              </w:rPr>
              <w:t>A.8.6</w:t>
            </w:r>
          </w:p>
        </w:tc>
        <w:tc>
          <w:tcPr>
            <w:tcW w:type="dxa" w:w="3249"/>
            <w:shd w:val="clear" w:fill="F2F6FA"/>
          </w:tcPr>
          <w:p>
            <w:pPr>
              <w:spacing w:before="40" w:after="40"/>
            </w:pPr>
            <w:r>
              <w:rPr>
                <w:rFonts w:ascii="Calibri" w:hAnsi="Calibri"/>
                <w:b w:val="0"/>
                <w:i w:val="0"/>
                <w:color w:val="333333"/>
                <w:sz w:val="17"/>
              </w:rPr>
              <w:t>Doc 1 §10.3</w:t>
            </w:r>
          </w:p>
        </w:tc>
      </w:tr>
      <w:tr>
        <w:tc>
          <w:tcPr>
            <w:tcW w:type="dxa" w:w="3249"/>
          </w:tcPr>
          <w:p>
            <w:pPr>
              <w:spacing w:before="40" w:after="40"/>
            </w:pPr>
            <w:r>
              <w:rPr>
                <w:rFonts w:ascii="Calibri" w:hAnsi="Calibri"/>
                <w:b w:val="0"/>
                <w:i w:val="0"/>
                <w:color w:val="333333"/>
                <w:sz w:val="17"/>
              </w:rPr>
              <w:t>Protection contre les codes malveillants</w:t>
            </w:r>
          </w:p>
        </w:tc>
        <w:tc>
          <w:tcPr>
            <w:tcW w:type="dxa" w:w="3249"/>
          </w:tcPr>
          <w:p>
            <w:pPr>
              <w:spacing w:before="40" w:after="40"/>
            </w:pPr>
            <w:r>
              <w:rPr>
                <w:rFonts w:ascii="Calibri" w:hAnsi="Calibri"/>
                <w:b w:val="0"/>
                <w:i w:val="0"/>
                <w:color w:val="333333"/>
                <w:sz w:val="17"/>
              </w:rPr>
              <w:t>A.8.7</w:t>
            </w:r>
          </w:p>
        </w:tc>
        <w:tc>
          <w:tcPr>
            <w:tcW w:type="dxa" w:w="3249"/>
          </w:tcPr>
          <w:p>
            <w:pPr>
              <w:spacing w:before="40" w:after="40"/>
            </w:pPr>
            <w:r>
              <w:rPr>
                <w:rFonts w:ascii="Calibri" w:hAnsi="Calibri"/>
                <w:b w:val="0"/>
                <w:i w:val="0"/>
                <w:color w:val="333333"/>
                <w:sz w:val="17"/>
              </w:rPr>
              <w:t>§9, durcissement des hôtes</w:t>
            </w:r>
          </w:p>
        </w:tc>
      </w:tr>
      <w:tr>
        <w:tc>
          <w:tcPr>
            <w:tcW w:type="dxa" w:w="3249"/>
            <w:shd w:val="clear" w:fill="F2F6FA"/>
          </w:tcPr>
          <w:p>
            <w:pPr>
              <w:spacing w:before="40" w:after="40"/>
            </w:pPr>
            <w:r>
              <w:rPr>
                <w:rFonts w:ascii="Calibri" w:hAnsi="Calibri"/>
                <w:b w:val="0"/>
                <w:i w:val="0"/>
                <w:color w:val="333333"/>
                <w:sz w:val="17"/>
              </w:rPr>
              <w:t>Gestion des vulnérabilités</w:t>
            </w:r>
          </w:p>
        </w:tc>
        <w:tc>
          <w:tcPr>
            <w:tcW w:type="dxa" w:w="3249"/>
            <w:shd w:val="clear" w:fill="F2F6FA"/>
          </w:tcPr>
          <w:p>
            <w:pPr>
              <w:spacing w:before="40" w:after="40"/>
            </w:pPr>
            <w:r>
              <w:rPr>
                <w:rFonts w:ascii="Calibri" w:hAnsi="Calibri"/>
                <w:b w:val="0"/>
                <w:i w:val="0"/>
                <w:color w:val="333333"/>
                <w:sz w:val="17"/>
              </w:rPr>
              <w:t>A.8.8</w:t>
            </w:r>
          </w:p>
        </w:tc>
        <w:tc>
          <w:tcPr>
            <w:tcW w:type="dxa" w:w="3249"/>
            <w:shd w:val="clear" w:fill="F2F6FA"/>
          </w:tcPr>
          <w:p>
            <w:pPr>
              <w:spacing w:before="40" w:after="40"/>
            </w:pPr>
            <w:r>
              <w:rPr>
                <w:rFonts w:ascii="Calibri" w:hAnsi="Calibri"/>
                <w:b w:val="0"/>
                <w:i w:val="0"/>
                <w:color w:val="333333"/>
                <w:sz w:val="17"/>
              </w:rPr>
              <w:t>§12 H-10, §16.3</w:t>
            </w:r>
          </w:p>
        </w:tc>
      </w:tr>
      <w:tr>
        <w:tc>
          <w:tcPr>
            <w:tcW w:type="dxa" w:w="3249"/>
          </w:tcPr>
          <w:p>
            <w:pPr>
              <w:spacing w:before="40" w:after="40"/>
            </w:pPr>
            <w:r>
              <w:rPr>
                <w:rFonts w:ascii="Calibri" w:hAnsi="Calibri"/>
                <w:b w:val="0"/>
                <w:i w:val="0"/>
                <w:color w:val="333333"/>
                <w:sz w:val="17"/>
              </w:rPr>
              <w:t>Gestion de la configuration</w:t>
            </w:r>
          </w:p>
        </w:tc>
        <w:tc>
          <w:tcPr>
            <w:tcW w:type="dxa" w:w="3249"/>
          </w:tcPr>
          <w:p>
            <w:pPr>
              <w:spacing w:before="40" w:after="40"/>
            </w:pPr>
            <w:r>
              <w:rPr>
                <w:rFonts w:ascii="Calibri" w:hAnsi="Calibri"/>
                <w:b w:val="0"/>
                <w:i w:val="0"/>
                <w:color w:val="333333"/>
                <w:sz w:val="17"/>
              </w:rPr>
              <w:t>A.8.9</w:t>
            </w:r>
          </w:p>
        </w:tc>
        <w:tc>
          <w:tcPr>
            <w:tcW w:type="dxa" w:w="3249"/>
          </w:tcPr>
          <w:p>
            <w:pPr>
              <w:spacing w:before="40" w:after="40"/>
            </w:pPr>
            <w:r>
              <w:rPr>
                <w:rFonts w:ascii="Calibri" w:hAnsi="Calibri"/>
                <w:b w:val="0"/>
                <w:i w:val="0"/>
                <w:color w:val="333333"/>
                <w:sz w:val="17"/>
              </w:rPr>
              <w:t>§12 H-9</w:t>
            </w:r>
          </w:p>
        </w:tc>
      </w:tr>
      <w:tr>
        <w:tc>
          <w:tcPr>
            <w:tcW w:type="dxa" w:w="3249"/>
            <w:shd w:val="clear" w:fill="F2F6FA"/>
          </w:tcPr>
          <w:p>
            <w:pPr>
              <w:spacing w:before="40" w:after="40"/>
            </w:pPr>
            <w:r>
              <w:rPr>
                <w:rFonts w:ascii="Calibri" w:hAnsi="Calibri"/>
                <w:b w:val="0"/>
                <w:i w:val="0"/>
                <w:color w:val="333333"/>
                <w:sz w:val="17"/>
              </w:rPr>
              <w:t>Masquage des données</w:t>
            </w:r>
          </w:p>
        </w:tc>
        <w:tc>
          <w:tcPr>
            <w:tcW w:type="dxa" w:w="3249"/>
            <w:shd w:val="clear" w:fill="F2F6FA"/>
          </w:tcPr>
          <w:p>
            <w:pPr>
              <w:spacing w:before="40" w:after="40"/>
            </w:pPr>
            <w:r>
              <w:rPr>
                <w:rFonts w:ascii="Calibri" w:hAnsi="Calibri"/>
                <w:b w:val="0"/>
                <w:i w:val="0"/>
                <w:color w:val="333333"/>
                <w:sz w:val="17"/>
              </w:rPr>
              <w:t>A.8.11</w:t>
            </w:r>
          </w:p>
        </w:tc>
        <w:tc>
          <w:tcPr>
            <w:tcW w:type="dxa" w:w="3249"/>
            <w:shd w:val="clear" w:fill="F2F6FA"/>
          </w:tcPr>
          <w:p>
            <w:pPr>
              <w:spacing w:before="40" w:after="40"/>
            </w:pPr>
            <w:r>
              <w:rPr>
                <w:rFonts w:ascii="Calibri" w:hAnsi="Calibri"/>
                <w:b w:val="0"/>
                <w:i w:val="0"/>
                <w:color w:val="333333"/>
                <w:sz w:val="17"/>
              </w:rPr>
              <w:t>§6.4, §11.2</w:t>
            </w:r>
          </w:p>
        </w:tc>
      </w:tr>
      <w:tr>
        <w:tc>
          <w:tcPr>
            <w:tcW w:type="dxa" w:w="3249"/>
          </w:tcPr>
          <w:p>
            <w:pPr>
              <w:spacing w:before="40" w:after="40"/>
            </w:pPr>
            <w:r>
              <w:rPr>
                <w:rFonts w:ascii="Calibri" w:hAnsi="Calibri"/>
                <w:b w:val="0"/>
                <w:i w:val="0"/>
                <w:color w:val="333333"/>
                <w:sz w:val="17"/>
              </w:rPr>
              <w:t>Prévention des fuites de données</w:t>
            </w:r>
          </w:p>
        </w:tc>
        <w:tc>
          <w:tcPr>
            <w:tcW w:type="dxa" w:w="3249"/>
          </w:tcPr>
          <w:p>
            <w:pPr>
              <w:spacing w:before="40" w:after="40"/>
            </w:pPr>
            <w:r>
              <w:rPr>
                <w:rFonts w:ascii="Calibri" w:hAnsi="Calibri"/>
                <w:b w:val="0"/>
                <w:i w:val="0"/>
                <w:color w:val="333333"/>
                <w:sz w:val="17"/>
              </w:rPr>
              <w:t>A.8.12</w:t>
            </w:r>
          </w:p>
        </w:tc>
        <w:tc>
          <w:tcPr>
            <w:tcW w:type="dxa" w:w="3249"/>
          </w:tcPr>
          <w:p>
            <w:pPr>
              <w:spacing w:before="40" w:after="40"/>
            </w:pPr>
            <w:r>
              <w:rPr>
                <w:rFonts w:ascii="Calibri" w:hAnsi="Calibri"/>
                <w:b w:val="0"/>
                <w:i w:val="0"/>
                <w:color w:val="333333"/>
                <w:sz w:val="17"/>
              </w:rPr>
              <w:t>§8.4, §11.3</w:t>
            </w:r>
          </w:p>
        </w:tc>
      </w:tr>
      <w:tr>
        <w:tc>
          <w:tcPr>
            <w:tcW w:type="dxa" w:w="3249"/>
            <w:shd w:val="clear" w:fill="F2F6FA"/>
          </w:tcPr>
          <w:p>
            <w:pPr>
              <w:spacing w:before="40" w:after="40"/>
            </w:pPr>
            <w:r>
              <w:rPr>
                <w:rFonts w:ascii="Calibri" w:hAnsi="Calibri"/>
                <w:b w:val="0"/>
                <w:i w:val="0"/>
                <w:color w:val="333333"/>
                <w:sz w:val="17"/>
              </w:rPr>
              <w:t>Sauvegarde</w:t>
            </w:r>
          </w:p>
        </w:tc>
        <w:tc>
          <w:tcPr>
            <w:tcW w:type="dxa" w:w="3249"/>
            <w:shd w:val="clear" w:fill="F2F6FA"/>
          </w:tcPr>
          <w:p>
            <w:pPr>
              <w:spacing w:before="40" w:after="40"/>
            </w:pPr>
            <w:r>
              <w:rPr>
                <w:rFonts w:ascii="Calibri" w:hAnsi="Calibri"/>
                <w:b w:val="0"/>
                <w:i w:val="0"/>
                <w:color w:val="333333"/>
                <w:sz w:val="17"/>
              </w:rPr>
              <w:t>A.8.13</w:t>
            </w:r>
          </w:p>
        </w:tc>
        <w:tc>
          <w:tcPr>
            <w:tcW w:type="dxa" w:w="3249"/>
            <w:shd w:val="clear" w:fill="F2F6FA"/>
          </w:tcPr>
          <w:p>
            <w:pPr>
              <w:spacing w:before="40" w:after="40"/>
            </w:pPr>
            <w:r>
              <w:rPr>
                <w:rFonts w:ascii="Calibri" w:hAnsi="Calibri"/>
                <w:b w:val="0"/>
                <w:i w:val="0"/>
                <w:color w:val="333333"/>
                <w:sz w:val="17"/>
              </w:rPr>
              <w:t>§13</w:t>
            </w:r>
          </w:p>
        </w:tc>
      </w:tr>
      <w:tr>
        <w:tc>
          <w:tcPr>
            <w:tcW w:type="dxa" w:w="3249"/>
          </w:tcPr>
          <w:p>
            <w:pPr>
              <w:spacing w:before="40" w:after="40"/>
            </w:pPr>
            <w:r>
              <w:rPr>
                <w:rFonts w:ascii="Calibri" w:hAnsi="Calibri"/>
                <w:b w:val="0"/>
                <w:i w:val="0"/>
                <w:color w:val="333333"/>
                <w:sz w:val="17"/>
              </w:rPr>
              <w:t>Journalisation et supervision</w:t>
            </w:r>
          </w:p>
        </w:tc>
        <w:tc>
          <w:tcPr>
            <w:tcW w:type="dxa" w:w="3249"/>
          </w:tcPr>
          <w:p>
            <w:pPr>
              <w:spacing w:before="40" w:after="40"/>
            </w:pPr>
            <w:r>
              <w:rPr>
                <w:rFonts w:ascii="Calibri" w:hAnsi="Calibri"/>
                <w:b w:val="0"/>
                <w:i w:val="0"/>
                <w:color w:val="333333"/>
                <w:sz w:val="17"/>
              </w:rPr>
              <w:t>A.8.15–8.16</w:t>
            </w:r>
          </w:p>
        </w:tc>
        <w:tc>
          <w:tcPr>
            <w:tcW w:type="dxa" w:w="3249"/>
          </w:tcPr>
          <w:p>
            <w:pPr>
              <w:spacing w:before="40" w:after="40"/>
            </w:pPr>
            <w:r>
              <w:rPr>
                <w:rFonts w:ascii="Calibri" w:hAnsi="Calibri"/>
                <w:b w:val="0"/>
                <w:i w:val="0"/>
                <w:color w:val="333333"/>
                <w:sz w:val="17"/>
              </w:rPr>
              <w:t>§11</w:t>
            </w:r>
          </w:p>
        </w:tc>
      </w:tr>
      <w:tr>
        <w:tc>
          <w:tcPr>
            <w:tcW w:type="dxa" w:w="3249"/>
            <w:shd w:val="clear" w:fill="F2F6FA"/>
          </w:tcPr>
          <w:p>
            <w:pPr>
              <w:spacing w:before="40" w:after="40"/>
            </w:pPr>
            <w:r>
              <w:rPr>
                <w:rFonts w:ascii="Calibri" w:hAnsi="Calibri"/>
                <w:b w:val="0"/>
                <w:i w:val="0"/>
                <w:color w:val="333333"/>
                <w:sz w:val="17"/>
              </w:rPr>
              <w:t>Sécurité et cloisonnement réseau</w:t>
            </w:r>
          </w:p>
        </w:tc>
        <w:tc>
          <w:tcPr>
            <w:tcW w:type="dxa" w:w="3249"/>
            <w:shd w:val="clear" w:fill="F2F6FA"/>
          </w:tcPr>
          <w:p>
            <w:pPr>
              <w:spacing w:before="40" w:after="40"/>
            </w:pPr>
            <w:r>
              <w:rPr>
                <w:rFonts w:ascii="Calibri" w:hAnsi="Calibri"/>
                <w:b w:val="0"/>
                <w:i w:val="0"/>
                <w:color w:val="333333"/>
                <w:sz w:val="17"/>
              </w:rPr>
              <w:t>A.8.20–8.22</w:t>
            </w:r>
          </w:p>
        </w:tc>
        <w:tc>
          <w:tcPr>
            <w:tcW w:type="dxa" w:w="3249"/>
            <w:shd w:val="clear" w:fill="F2F6FA"/>
          </w:tcPr>
          <w:p>
            <w:pPr>
              <w:spacing w:before="40" w:after="40"/>
            </w:pPr>
            <w:r>
              <w:rPr>
                <w:rFonts w:ascii="Calibri" w:hAnsi="Calibri"/>
                <w:b w:val="0"/>
                <w:i w:val="0"/>
                <w:color w:val="333333"/>
                <w:sz w:val="17"/>
              </w:rPr>
              <w:t>Doc 1 §10.2, §10</w:t>
            </w:r>
          </w:p>
        </w:tc>
      </w:tr>
      <w:tr>
        <w:tc>
          <w:tcPr>
            <w:tcW w:type="dxa" w:w="3249"/>
          </w:tcPr>
          <w:p>
            <w:pPr>
              <w:spacing w:before="40" w:after="40"/>
            </w:pPr>
            <w:r>
              <w:rPr>
                <w:rFonts w:ascii="Calibri" w:hAnsi="Calibri"/>
                <w:b w:val="0"/>
                <w:i w:val="0"/>
                <w:color w:val="333333"/>
                <w:sz w:val="17"/>
              </w:rPr>
              <w:t>Développement sécurisé</w:t>
            </w:r>
          </w:p>
        </w:tc>
        <w:tc>
          <w:tcPr>
            <w:tcW w:type="dxa" w:w="3249"/>
          </w:tcPr>
          <w:p>
            <w:pPr>
              <w:spacing w:before="40" w:after="40"/>
            </w:pPr>
            <w:r>
              <w:rPr>
                <w:rFonts w:ascii="Calibri" w:hAnsi="Calibri"/>
                <w:b w:val="0"/>
                <w:i w:val="0"/>
                <w:color w:val="333333"/>
                <w:sz w:val="17"/>
              </w:rPr>
              <w:t>A.8.25–8.29</w:t>
            </w:r>
          </w:p>
        </w:tc>
        <w:tc>
          <w:tcPr>
            <w:tcW w:type="dxa" w:w="3249"/>
          </w:tcPr>
          <w:p>
            <w:pPr>
              <w:spacing w:before="40" w:after="40"/>
            </w:pPr>
            <w:r>
              <w:rPr>
                <w:rFonts w:ascii="Calibri" w:hAnsi="Calibri"/>
                <w:b w:val="0"/>
                <w:i w:val="0"/>
                <w:color w:val="333333"/>
                <w:sz w:val="17"/>
              </w:rPr>
              <w:t>§16.3</w:t>
            </w:r>
          </w:p>
        </w:tc>
      </w:tr>
      <w:tr>
        <w:tc>
          <w:tcPr>
            <w:tcW w:type="dxa" w:w="3249"/>
            <w:shd w:val="clear" w:fill="F2F6FA"/>
          </w:tcPr>
          <w:p>
            <w:pPr>
              <w:spacing w:before="40" w:after="40"/>
            </w:pPr>
            <w:r>
              <w:rPr>
                <w:rFonts w:ascii="Calibri" w:hAnsi="Calibri"/>
                <w:b w:val="0"/>
                <w:i w:val="0"/>
                <w:color w:val="333333"/>
                <w:sz w:val="17"/>
              </w:rPr>
              <w:t>Gestion des changements</w:t>
            </w:r>
          </w:p>
        </w:tc>
        <w:tc>
          <w:tcPr>
            <w:tcW w:type="dxa" w:w="3249"/>
            <w:shd w:val="clear" w:fill="F2F6FA"/>
          </w:tcPr>
          <w:p>
            <w:pPr>
              <w:spacing w:before="40" w:after="40"/>
            </w:pPr>
            <w:r>
              <w:rPr>
                <w:rFonts w:ascii="Calibri" w:hAnsi="Calibri"/>
                <w:b w:val="0"/>
                <w:i w:val="0"/>
                <w:color w:val="333333"/>
                <w:sz w:val="17"/>
              </w:rPr>
              <w:t>A.8.32</w:t>
            </w:r>
          </w:p>
        </w:tc>
        <w:tc>
          <w:tcPr>
            <w:tcW w:type="dxa" w:w="3249"/>
            <w:shd w:val="clear" w:fill="F2F6FA"/>
          </w:tcPr>
          <w:p>
            <w:pPr>
              <w:spacing w:before="40" w:after="40"/>
            </w:pPr>
            <w:r>
              <w:rPr>
                <w:rFonts w:ascii="Calibri" w:hAnsi="Calibri"/>
                <w:b w:val="0"/>
                <w:i w:val="0"/>
                <w:color w:val="333333"/>
                <w:sz w:val="17"/>
              </w:rPr>
              <w:t>§16.3</w:t>
            </w:r>
          </w:p>
        </w:tc>
      </w:tr>
      <w:tr>
        <w:tc>
          <w:tcPr>
            <w:tcW w:type="dxa" w:w="3249"/>
          </w:tcPr>
          <w:p>
            <w:pPr>
              <w:spacing w:before="40" w:after="40"/>
            </w:pPr>
            <w:r>
              <w:rPr>
                <w:rFonts w:ascii="Calibri" w:hAnsi="Calibri"/>
                <w:b w:val="0"/>
                <w:i w:val="0"/>
                <w:color w:val="333333"/>
                <w:sz w:val="17"/>
              </w:rPr>
              <w:t>Données de test</w:t>
            </w:r>
          </w:p>
        </w:tc>
        <w:tc>
          <w:tcPr>
            <w:tcW w:type="dxa" w:w="3249"/>
          </w:tcPr>
          <w:p>
            <w:pPr>
              <w:spacing w:before="40" w:after="40"/>
            </w:pPr>
            <w:r>
              <w:rPr>
                <w:rFonts w:ascii="Calibri" w:hAnsi="Calibri"/>
                <w:b w:val="0"/>
                <w:i w:val="0"/>
                <w:color w:val="333333"/>
                <w:sz w:val="17"/>
              </w:rPr>
              <w:t>A.8.33</w:t>
            </w:r>
          </w:p>
        </w:tc>
        <w:tc>
          <w:tcPr>
            <w:tcW w:type="dxa" w:w="3249"/>
          </w:tcPr>
          <w:p>
            <w:pPr>
              <w:spacing w:before="40" w:after="40"/>
            </w:pPr>
            <w:r>
              <w:rPr>
                <w:rFonts w:ascii="Calibri" w:hAnsi="Calibri"/>
                <w:b w:val="0"/>
                <w:i w:val="0"/>
                <w:color w:val="333333"/>
                <w:sz w:val="17"/>
              </w:rPr>
              <w:t>§16.3 — données anonymisées en recette</w:t>
            </w:r>
          </w:p>
        </w:tc>
      </w:tr>
    </w:tbl>
    <w:p>
      <w:pPr>
        <w:spacing w:after="40"/>
      </w:pPr>
    </w:p>
    <w:p>
      <w:pPr>
        <w:pStyle w:val="Heading1"/>
        <w:pageBreakBefore/>
        <w:spacing w:before="360" w:after="80"/>
        <w:keepNext/>
        <w:pBdr>
          <w:bottom w:val="single" w:sz="8" w:space="6" w:color="1B3A5C"/>
        </w:pBdr>
      </w:pPr>
      <w:bookmarkStart w:id="155" w:name="_Toc_s054"/>
      <w:r>
        <w:rPr>
          <w:rFonts w:ascii="Calibri" w:hAnsi="Calibri"/>
          <w:b/>
          <w:color w:val="1B3A5C"/>
          <w:sz w:val="30"/>
        </w:rPr>
        <w:t>16. Assurance</w:t>
      </w:r>
      <w:bookmarkEnd w:id="155"/>
    </w:p>
    <w:p>
      <w:pPr>
        <w:pStyle w:val="Heading2"/>
        <w:spacing w:before="280" w:after="80"/>
        <w:keepNext/>
      </w:pPr>
      <w:bookmarkStart w:id="156" w:name="_Toc_s055"/>
      <w:r>
        <w:rPr>
          <w:rFonts w:ascii="Calibri" w:hAnsi="Calibri"/>
          <w:b/>
          <w:color w:val="1B3A5C"/>
          <w:sz w:val="24"/>
        </w:rPr>
        <w:t>16.1 Réponse aux incidents</w:t>
      </w:r>
      <w:bookmarkEnd w:id="15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Étape</w:t>
            </w:r>
          </w:p>
        </w:tc>
        <w:tc>
          <w:tcPr>
            <w:tcW w:type="dxa" w:w="3249"/>
            <w:shd w:val="clear" w:fill="1B3A5C"/>
          </w:tcPr>
          <w:p>
            <w:pPr>
              <w:spacing w:before="60" w:after="60"/>
            </w:pPr>
            <w:r>
              <w:rPr>
                <w:rFonts w:ascii="Calibri" w:hAnsi="Calibri"/>
                <w:b/>
                <w:color w:val="FFFFFF"/>
                <w:sz w:val="17"/>
              </w:rPr>
              <w:t>Action</w:t>
            </w:r>
          </w:p>
        </w:tc>
        <w:tc>
          <w:tcPr>
            <w:tcW w:type="dxa" w:w="3249"/>
            <w:shd w:val="clear" w:fill="1B3A5C"/>
          </w:tcPr>
          <w:p>
            <w:pPr>
              <w:spacing w:before="60" w:after="60"/>
            </w:pPr>
            <w:r>
              <w:rPr>
                <w:rFonts w:ascii="Calibri" w:hAnsi="Calibri"/>
                <w:b/>
                <w:color w:val="FFFFFF"/>
                <w:sz w:val="17"/>
              </w:rPr>
              <w:t>Délai</w:t>
            </w:r>
          </w:p>
        </w:tc>
      </w:tr>
      <w:tr>
        <w:tc>
          <w:tcPr>
            <w:tcW w:type="dxa" w:w="3249"/>
          </w:tcPr>
          <w:p>
            <w:pPr>
              <w:spacing w:before="40" w:after="40"/>
            </w:pPr>
            <w:r>
              <w:rPr>
                <w:rFonts w:ascii="Calibri" w:hAnsi="Calibri"/>
                <w:b w:val="0"/>
                <w:i w:val="0"/>
                <w:color w:val="333333"/>
                <w:sz w:val="17"/>
              </w:rPr>
              <w:t>1. Détecter</w:t>
            </w:r>
          </w:p>
        </w:tc>
        <w:tc>
          <w:tcPr>
            <w:tcW w:type="dxa" w:w="3249"/>
          </w:tcPr>
          <w:p>
            <w:pPr>
              <w:spacing w:before="40" w:after="40"/>
            </w:pPr>
            <w:r>
              <w:rPr>
                <w:rFonts w:ascii="Calibri" w:hAnsi="Calibri"/>
                <w:b w:val="0"/>
                <w:i w:val="0"/>
                <w:color w:val="333333"/>
                <w:sz w:val="17"/>
              </w:rPr>
              <w:t>Alerte, signalement utilisateur ou supervision</w:t>
            </w:r>
          </w:p>
        </w:tc>
        <w:tc>
          <w:tcPr>
            <w:tcW w:type="dxa" w:w="3249"/>
          </w:tcPr>
          <w:p>
            <w:pPr>
              <w:spacing w:before="40" w:after="40"/>
            </w:pPr>
            <w:r>
              <w:rPr>
                <w:rFonts w:ascii="Calibri" w:hAnsi="Calibri"/>
                <w:b w:val="0"/>
                <w:i w:val="0"/>
                <w:color w:val="333333"/>
                <w:sz w:val="17"/>
              </w:rPr>
              <w:t>En continu</w:t>
            </w:r>
          </w:p>
        </w:tc>
      </w:tr>
      <w:tr>
        <w:tc>
          <w:tcPr>
            <w:tcW w:type="dxa" w:w="3249"/>
            <w:shd w:val="clear" w:fill="F2F6FA"/>
          </w:tcPr>
          <w:p>
            <w:pPr>
              <w:spacing w:before="40" w:after="40"/>
            </w:pPr>
            <w:r>
              <w:rPr>
                <w:rFonts w:ascii="Calibri" w:hAnsi="Calibri"/>
                <w:b w:val="0"/>
                <w:i w:val="0"/>
                <w:color w:val="333333"/>
                <w:sz w:val="17"/>
              </w:rPr>
              <w:t>2. Qualifier</w:t>
            </w:r>
          </w:p>
        </w:tc>
        <w:tc>
          <w:tcPr>
            <w:tcW w:type="dxa" w:w="3249"/>
            <w:shd w:val="clear" w:fill="F2F6FA"/>
          </w:tcPr>
          <w:p>
            <w:pPr>
              <w:spacing w:before="40" w:after="40"/>
            </w:pPr>
            <w:r>
              <w:rPr>
                <w:rFonts w:ascii="Calibri" w:hAnsi="Calibri"/>
                <w:b w:val="0"/>
                <w:i w:val="0"/>
                <w:color w:val="333333"/>
                <w:sz w:val="17"/>
              </w:rPr>
              <w:t>Gravité évaluée selon l'échelle ci-dessous</w:t>
            </w:r>
          </w:p>
        </w:tc>
        <w:tc>
          <w:tcPr>
            <w:tcW w:type="dxa" w:w="3249"/>
            <w:shd w:val="clear" w:fill="F2F6FA"/>
          </w:tcPr>
          <w:p>
            <w:pPr>
              <w:spacing w:before="40" w:after="40"/>
            </w:pPr>
            <w:r>
              <w:rPr>
                <w:rFonts w:ascii="Calibri" w:hAnsi="Calibri"/>
                <w:b w:val="0"/>
                <w:i w:val="0"/>
                <w:color w:val="333333"/>
                <w:sz w:val="17"/>
              </w:rPr>
              <w:t>≤ 1 h</w:t>
            </w:r>
          </w:p>
        </w:tc>
      </w:tr>
      <w:tr>
        <w:tc>
          <w:tcPr>
            <w:tcW w:type="dxa" w:w="3249"/>
          </w:tcPr>
          <w:p>
            <w:pPr>
              <w:spacing w:before="40" w:after="40"/>
            </w:pPr>
            <w:r>
              <w:rPr>
                <w:rFonts w:ascii="Calibri" w:hAnsi="Calibri"/>
                <w:b w:val="0"/>
                <w:i w:val="0"/>
                <w:color w:val="333333"/>
                <w:sz w:val="17"/>
              </w:rPr>
              <w:t>3. Contenir</w:t>
            </w:r>
          </w:p>
        </w:tc>
        <w:tc>
          <w:tcPr>
            <w:tcW w:type="dxa" w:w="3249"/>
          </w:tcPr>
          <w:p>
            <w:pPr>
              <w:spacing w:before="40" w:after="40"/>
            </w:pPr>
            <w:r>
              <w:rPr>
                <w:rFonts w:ascii="Calibri" w:hAnsi="Calibri"/>
                <w:b w:val="0"/>
                <w:i w:val="0"/>
                <w:color w:val="333333"/>
                <w:sz w:val="17"/>
              </w:rPr>
              <w:t>Désactiver le compte, révoquer la clé, isoler le terminal, bloquer la carte</w:t>
            </w:r>
          </w:p>
        </w:tc>
        <w:tc>
          <w:tcPr>
            <w:tcW w:type="dxa" w:w="3249"/>
          </w:tcPr>
          <w:p>
            <w:pPr>
              <w:spacing w:before="40" w:after="40"/>
            </w:pPr>
            <w:r>
              <w:rPr>
                <w:rFonts w:ascii="Calibri" w:hAnsi="Calibri"/>
                <w:b w:val="0"/>
                <w:i w:val="0"/>
                <w:color w:val="333333"/>
                <w:sz w:val="17"/>
              </w:rPr>
              <w:t>≤ 4 h (critique)</w:t>
            </w:r>
          </w:p>
        </w:tc>
      </w:tr>
      <w:tr>
        <w:tc>
          <w:tcPr>
            <w:tcW w:type="dxa" w:w="3249"/>
            <w:shd w:val="clear" w:fill="F2F6FA"/>
          </w:tcPr>
          <w:p>
            <w:pPr>
              <w:spacing w:before="40" w:after="40"/>
            </w:pPr>
            <w:r>
              <w:rPr>
                <w:rFonts w:ascii="Calibri" w:hAnsi="Calibri"/>
                <w:b w:val="0"/>
                <w:i w:val="0"/>
                <w:color w:val="333333"/>
                <w:sz w:val="17"/>
              </w:rPr>
              <w:t>4. Notifier</w:t>
            </w:r>
          </w:p>
        </w:tc>
        <w:tc>
          <w:tcPr>
            <w:tcW w:type="dxa" w:w="3249"/>
            <w:shd w:val="clear" w:fill="F2F6FA"/>
          </w:tcPr>
          <w:p>
            <w:pPr>
              <w:spacing w:before="40" w:after="40"/>
            </w:pPr>
            <w:r>
              <w:rPr>
                <w:rFonts w:ascii="Calibri" w:hAnsi="Calibri"/>
                <w:b w:val="0"/>
                <w:i w:val="0"/>
                <w:color w:val="333333"/>
                <w:sz w:val="17"/>
              </w:rPr>
              <w:t>Contact incident SUNU ; CIL en cas de violation de données personnelles ; personnes assurées si la loi l'exige</w:t>
            </w:r>
          </w:p>
        </w:tc>
        <w:tc>
          <w:tcPr>
            <w:tcW w:type="dxa" w:w="3249"/>
            <w:shd w:val="clear" w:fill="F2F6FA"/>
          </w:tcPr>
          <w:p>
            <w:pPr>
              <w:spacing w:before="40" w:after="40"/>
            </w:pPr>
            <w:r>
              <w:rPr>
                <w:rFonts w:ascii="Calibri" w:hAnsi="Calibri"/>
                <w:b w:val="0"/>
                <w:i w:val="0"/>
                <w:color w:val="333333"/>
                <w:sz w:val="17"/>
              </w:rPr>
              <w:t>Selon le délai légal</w:t>
            </w:r>
          </w:p>
        </w:tc>
      </w:tr>
      <w:tr>
        <w:tc>
          <w:tcPr>
            <w:tcW w:type="dxa" w:w="3249"/>
          </w:tcPr>
          <w:p>
            <w:pPr>
              <w:spacing w:before="40" w:after="40"/>
            </w:pPr>
            <w:r>
              <w:rPr>
                <w:rFonts w:ascii="Calibri" w:hAnsi="Calibri"/>
                <w:b w:val="0"/>
                <w:i w:val="0"/>
                <w:color w:val="333333"/>
                <w:sz w:val="17"/>
              </w:rPr>
              <w:t>5. Éradiquer et rétablir</w:t>
            </w:r>
          </w:p>
        </w:tc>
        <w:tc>
          <w:tcPr>
            <w:tcW w:type="dxa" w:w="3249"/>
          </w:tcPr>
          <w:p>
            <w:pPr>
              <w:spacing w:before="40" w:after="40"/>
            </w:pPr>
            <w:r>
              <w:rPr>
                <w:rFonts w:ascii="Calibri" w:hAnsi="Calibri"/>
                <w:b w:val="0"/>
                <w:i w:val="0"/>
                <w:color w:val="333333"/>
                <w:sz w:val="17"/>
              </w:rPr>
              <w:t>Corriger, restaurer depuis sauvegarde si nécessaire, vérifier l'intégrité</w:t>
            </w:r>
          </w:p>
        </w:tc>
        <w:tc>
          <w:tcPr>
            <w:tcW w:type="dxa" w:w="3249"/>
          </w:tcPr>
          <w:p>
            <w:pPr>
              <w:spacing w:before="40" w:after="40"/>
            </w:pPr>
            <w:r>
              <w:rPr>
                <w:rFonts w:ascii="Calibri" w:hAnsi="Calibri"/>
                <w:b w:val="0"/>
                <w:i w:val="0"/>
                <w:color w:val="333333"/>
                <w:sz w:val="17"/>
              </w:rPr>
              <w:t>Selon la gravité</w:t>
            </w:r>
          </w:p>
        </w:tc>
      </w:tr>
      <w:tr>
        <w:tc>
          <w:tcPr>
            <w:tcW w:type="dxa" w:w="3249"/>
            <w:shd w:val="clear" w:fill="F2F6FA"/>
          </w:tcPr>
          <w:p>
            <w:pPr>
              <w:spacing w:before="40" w:after="40"/>
            </w:pPr>
            <w:r>
              <w:rPr>
                <w:rFonts w:ascii="Calibri" w:hAnsi="Calibri"/>
                <w:b w:val="0"/>
                <w:i w:val="0"/>
                <w:color w:val="333333"/>
                <w:sz w:val="17"/>
              </w:rPr>
              <w:t>6. Revoir</w:t>
            </w:r>
          </w:p>
        </w:tc>
        <w:tc>
          <w:tcPr>
            <w:tcW w:type="dxa" w:w="3249"/>
            <w:shd w:val="clear" w:fill="F2F6FA"/>
          </w:tcPr>
          <w:p>
            <w:pPr>
              <w:spacing w:before="40" w:after="40"/>
            </w:pPr>
            <w:r>
              <w:rPr>
                <w:rFonts w:ascii="Calibri" w:hAnsi="Calibri"/>
                <w:b w:val="0"/>
                <w:i w:val="0"/>
                <w:color w:val="333333"/>
                <w:sz w:val="17"/>
              </w:rPr>
              <w:t>Rapport post-incident écrit, cause racine, actions correctives avec responsables et dates</w:t>
            </w:r>
          </w:p>
        </w:tc>
        <w:tc>
          <w:tcPr>
            <w:tcW w:type="dxa" w:w="3249"/>
            <w:shd w:val="clear" w:fill="F2F6FA"/>
          </w:tcPr>
          <w:p>
            <w:pPr>
              <w:spacing w:before="40" w:after="40"/>
            </w:pPr>
            <w:r>
              <w:rPr>
                <w:rFonts w:ascii="Calibri" w:hAnsi="Calibri"/>
                <w:b w:val="0"/>
                <w:i w:val="0"/>
                <w:color w:val="333333"/>
                <w:sz w:val="17"/>
              </w:rPr>
              <w:t>≤ 10 jours ouvrés</w:t>
            </w:r>
          </w:p>
        </w:tc>
      </w:tr>
    </w:tbl>
    <w:p>
      <w:pPr>
        <w:spacing w:after="40"/>
      </w:pP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Gravité</w:t>
            </w:r>
          </w:p>
        </w:tc>
        <w:tc>
          <w:tcPr>
            <w:tcW w:type="dxa" w:w="3249"/>
            <w:shd w:val="clear" w:fill="1B3A5C"/>
          </w:tcPr>
          <w:p>
            <w:pPr>
              <w:spacing w:before="60" w:after="60"/>
            </w:pPr>
            <w:r>
              <w:rPr>
                <w:rFonts w:ascii="Calibri" w:hAnsi="Calibri"/>
                <w:b/>
                <w:color w:val="FFFFFF"/>
                <w:sz w:val="17"/>
              </w:rPr>
              <w:t>Définition</w:t>
            </w:r>
          </w:p>
        </w:tc>
        <w:tc>
          <w:tcPr>
            <w:tcW w:type="dxa" w:w="3249"/>
            <w:shd w:val="clear" w:fill="1B3A5C"/>
          </w:tcPr>
          <w:p>
            <w:pPr>
              <w:spacing w:before="60" w:after="60"/>
            </w:pPr>
            <w:r>
              <w:rPr>
                <w:rFonts w:ascii="Calibri" w:hAnsi="Calibri"/>
                <w:b/>
                <w:color w:val="FFFFFF"/>
                <w:sz w:val="17"/>
              </w:rPr>
              <w:t>Exemples</w:t>
            </w:r>
          </w:p>
        </w:tc>
      </w:tr>
      <w:tr>
        <w:tc>
          <w:tcPr>
            <w:tcW w:type="dxa" w:w="3249"/>
          </w:tcPr>
          <w:p>
            <w:pPr>
              <w:spacing w:before="40" w:after="40"/>
            </w:pPr>
            <w:r>
              <w:rPr>
                <w:rFonts w:ascii="Calibri" w:hAnsi="Calibri"/>
                <w:b/>
                <w:i w:val="0"/>
                <w:color w:val="333333"/>
                <w:sz w:val="17"/>
              </w:rPr>
              <w:t>Critique</w:t>
            </w:r>
          </w:p>
        </w:tc>
        <w:tc>
          <w:tcPr>
            <w:tcW w:type="dxa" w:w="3249"/>
          </w:tcPr>
          <w:p>
            <w:pPr>
              <w:spacing w:before="40" w:after="40"/>
            </w:pPr>
            <w:r>
              <w:rPr>
                <w:rFonts w:ascii="Calibri" w:hAnsi="Calibri"/>
                <w:b w:val="0"/>
                <w:i w:val="0"/>
                <w:color w:val="333333"/>
                <w:sz w:val="17"/>
              </w:rPr>
              <w:t>Violation de données personnelles, fraude systémique, panne totale</w:t>
            </w:r>
          </w:p>
        </w:tc>
        <w:tc>
          <w:tcPr>
            <w:tcW w:type="dxa" w:w="3249"/>
          </w:tcPr>
          <w:p>
            <w:pPr>
              <w:spacing w:before="40" w:after="40"/>
            </w:pPr>
            <w:r>
              <w:rPr>
                <w:rFonts w:ascii="Calibri" w:hAnsi="Calibri"/>
                <w:b w:val="0"/>
                <w:i w:val="0"/>
                <w:color w:val="333333"/>
                <w:sz w:val="17"/>
              </w:rPr>
              <w:t>Exfiltration de la base, compromission d'un compte administrateur</w:t>
            </w:r>
          </w:p>
        </w:tc>
      </w:tr>
      <w:tr>
        <w:tc>
          <w:tcPr>
            <w:tcW w:type="dxa" w:w="3249"/>
            <w:shd w:val="clear" w:fill="F2F6FA"/>
          </w:tcPr>
          <w:p>
            <w:pPr>
              <w:spacing w:before="40" w:after="40"/>
            </w:pPr>
            <w:r>
              <w:rPr>
                <w:rFonts w:ascii="Calibri" w:hAnsi="Calibri"/>
                <w:b/>
                <w:i w:val="0"/>
                <w:color w:val="333333"/>
                <w:sz w:val="17"/>
              </w:rPr>
              <w:t>Élevée</w:t>
            </w:r>
          </w:p>
        </w:tc>
        <w:tc>
          <w:tcPr>
            <w:tcW w:type="dxa" w:w="3249"/>
            <w:shd w:val="clear" w:fill="F2F6FA"/>
          </w:tcPr>
          <w:p>
            <w:pPr>
              <w:spacing w:before="40" w:after="40"/>
            </w:pPr>
            <w:r>
              <w:rPr>
                <w:rFonts w:ascii="Calibri" w:hAnsi="Calibri"/>
                <w:b w:val="0"/>
                <w:i w:val="0"/>
                <w:color w:val="333333"/>
                <w:sz w:val="17"/>
              </w:rPr>
              <w:t>Fraude localisée, perte d'un terminal avec données, compromission d'intégration</w:t>
            </w:r>
          </w:p>
        </w:tc>
        <w:tc>
          <w:tcPr>
            <w:tcW w:type="dxa" w:w="3249"/>
            <w:shd w:val="clear" w:fill="F2F6FA"/>
          </w:tcPr>
          <w:p>
            <w:pPr>
              <w:spacing w:before="40" w:after="40"/>
            </w:pPr>
            <w:r>
              <w:rPr>
                <w:rFonts w:ascii="Calibri" w:hAnsi="Calibri"/>
                <w:b w:val="0"/>
                <w:i w:val="0"/>
                <w:color w:val="333333"/>
                <w:sz w:val="17"/>
              </w:rPr>
              <w:t>Collecteur malhonnête, terminal volé</w:t>
            </w:r>
          </w:p>
        </w:tc>
      </w:tr>
      <w:tr>
        <w:tc>
          <w:tcPr>
            <w:tcW w:type="dxa" w:w="3249"/>
          </w:tcPr>
          <w:p>
            <w:pPr>
              <w:spacing w:before="40" w:after="40"/>
            </w:pPr>
            <w:r>
              <w:rPr>
                <w:rFonts w:ascii="Calibri" w:hAnsi="Calibri"/>
                <w:b/>
                <w:i w:val="0"/>
                <w:color w:val="333333"/>
                <w:sz w:val="17"/>
              </w:rPr>
              <w:t>Moyenne</w:t>
            </w:r>
          </w:p>
        </w:tc>
        <w:tc>
          <w:tcPr>
            <w:tcW w:type="dxa" w:w="3249"/>
          </w:tcPr>
          <w:p>
            <w:pPr>
              <w:spacing w:before="40" w:after="40"/>
            </w:pPr>
            <w:r>
              <w:rPr>
                <w:rFonts w:ascii="Calibri" w:hAnsi="Calibri"/>
                <w:b w:val="0"/>
                <w:i w:val="0"/>
                <w:color w:val="333333"/>
                <w:sz w:val="17"/>
              </w:rPr>
              <w:t>Tentative sans impact, dysfonctionnement isolé</w:t>
            </w:r>
          </w:p>
        </w:tc>
        <w:tc>
          <w:tcPr>
            <w:tcW w:type="dxa" w:w="3249"/>
          </w:tcPr>
          <w:p>
            <w:pPr>
              <w:spacing w:before="40" w:after="40"/>
            </w:pPr>
            <w:r>
              <w:rPr>
                <w:rFonts w:ascii="Calibri" w:hAnsi="Calibri"/>
                <w:b w:val="0"/>
                <w:i w:val="0"/>
                <w:color w:val="333333"/>
                <w:sz w:val="17"/>
              </w:rPr>
              <w:t>Tentative de force brute bloquée</w:t>
            </w:r>
          </w:p>
        </w:tc>
      </w:tr>
      <w:tr>
        <w:tc>
          <w:tcPr>
            <w:tcW w:type="dxa" w:w="3249"/>
            <w:shd w:val="clear" w:fill="F2F6FA"/>
          </w:tcPr>
          <w:p>
            <w:pPr>
              <w:spacing w:before="40" w:after="40"/>
            </w:pPr>
            <w:r>
              <w:rPr>
                <w:rFonts w:ascii="Calibri" w:hAnsi="Calibri"/>
                <w:b/>
                <w:i w:val="0"/>
                <w:color w:val="333333"/>
                <w:sz w:val="17"/>
              </w:rPr>
              <w:t>Faible</w:t>
            </w:r>
          </w:p>
        </w:tc>
        <w:tc>
          <w:tcPr>
            <w:tcW w:type="dxa" w:w="3249"/>
            <w:shd w:val="clear" w:fill="F2F6FA"/>
          </w:tcPr>
          <w:p>
            <w:pPr>
              <w:spacing w:before="40" w:after="40"/>
            </w:pPr>
            <w:r>
              <w:rPr>
                <w:rFonts w:ascii="Calibri" w:hAnsi="Calibri"/>
                <w:b w:val="0"/>
                <w:i w:val="0"/>
                <w:color w:val="333333"/>
                <w:sz w:val="17"/>
              </w:rPr>
              <w:t>Anomalie mineure</w:t>
            </w:r>
          </w:p>
        </w:tc>
        <w:tc>
          <w:tcPr>
            <w:tcW w:type="dxa" w:w="3249"/>
            <w:shd w:val="clear" w:fill="F2F6FA"/>
          </w:tcPr>
          <w:p>
            <w:pPr>
              <w:spacing w:before="40" w:after="40"/>
            </w:pPr>
            <w:r>
              <w:rPr>
                <w:rFonts w:ascii="Calibri" w:hAnsi="Calibri"/>
                <w:b w:val="0"/>
                <w:i w:val="0"/>
                <w:color w:val="333333"/>
                <w:sz w:val="17"/>
              </w:rPr>
              <w:t>Erreur de configuration isolée</w:t>
            </w:r>
          </w:p>
        </w:tc>
      </w:tr>
    </w:tbl>
    <w:p>
      <w:pPr>
        <w:spacing w:after="40"/>
      </w:pPr>
    </w:p>
    <w:p>
      <w:pPr>
        <w:pStyle w:val="Heading2"/>
        <w:spacing w:before="280" w:after="80"/>
        <w:keepNext/>
      </w:pPr>
      <w:bookmarkStart w:id="157" w:name="_Toc_s056"/>
      <w:r>
        <w:rPr>
          <w:rFonts w:ascii="Calibri" w:hAnsi="Calibri"/>
          <w:b/>
          <w:color w:val="1B3A5C"/>
          <w:sz w:val="24"/>
        </w:rPr>
        <w:t>16.2 Tests avant mise en service</w:t>
      </w:r>
      <w:bookmarkEnd w:id="15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Test</w:t>
            </w:r>
          </w:p>
        </w:tc>
        <w:tc>
          <w:tcPr>
            <w:tcW w:type="dxa" w:w="3249"/>
            <w:shd w:val="clear" w:fill="1B3A5C"/>
          </w:tcPr>
          <w:p>
            <w:pPr>
              <w:spacing w:before="60" w:after="60"/>
            </w:pPr>
            <w:r>
              <w:rPr>
                <w:rFonts w:ascii="Calibri" w:hAnsi="Calibri"/>
                <w:b/>
                <w:color w:val="FFFFFF"/>
                <w:sz w:val="17"/>
              </w:rPr>
              <w:t>Périmètre</w:t>
            </w:r>
          </w:p>
        </w:tc>
        <w:tc>
          <w:tcPr>
            <w:tcW w:type="dxa" w:w="3249"/>
            <w:shd w:val="clear" w:fill="1B3A5C"/>
          </w:tcPr>
          <w:p>
            <w:pPr>
              <w:spacing w:before="60" w:after="60"/>
            </w:pPr>
            <w:r>
              <w:rPr>
                <w:rFonts w:ascii="Calibri" w:hAnsi="Calibri"/>
                <w:b/>
                <w:color w:val="FFFFFF"/>
                <w:sz w:val="17"/>
              </w:rPr>
              <w:t>Quand</w:t>
            </w:r>
          </w:p>
        </w:tc>
      </w:tr>
      <w:tr>
        <w:tc>
          <w:tcPr>
            <w:tcW w:type="dxa" w:w="3249"/>
          </w:tcPr>
          <w:p>
            <w:pPr>
              <w:spacing w:before="40" w:after="40"/>
            </w:pPr>
            <w:r>
              <w:rPr>
                <w:rFonts w:ascii="Calibri" w:hAnsi="Calibri"/>
                <w:b w:val="0"/>
                <w:i w:val="0"/>
                <w:color w:val="333333"/>
                <w:sz w:val="17"/>
              </w:rPr>
              <w:t>Test d'authentification et d'habilitations</w:t>
            </w:r>
          </w:p>
        </w:tc>
        <w:tc>
          <w:tcPr>
            <w:tcW w:type="dxa" w:w="3249"/>
          </w:tcPr>
          <w:p>
            <w:pPr>
              <w:spacing w:before="40" w:after="40"/>
            </w:pPr>
            <w:r>
              <w:rPr>
                <w:rFonts w:ascii="Calibri" w:hAnsi="Calibri"/>
                <w:b w:val="0"/>
                <w:i w:val="0"/>
                <w:color w:val="333333"/>
                <w:sz w:val="17"/>
              </w:rPr>
              <w:t>Chaque profil face à chaque action restreinte, y compris tests négatifs</w:t>
            </w:r>
          </w:p>
        </w:tc>
        <w:tc>
          <w:tcPr>
            <w:tcW w:type="dxa" w:w="3249"/>
          </w:tcPr>
          <w:p>
            <w:pPr>
              <w:spacing w:before="40" w:after="40"/>
            </w:pPr>
            <w:r>
              <w:rPr>
                <w:rFonts w:ascii="Calibri" w:hAnsi="Calibri"/>
                <w:b w:val="0"/>
                <w:i w:val="0"/>
                <w:color w:val="333333"/>
                <w:sz w:val="17"/>
              </w:rPr>
              <w:t>Avant la recette</w:t>
            </w:r>
          </w:p>
        </w:tc>
      </w:tr>
      <w:tr>
        <w:tc>
          <w:tcPr>
            <w:tcW w:type="dxa" w:w="3249"/>
            <w:shd w:val="clear" w:fill="F2F6FA"/>
          </w:tcPr>
          <w:p>
            <w:pPr>
              <w:spacing w:before="40" w:after="40"/>
            </w:pPr>
            <w:r>
              <w:rPr>
                <w:rFonts w:ascii="Calibri" w:hAnsi="Calibri"/>
                <w:b w:val="0"/>
                <w:i w:val="0"/>
                <w:color w:val="333333"/>
                <w:sz w:val="17"/>
              </w:rPr>
              <w:t>Analyse de vulnérabilité applicative</w:t>
            </w:r>
          </w:p>
        </w:tc>
        <w:tc>
          <w:tcPr>
            <w:tcW w:type="dxa" w:w="3249"/>
            <w:shd w:val="clear" w:fill="F2F6FA"/>
          </w:tcPr>
          <w:p>
            <w:pPr>
              <w:spacing w:before="40" w:after="40"/>
            </w:pPr>
            <w:r>
              <w:rPr>
                <w:rFonts w:ascii="Calibri" w:hAnsi="Calibri"/>
                <w:b w:val="0"/>
                <w:i w:val="0"/>
                <w:color w:val="333333"/>
                <w:sz w:val="17"/>
              </w:rPr>
              <w:t>Back-office et API — OWASP Top 10</w:t>
            </w:r>
          </w:p>
        </w:tc>
        <w:tc>
          <w:tcPr>
            <w:tcW w:type="dxa" w:w="3249"/>
            <w:shd w:val="clear" w:fill="F2F6FA"/>
          </w:tcPr>
          <w:p>
            <w:pPr>
              <w:spacing w:before="40" w:after="40"/>
            </w:pPr>
            <w:r>
              <w:rPr>
                <w:rFonts w:ascii="Calibri" w:hAnsi="Calibri"/>
                <w:b w:val="0"/>
                <w:i w:val="0"/>
                <w:color w:val="333333"/>
                <w:sz w:val="17"/>
              </w:rPr>
              <w:t>Avant la recette et avant la production</w:t>
            </w:r>
          </w:p>
        </w:tc>
      </w:tr>
      <w:tr>
        <w:tc>
          <w:tcPr>
            <w:tcW w:type="dxa" w:w="3249"/>
          </w:tcPr>
          <w:p>
            <w:pPr>
              <w:spacing w:before="40" w:after="40"/>
            </w:pPr>
            <w:r>
              <w:rPr>
                <w:rFonts w:ascii="Calibri" w:hAnsi="Calibri"/>
                <w:b w:val="0"/>
                <w:i w:val="0"/>
                <w:color w:val="333333"/>
                <w:sz w:val="17"/>
              </w:rPr>
              <w:t>Revue de l'application TPE</w:t>
            </w:r>
          </w:p>
        </w:tc>
        <w:tc>
          <w:tcPr>
            <w:tcW w:type="dxa" w:w="3249"/>
          </w:tcPr>
          <w:p>
            <w:pPr>
              <w:spacing w:before="40" w:after="40"/>
            </w:pPr>
            <w:r>
              <w:rPr>
                <w:rFonts w:ascii="Calibri" w:hAnsi="Calibri"/>
                <w:b w:val="0"/>
                <w:i w:val="0"/>
                <w:color w:val="333333"/>
                <w:sz w:val="17"/>
              </w:rPr>
              <w:t>Alignée MASVS : stockage, cryptographie, transport, anti-altération</w:t>
            </w:r>
          </w:p>
        </w:tc>
        <w:tc>
          <w:tcPr>
            <w:tcW w:type="dxa" w:w="3249"/>
          </w:tcPr>
          <w:p>
            <w:pPr>
              <w:spacing w:before="40" w:after="40"/>
            </w:pPr>
            <w:r>
              <w:rPr>
                <w:rFonts w:ascii="Calibri" w:hAnsi="Calibri"/>
                <w:b w:val="0"/>
                <w:i w:val="0"/>
                <w:color w:val="333333"/>
                <w:sz w:val="17"/>
              </w:rPr>
              <w:t>Avant le pilote</w:t>
            </w:r>
          </w:p>
        </w:tc>
      </w:tr>
      <w:tr>
        <w:tc>
          <w:tcPr>
            <w:tcW w:type="dxa" w:w="3249"/>
            <w:shd w:val="clear" w:fill="F2F6FA"/>
          </w:tcPr>
          <w:p>
            <w:pPr>
              <w:spacing w:before="40" w:after="40"/>
            </w:pPr>
            <w:r>
              <w:rPr>
                <w:rFonts w:ascii="Calibri" w:hAnsi="Calibri"/>
                <w:b w:val="0"/>
                <w:i w:val="0"/>
                <w:color w:val="333333"/>
                <w:sz w:val="17"/>
              </w:rPr>
              <w:t>Tests de scénarios de fraude</w:t>
            </w:r>
          </w:p>
        </w:tc>
        <w:tc>
          <w:tcPr>
            <w:tcW w:type="dxa" w:w="3249"/>
            <w:shd w:val="clear" w:fill="F2F6FA"/>
          </w:tcPr>
          <w:p>
            <w:pPr>
              <w:spacing w:before="40" w:after="40"/>
            </w:pPr>
            <w:r>
              <w:rPr>
                <w:rFonts w:ascii="Calibri" w:hAnsi="Calibri"/>
                <w:b w:val="0"/>
                <w:i w:val="0"/>
                <w:color w:val="333333"/>
                <w:sz w:val="17"/>
              </w:rPr>
              <w:t>Chaque scénario du §3.2 rejoué en recette</w:t>
            </w:r>
          </w:p>
        </w:tc>
        <w:tc>
          <w:tcPr>
            <w:tcW w:type="dxa" w:w="3249"/>
            <w:shd w:val="clear" w:fill="F2F6FA"/>
          </w:tcPr>
          <w:p>
            <w:pPr>
              <w:spacing w:before="40" w:after="40"/>
            </w:pPr>
            <w:r>
              <w:rPr>
                <w:rFonts w:ascii="Calibri" w:hAnsi="Calibri"/>
                <w:b w:val="0"/>
                <w:i w:val="0"/>
                <w:color w:val="333333"/>
                <w:sz w:val="17"/>
              </w:rPr>
              <w:t>Pendant la recette</w:t>
            </w:r>
          </w:p>
        </w:tc>
      </w:tr>
      <w:tr>
        <w:tc>
          <w:tcPr>
            <w:tcW w:type="dxa" w:w="3249"/>
          </w:tcPr>
          <w:p>
            <w:pPr>
              <w:spacing w:before="40" w:after="40"/>
            </w:pPr>
            <w:r>
              <w:rPr>
                <w:rFonts w:ascii="Calibri" w:hAnsi="Calibri"/>
                <w:b w:val="0"/>
                <w:i w:val="0"/>
                <w:color w:val="333333"/>
                <w:sz w:val="17"/>
              </w:rPr>
              <w:t>Test de restauration</w:t>
            </w:r>
          </w:p>
        </w:tc>
        <w:tc>
          <w:tcPr>
            <w:tcW w:type="dxa" w:w="3249"/>
          </w:tcPr>
          <w:p>
            <w:pPr>
              <w:spacing w:before="40" w:after="40"/>
            </w:pPr>
            <w:r>
              <w:rPr>
                <w:rFonts w:ascii="Calibri" w:hAnsi="Calibri"/>
                <w:b w:val="0"/>
                <w:i w:val="0"/>
                <w:color w:val="333333"/>
                <w:sz w:val="17"/>
              </w:rPr>
              <w:t>Restauration complète depuis sauvegarde dans un environnement vierge</w:t>
            </w:r>
          </w:p>
        </w:tc>
        <w:tc>
          <w:tcPr>
            <w:tcW w:type="dxa" w:w="3249"/>
          </w:tcPr>
          <w:p>
            <w:pPr>
              <w:spacing w:before="40" w:after="40"/>
            </w:pPr>
            <w:r>
              <w:rPr>
                <w:rFonts w:ascii="Calibri" w:hAnsi="Calibri"/>
                <w:b w:val="0"/>
                <w:i w:val="0"/>
                <w:color w:val="333333"/>
                <w:sz w:val="17"/>
              </w:rPr>
              <w:t>Avant la production</w:t>
            </w:r>
          </w:p>
        </w:tc>
      </w:tr>
      <w:tr>
        <w:tc>
          <w:tcPr>
            <w:tcW w:type="dxa" w:w="3249"/>
            <w:shd w:val="clear" w:fill="F2F6FA"/>
          </w:tcPr>
          <w:p>
            <w:pPr>
              <w:spacing w:before="40" w:after="40"/>
            </w:pPr>
            <w:r>
              <w:rPr>
                <w:rFonts w:ascii="Calibri" w:hAnsi="Calibri"/>
                <w:b w:val="0"/>
                <w:i w:val="0"/>
                <w:color w:val="333333"/>
                <w:sz w:val="17"/>
              </w:rPr>
              <w:t>Test de charge</w:t>
            </w:r>
          </w:p>
        </w:tc>
        <w:tc>
          <w:tcPr>
            <w:tcW w:type="dxa" w:w="3249"/>
            <w:shd w:val="clear" w:fill="F2F6FA"/>
          </w:tcPr>
          <w:p>
            <w:pPr>
              <w:spacing w:before="40" w:after="40"/>
            </w:pPr>
            <w:r>
              <w:rPr>
                <w:rFonts w:ascii="Calibri" w:hAnsi="Calibri"/>
                <w:b w:val="0"/>
                <w:i w:val="0"/>
                <w:color w:val="333333"/>
                <w:sz w:val="17"/>
              </w:rPr>
              <w:t>Volume d'encaissement de pointe</w:t>
            </w:r>
          </w:p>
        </w:tc>
        <w:tc>
          <w:tcPr>
            <w:tcW w:type="dxa" w:w="3249"/>
            <w:shd w:val="clear" w:fill="F2F6FA"/>
          </w:tcPr>
          <w:p>
            <w:pPr>
              <w:spacing w:before="40" w:after="40"/>
            </w:pPr>
            <w:r>
              <w:rPr>
                <w:rFonts w:ascii="Calibri" w:hAnsi="Calibri"/>
                <w:b w:val="0"/>
                <w:i w:val="0"/>
                <w:color w:val="333333"/>
                <w:sz w:val="17"/>
              </w:rPr>
              <w:t>Avant la production</w:t>
            </w:r>
          </w:p>
        </w:tc>
      </w:tr>
      <w:tr>
        <w:tc>
          <w:tcPr>
            <w:tcW w:type="dxa" w:w="3249"/>
          </w:tcPr>
          <w:p>
            <w:pPr>
              <w:spacing w:before="40" w:after="40"/>
            </w:pPr>
            <w:r>
              <w:rPr>
                <w:rFonts w:ascii="Calibri" w:hAnsi="Calibri"/>
                <w:b w:val="0"/>
                <w:i w:val="0"/>
                <w:color w:val="333333"/>
                <w:sz w:val="17"/>
              </w:rPr>
              <w:t>Test d'intrusion indépendant</w:t>
            </w:r>
          </w:p>
        </w:tc>
        <w:tc>
          <w:tcPr>
            <w:tcW w:type="dxa" w:w="3249"/>
          </w:tcPr>
          <w:p>
            <w:pPr>
              <w:spacing w:before="40" w:after="40"/>
            </w:pPr>
            <w:r>
              <w:rPr>
                <w:rFonts w:ascii="Calibri" w:hAnsi="Calibri"/>
                <w:b w:val="0"/>
                <w:i w:val="0"/>
                <w:color w:val="333333"/>
                <w:sz w:val="17"/>
              </w:rPr>
              <w:t>Recommandé, commandé par SUNU</w:t>
            </w:r>
          </w:p>
        </w:tc>
        <w:tc>
          <w:tcPr>
            <w:tcW w:type="dxa" w:w="3249"/>
          </w:tcPr>
          <w:p>
            <w:pPr>
              <w:spacing w:before="40" w:after="40"/>
            </w:pPr>
            <w:r>
              <w:rPr>
                <w:rFonts w:ascii="Calibri" w:hAnsi="Calibri"/>
                <w:b w:val="0"/>
                <w:i w:val="0"/>
                <w:color w:val="333333"/>
                <w:sz w:val="17"/>
              </w:rPr>
              <w:t>Recommandé avant la production</w:t>
            </w:r>
          </w:p>
        </w:tc>
      </w:tr>
    </w:tbl>
    <w:p>
      <w:pPr>
        <w:spacing w:after="40"/>
      </w:pPr>
    </w:p>
    <w:p>
      <w:pPr>
        <w:pStyle w:val="Heading2"/>
        <w:spacing w:before="280" w:after="80"/>
        <w:keepNext/>
      </w:pPr>
      <w:bookmarkStart w:id="158" w:name="_Toc_s057"/>
      <w:r>
        <w:rPr>
          <w:rFonts w:ascii="Calibri" w:hAnsi="Calibri"/>
          <w:b/>
          <w:color w:val="1B3A5C"/>
          <w:sz w:val="24"/>
        </w:rPr>
        <w:t>16.3 Développement sécurisé et gestion des changements</w:t>
      </w:r>
      <w:bookmarkEnd w:id="158"/>
    </w:p>
    <w:p>
      <w:r>
        <w:rPr>
          <w:rFonts w:ascii="Calibri" w:hAnsi="Calibri"/>
          <w:b w:val="0"/>
          <w:i w:val="0"/>
          <w:color w:val="333333"/>
          <w:sz w:val="20"/>
        </w:rPr>
        <w:t>Code source versionné ; revue par les pairs avant fusion ; aucun secret dans le dépôt ; environnements séparés sans données réelles en recette ; livraisons versionnées, documentées dans un journal des changements et approuvées par SUNU avant production ; retour arrière documenté pour chaque livraison ; analyse mensuelle de vulnérabilité des dépendances ; correctifs critiques sous 7 jours.</w:t>
      </w:r>
    </w:p>
    <w:p>
      <w:pPr>
        <w:pStyle w:val="Heading1"/>
        <w:pageBreakBefore/>
        <w:spacing w:before="360" w:after="80"/>
        <w:keepNext/>
        <w:pBdr>
          <w:bottom w:val="single" w:sz="8" w:space="6" w:color="1B3A5C"/>
        </w:pBdr>
      </w:pPr>
      <w:bookmarkStart w:id="159" w:name="_Toc_s058"/>
      <w:r>
        <w:rPr>
          <w:rFonts w:ascii="Calibri" w:hAnsi="Calibri"/>
          <w:b/>
          <w:color w:val="1B3A5C"/>
          <w:sz w:val="30"/>
        </w:rPr>
        <w:t>17. Matrice de responsabilités</w:t>
      </w:r>
      <w:bookmarkEnd w:id="15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Domaine</w:t>
            </w:r>
          </w:p>
        </w:tc>
        <w:tc>
          <w:tcPr>
            <w:tcW w:type="dxa" w:w="3249"/>
            <w:shd w:val="clear" w:fill="1B3A5C"/>
          </w:tcPr>
          <w:p>
            <w:pPr>
              <w:spacing w:before="60" w:after="60"/>
            </w:pPr>
            <w:r>
              <w:rPr>
                <w:rFonts w:ascii="Calibri" w:hAnsi="Calibri"/>
                <w:b/>
                <w:color w:val="FFFFFF"/>
                <w:sz w:val="17"/>
              </w:rPr>
              <w:t>SUNU</w:t>
            </w:r>
          </w:p>
        </w:tc>
        <w:tc>
          <w:tcPr>
            <w:tcW w:type="dxa" w:w="3249"/>
            <w:shd w:val="clear" w:fill="1B3A5C"/>
          </w:tcPr>
          <w:p>
            <w:pPr>
              <w:spacing w:before="60" w:after="60"/>
            </w:pPr>
            <w:r>
              <w:rPr>
                <w:rFonts w:ascii="Calibri" w:hAnsi="Calibri"/>
                <w:b/>
                <w:color w:val="FFFFFF"/>
                <w:sz w:val="17"/>
              </w:rPr>
              <w:t>DBS</w:t>
            </w:r>
          </w:p>
        </w:tc>
      </w:tr>
      <w:tr>
        <w:tc>
          <w:tcPr>
            <w:tcW w:type="dxa" w:w="3249"/>
          </w:tcPr>
          <w:p>
            <w:pPr>
              <w:spacing w:before="40" w:after="40"/>
            </w:pPr>
            <w:r>
              <w:rPr>
                <w:rFonts w:ascii="Calibri" w:hAnsi="Calibri"/>
                <w:b w:val="0"/>
                <w:i w:val="0"/>
                <w:color w:val="333333"/>
                <w:sz w:val="17"/>
              </w:rPr>
              <w:t>Qualité de responsable de traitement, déclaration CIL</w:t>
            </w:r>
          </w:p>
        </w:tc>
        <w:tc>
          <w:tcPr>
            <w:tcW w:type="dxa" w:w="3249"/>
          </w:tcPr>
          <w:p>
            <w:pPr>
              <w:spacing w:before="40" w:after="40"/>
            </w:pPr>
            <w:r>
              <w:rPr>
                <w:rFonts w:ascii="Calibri" w:hAnsi="Calibri"/>
                <w:b/>
                <w:i w:val="0"/>
                <w:color w:val="333333"/>
                <w:sz w:val="17"/>
              </w:rPr>
              <w:t>Responsable</w:t>
            </w:r>
          </w:p>
        </w:tc>
        <w:tc>
          <w:tcPr>
            <w:tcW w:type="dxa" w:w="3249"/>
          </w:tcPr>
          <w:p>
            <w:pPr>
              <w:spacing w:before="40" w:after="40"/>
            </w:pPr>
            <w:r>
              <w:rPr>
                <w:rFonts w:ascii="Calibri" w:hAnsi="Calibri"/>
                <w:b w:val="0"/>
                <w:i w:val="0"/>
                <w:color w:val="333333"/>
                <w:sz w:val="17"/>
              </w:rPr>
              <w:t>Fournit la description technique</w:t>
            </w:r>
          </w:p>
        </w:tc>
      </w:tr>
      <w:tr>
        <w:tc>
          <w:tcPr>
            <w:tcW w:type="dxa" w:w="3249"/>
            <w:shd w:val="clear" w:fill="F2F6FA"/>
          </w:tcPr>
          <w:p>
            <w:pPr>
              <w:spacing w:before="40" w:after="40"/>
            </w:pPr>
            <w:r>
              <w:rPr>
                <w:rFonts w:ascii="Calibri" w:hAnsi="Calibri"/>
                <w:b w:val="0"/>
                <w:i w:val="0"/>
                <w:color w:val="333333"/>
                <w:sz w:val="17"/>
              </w:rPr>
              <w:t>Sécurité applicative et d'infrastructure</w:t>
            </w:r>
          </w:p>
        </w:tc>
        <w:tc>
          <w:tcPr>
            <w:tcW w:type="dxa" w:w="3249"/>
            <w:shd w:val="clear" w:fill="F2F6FA"/>
          </w:tcPr>
          <w:p>
            <w:pPr>
              <w:spacing w:before="40" w:after="40"/>
            </w:pPr>
            <w:r>
              <w:rPr>
                <w:rFonts w:ascii="Calibri" w:hAnsi="Calibri"/>
                <w:b w:val="0"/>
                <w:i w:val="0"/>
                <w:color w:val="333333"/>
                <w:sz w:val="17"/>
              </w:rPr>
              <w:t>Valide</w:t>
            </w:r>
          </w:p>
        </w:tc>
        <w:tc>
          <w:tcPr>
            <w:tcW w:type="dxa" w:w="3249"/>
            <w:shd w:val="clear" w:fill="F2F6FA"/>
          </w:tcPr>
          <w:p>
            <w:pPr>
              <w:spacing w:before="40" w:after="40"/>
            </w:pPr>
            <w:r>
              <w:rPr>
                <w:rFonts w:ascii="Calibri" w:hAnsi="Calibri"/>
                <w:b/>
                <w:i w:val="0"/>
                <w:color w:val="333333"/>
                <w:sz w:val="17"/>
              </w:rPr>
              <w:t>Responsable</w:t>
            </w:r>
          </w:p>
        </w:tc>
      </w:tr>
      <w:tr>
        <w:tc>
          <w:tcPr>
            <w:tcW w:type="dxa" w:w="3249"/>
          </w:tcPr>
          <w:p>
            <w:pPr>
              <w:spacing w:before="40" w:after="40"/>
            </w:pPr>
            <w:r>
              <w:rPr>
                <w:rFonts w:ascii="Calibri" w:hAnsi="Calibri"/>
                <w:b w:val="0"/>
                <w:i w:val="0"/>
                <w:color w:val="333333"/>
                <w:sz w:val="17"/>
              </w:rPr>
              <w:t>Sécurité de l'hébergement (si hébergé par SUNU)</w:t>
            </w:r>
          </w:p>
        </w:tc>
        <w:tc>
          <w:tcPr>
            <w:tcW w:type="dxa" w:w="3249"/>
          </w:tcPr>
          <w:p>
            <w:pPr>
              <w:spacing w:before="40" w:after="40"/>
            </w:pPr>
            <w:r>
              <w:rPr>
                <w:rFonts w:ascii="Calibri" w:hAnsi="Calibri"/>
                <w:b/>
                <w:i w:val="0"/>
                <w:color w:val="333333"/>
                <w:sz w:val="17"/>
              </w:rPr>
              <w:t>Responsable</w:t>
            </w:r>
          </w:p>
        </w:tc>
        <w:tc>
          <w:tcPr>
            <w:tcW w:type="dxa" w:w="3249"/>
          </w:tcPr>
          <w:p>
            <w:pPr>
              <w:spacing w:before="40" w:after="40"/>
            </w:pPr>
            <w:r>
              <w:rPr>
                <w:rFonts w:ascii="Calibri" w:hAnsi="Calibri"/>
                <w:b w:val="0"/>
                <w:i w:val="0"/>
                <w:color w:val="333333"/>
                <w:sz w:val="17"/>
              </w:rPr>
              <w:t>Conseille</w:t>
            </w:r>
          </w:p>
        </w:tc>
      </w:tr>
      <w:tr>
        <w:tc>
          <w:tcPr>
            <w:tcW w:type="dxa" w:w="3249"/>
            <w:shd w:val="clear" w:fill="F2F6FA"/>
          </w:tcPr>
          <w:p>
            <w:pPr>
              <w:spacing w:before="40" w:after="40"/>
            </w:pPr>
            <w:r>
              <w:rPr>
                <w:rFonts w:ascii="Calibri" w:hAnsi="Calibri"/>
                <w:b w:val="0"/>
                <w:i w:val="0"/>
                <w:color w:val="333333"/>
                <w:sz w:val="17"/>
              </w:rPr>
              <w:t>Création et revue des comptes utilisateurs</w:t>
            </w:r>
          </w:p>
        </w:tc>
        <w:tc>
          <w:tcPr>
            <w:tcW w:type="dxa" w:w="3249"/>
            <w:shd w:val="clear" w:fill="F2F6FA"/>
          </w:tcPr>
          <w:p>
            <w:pPr>
              <w:spacing w:before="40" w:after="40"/>
            </w:pPr>
            <w:r>
              <w:rPr>
                <w:rFonts w:ascii="Calibri" w:hAnsi="Calibri"/>
                <w:b/>
                <w:i w:val="0"/>
                <w:color w:val="333333"/>
                <w:sz w:val="17"/>
              </w:rPr>
              <w:t>Responsable</w:t>
            </w:r>
          </w:p>
        </w:tc>
        <w:tc>
          <w:tcPr>
            <w:tcW w:type="dxa" w:w="3249"/>
            <w:shd w:val="clear" w:fill="F2F6FA"/>
          </w:tcPr>
          <w:p>
            <w:pPr>
              <w:spacing w:before="40" w:after="40"/>
            </w:pPr>
            <w:r>
              <w:rPr>
                <w:rFonts w:ascii="Calibri" w:hAnsi="Calibri"/>
                <w:b w:val="0"/>
                <w:i w:val="0"/>
                <w:color w:val="333333"/>
                <w:sz w:val="17"/>
              </w:rPr>
              <w:t>Fournit l'outillage et la procédure</w:t>
            </w:r>
          </w:p>
        </w:tc>
      </w:tr>
      <w:tr>
        <w:tc>
          <w:tcPr>
            <w:tcW w:type="dxa" w:w="3249"/>
          </w:tcPr>
          <w:p>
            <w:pPr>
              <w:spacing w:before="40" w:after="40"/>
            </w:pPr>
            <w:r>
              <w:rPr>
                <w:rFonts w:ascii="Calibri" w:hAnsi="Calibri"/>
                <w:b w:val="0"/>
                <w:i w:val="0"/>
                <w:color w:val="333333"/>
                <w:sz w:val="17"/>
              </w:rPr>
              <w:t>Sélection et intégration des collecteurs</w:t>
            </w:r>
          </w:p>
        </w:tc>
        <w:tc>
          <w:tcPr>
            <w:tcW w:type="dxa" w:w="3249"/>
          </w:tcPr>
          <w:p>
            <w:pPr>
              <w:spacing w:before="40" w:after="40"/>
            </w:pPr>
            <w:r>
              <w:rPr>
                <w:rFonts w:ascii="Calibri" w:hAnsi="Calibri"/>
                <w:b/>
                <w:i w:val="0"/>
                <w:color w:val="333333"/>
                <w:sz w:val="17"/>
              </w:rPr>
              <w:t>Responsable</w:t>
            </w:r>
          </w:p>
        </w:tc>
        <w:tc>
          <w:tcPr>
            <w:tcW w:type="dxa" w:w="3249"/>
          </w:tcPr>
          <w:p>
            <w:pPr>
              <w:spacing w:before="40" w:after="40"/>
            </w:pPr>
            <w:r>
              <w:rPr>
                <w:rFonts w:ascii="Calibri" w:hAnsi="Calibri"/>
                <w:b w:val="0"/>
                <w:i w:val="0"/>
                <w:color w:val="333333"/>
                <w:sz w:val="17"/>
              </w:rPr>
              <w:t>Fournit le contenu du briefing de sécurité</w:t>
            </w:r>
          </w:p>
        </w:tc>
      </w:tr>
      <w:tr>
        <w:tc>
          <w:tcPr>
            <w:tcW w:type="dxa" w:w="3249"/>
            <w:shd w:val="clear" w:fill="F2F6FA"/>
          </w:tcPr>
          <w:p>
            <w:pPr>
              <w:spacing w:before="40" w:after="40"/>
            </w:pPr>
            <w:r>
              <w:rPr>
                <w:rFonts w:ascii="Calibri" w:hAnsi="Calibri"/>
                <w:b w:val="0"/>
                <w:i w:val="0"/>
                <w:color w:val="333333"/>
                <w:sz w:val="17"/>
              </w:rPr>
              <w:t>Garde physique des terminaux et du stock de cartes</w:t>
            </w:r>
          </w:p>
        </w:tc>
        <w:tc>
          <w:tcPr>
            <w:tcW w:type="dxa" w:w="3249"/>
            <w:shd w:val="clear" w:fill="F2F6FA"/>
          </w:tcPr>
          <w:p>
            <w:pPr>
              <w:spacing w:before="40" w:after="40"/>
            </w:pPr>
            <w:r>
              <w:rPr>
                <w:rFonts w:ascii="Calibri" w:hAnsi="Calibri"/>
                <w:b/>
                <w:i w:val="0"/>
                <w:color w:val="333333"/>
                <w:sz w:val="17"/>
              </w:rPr>
              <w:t>Responsable</w:t>
            </w:r>
          </w:p>
        </w:tc>
        <w:tc>
          <w:tcPr>
            <w:tcW w:type="dxa" w:w="3249"/>
            <w:shd w:val="clear" w:fill="F2F6FA"/>
          </w:tcPr>
          <w:p>
            <w:pPr>
              <w:spacing w:before="40" w:after="40"/>
            </w:pPr>
            <w:r>
              <w:rPr>
                <w:rFonts w:ascii="Calibri" w:hAnsi="Calibri"/>
                <w:b w:val="0"/>
                <w:i w:val="0"/>
                <w:color w:val="333333"/>
                <w:sz w:val="17"/>
              </w:rPr>
              <w:t>Fournit le registre et les procédures</w:t>
            </w:r>
          </w:p>
        </w:tc>
      </w:tr>
      <w:tr>
        <w:tc>
          <w:tcPr>
            <w:tcW w:type="dxa" w:w="3249"/>
          </w:tcPr>
          <w:p>
            <w:pPr>
              <w:spacing w:before="40" w:after="40"/>
            </w:pPr>
            <w:r>
              <w:rPr>
                <w:rFonts w:ascii="Calibri" w:hAnsi="Calibri"/>
                <w:b w:val="0"/>
                <w:i w:val="0"/>
                <w:color w:val="333333"/>
                <w:sz w:val="17"/>
              </w:rPr>
              <w:t>Définition des plafonds et confirmation des versements</w:t>
            </w:r>
          </w:p>
        </w:tc>
        <w:tc>
          <w:tcPr>
            <w:tcW w:type="dxa" w:w="3249"/>
          </w:tcPr>
          <w:p>
            <w:pPr>
              <w:spacing w:before="40" w:after="40"/>
            </w:pPr>
            <w:r>
              <w:rPr>
                <w:rFonts w:ascii="Calibri" w:hAnsi="Calibri"/>
                <w:b/>
                <w:i w:val="0"/>
                <w:color w:val="333333"/>
                <w:sz w:val="17"/>
              </w:rPr>
              <w:t>Responsable</w:t>
            </w:r>
          </w:p>
        </w:tc>
        <w:tc>
          <w:tcPr>
            <w:tcW w:type="dxa" w:w="3249"/>
          </w:tcPr>
          <w:p>
            <w:pPr>
              <w:spacing w:before="40" w:after="40"/>
            </w:pPr>
            <w:r>
              <w:rPr>
                <w:rFonts w:ascii="Calibri" w:hAnsi="Calibri"/>
                <w:b w:val="0"/>
                <w:i w:val="0"/>
                <w:color w:val="333333"/>
                <w:sz w:val="17"/>
              </w:rPr>
              <w:t>Fournit le mécanisme</w:t>
            </w:r>
          </w:p>
        </w:tc>
      </w:tr>
      <w:tr>
        <w:tc>
          <w:tcPr>
            <w:tcW w:type="dxa" w:w="3249"/>
            <w:shd w:val="clear" w:fill="F2F6FA"/>
          </w:tcPr>
          <w:p>
            <w:pPr>
              <w:spacing w:before="40" w:after="40"/>
            </w:pPr>
            <w:r>
              <w:rPr>
                <w:rFonts w:ascii="Calibri" w:hAnsi="Calibri"/>
                <w:b w:val="0"/>
                <w:i w:val="0"/>
                <w:color w:val="333333"/>
                <w:sz w:val="17"/>
              </w:rPr>
              <w:t>Supervision et traitement des alertes</w:t>
            </w:r>
          </w:p>
        </w:tc>
        <w:tc>
          <w:tcPr>
            <w:tcW w:type="dxa" w:w="3249"/>
            <w:shd w:val="clear" w:fill="F2F6FA"/>
          </w:tcPr>
          <w:p>
            <w:pPr>
              <w:spacing w:before="40" w:after="40"/>
            </w:pPr>
            <w:r>
              <w:rPr>
                <w:rFonts w:ascii="Calibri" w:hAnsi="Calibri"/>
                <w:b w:val="0"/>
                <w:i w:val="0"/>
                <w:color w:val="333333"/>
                <w:sz w:val="17"/>
              </w:rPr>
              <w:t>Traite les alertes métier</w:t>
            </w:r>
          </w:p>
        </w:tc>
        <w:tc>
          <w:tcPr>
            <w:tcW w:type="dxa" w:w="3249"/>
            <w:shd w:val="clear" w:fill="F2F6FA"/>
          </w:tcPr>
          <w:p>
            <w:pPr>
              <w:spacing w:before="40" w:after="40"/>
            </w:pPr>
            <w:r>
              <w:rPr>
                <w:rFonts w:ascii="Calibri" w:hAnsi="Calibri"/>
                <w:b w:val="0"/>
                <w:i w:val="0"/>
                <w:color w:val="333333"/>
                <w:sz w:val="17"/>
              </w:rPr>
              <w:t>Traite les alertes techniques</w:t>
            </w:r>
          </w:p>
        </w:tc>
      </w:tr>
      <w:tr>
        <w:tc>
          <w:tcPr>
            <w:tcW w:type="dxa" w:w="3249"/>
          </w:tcPr>
          <w:p>
            <w:pPr>
              <w:spacing w:before="40" w:after="40"/>
            </w:pPr>
            <w:r>
              <w:rPr>
                <w:rFonts w:ascii="Calibri" w:hAnsi="Calibri"/>
                <w:b w:val="0"/>
                <w:i w:val="0"/>
                <w:color w:val="333333"/>
                <w:sz w:val="17"/>
              </w:rPr>
              <w:t>Réponse aux incidents</w:t>
            </w:r>
          </w:p>
        </w:tc>
        <w:tc>
          <w:tcPr>
            <w:tcW w:type="dxa" w:w="3249"/>
          </w:tcPr>
          <w:p>
            <w:pPr>
              <w:spacing w:before="40" w:after="40"/>
            </w:pPr>
            <w:r>
              <w:rPr>
                <w:rFonts w:ascii="Calibri" w:hAnsi="Calibri"/>
                <w:b w:val="0"/>
                <w:i w:val="0"/>
                <w:color w:val="333333"/>
                <w:sz w:val="17"/>
              </w:rPr>
              <w:t>Décide, notifie les autorités</w:t>
            </w:r>
          </w:p>
        </w:tc>
        <w:tc>
          <w:tcPr>
            <w:tcW w:type="dxa" w:w="3249"/>
          </w:tcPr>
          <w:p>
            <w:pPr>
              <w:spacing w:before="40" w:after="40"/>
            </w:pPr>
            <w:r>
              <w:rPr>
                <w:rFonts w:ascii="Calibri" w:hAnsi="Calibri"/>
                <w:b w:val="0"/>
                <w:i w:val="0"/>
                <w:color w:val="333333"/>
                <w:sz w:val="17"/>
              </w:rPr>
              <w:t>Investigue, contient, remédie</w:t>
            </w:r>
          </w:p>
        </w:tc>
      </w:tr>
      <w:tr>
        <w:tc>
          <w:tcPr>
            <w:tcW w:type="dxa" w:w="3249"/>
            <w:shd w:val="clear" w:fill="F2F6FA"/>
          </w:tcPr>
          <w:p>
            <w:pPr>
              <w:spacing w:before="40" w:after="40"/>
            </w:pPr>
            <w:r>
              <w:rPr>
                <w:rFonts w:ascii="Calibri" w:hAnsi="Calibri"/>
                <w:b w:val="0"/>
                <w:i w:val="0"/>
                <w:color w:val="333333"/>
                <w:sz w:val="17"/>
              </w:rPr>
              <w:t>Sauvegardes et tests de restauration</w:t>
            </w:r>
          </w:p>
        </w:tc>
        <w:tc>
          <w:tcPr>
            <w:tcW w:type="dxa" w:w="3249"/>
            <w:shd w:val="clear" w:fill="F2F6FA"/>
          </w:tcPr>
          <w:p>
            <w:pPr>
              <w:spacing w:before="40" w:after="40"/>
            </w:pPr>
            <w:r>
              <w:rPr>
                <w:rFonts w:ascii="Calibri" w:hAnsi="Calibri"/>
                <w:b w:val="0"/>
                <w:i w:val="0"/>
                <w:color w:val="333333"/>
                <w:sz w:val="17"/>
              </w:rPr>
              <w:t>Valide les résultats</w:t>
            </w:r>
          </w:p>
        </w:tc>
        <w:tc>
          <w:tcPr>
            <w:tcW w:type="dxa" w:w="3249"/>
            <w:shd w:val="clear" w:fill="F2F6FA"/>
          </w:tcPr>
          <w:p>
            <w:pPr>
              <w:spacing w:before="40" w:after="40"/>
            </w:pPr>
            <w:r>
              <w:rPr>
                <w:rFonts w:ascii="Calibri" w:hAnsi="Calibri"/>
                <w:b/>
                <w:i w:val="0"/>
                <w:color w:val="333333"/>
                <w:sz w:val="17"/>
              </w:rPr>
              <w:t>Responsable</w:t>
            </w:r>
            <w:r>
              <w:rPr>
                <w:rFonts w:ascii="Calibri" w:hAnsi="Calibri"/>
                <w:b w:val="0"/>
                <w:i w:val="0"/>
                <w:color w:val="333333"/>
                <w:sz w:val="17"/>
              </w:rPr>
              <w:t xml:space="preserve"> (exécute)</w:t>
            </w:r>
          </w:p>
        </w:tc>
      </w:tr>
      <w:tr>
        <w:tc>
          <w:tcPr>
            <w:tcW w:type="dxa" w:w="3249"/>
          </w:tcPr>
          <w:p>
            <w:pPr>
              <w:spacing w:before="40" w:after="40"/>
            </w:pPr>
            <w:r>
              <w:rPr>
                <w:rFonts w:ascii="Calibri" w:hAnsi="Calibri"/>
                <w:b w:val="0"/>
                <w:i w:val="0"/>
                <w:color w:val="333333"/>
                <w:sz w:val="17"/>
              </w:rPr>
              <w:t>Application des correctifs de sécurité</w:t>
            </w:r>
          </w:p>
        </w:tc>
        <w:tc>
          <w:tcPr>
            <w:tcW w:type="dxa" w:w="3249"/>
          </w:tcPr>
          <w:p>
            <w:pPr>
              <w:spacing w:before="40" w:after="40"/>
            </w:pPr>
            <w:r>
              <w:rPr>
                <w:rFonts w:ascii="Calibri" w:hAnsi="Calibri"/>
                <w:b w:val="0"/>
                <w:i w:val="0"/>
                <w:color w:val="333333"/>
                <w:sz w:val="17"/>
              </w:rPr>
              <w:t>Approuve les fenêtres</w:t>
            </w:r>
          </w:p>
        </w:tc>
        <w:tc>
          <w:tcPr>
            <w:tcW w:type="dxa" w:w="3249"/>
          </w:tcPr>
          <w:p>
            <w:pPr>
              <w:spacing w:before="40" w:after="40"/>
            </w:pPr>
            <w:r>
              <w:rPr>
                <w:rFonts w:ascii="Calibri" w:hAnsi="Calibri"/>
                <w:b/>
                <w:i w:val="0"/>
                <w:color w:val="333333"/>
                <w:sz w:val="17"/>
              </w:rPr>
              <w:t>Responsable</w:t>
            </w:r>
          </w:p>
        </w:tc>
      </w:tr>
      <w:tr>
        <w:tc>
          <w:tcPr>
            <w:tcW w:type="dxa" w:w="3249"/>
            <w:shd w:val="clear" w:fill="F2F6FA"/>
          </w:tcPr>
          <w:p>
            <w:pPr>
              <w:spacing w:before="40" w:after="40"/>
            </w:pPr>
            <w:r>
              <w:rPr>
                <w:rFonts w:ascii="Calibri" w:hAnsi="Calibri"/>
                <w:b w:val="0"/>
                <w:i w:val="0"/>
                <w:color w:val="333333"/>
                <w:sz w:val="17"/>
              </w:rPr>
              <w:t>Sécurité côté SUNULIFE</w:t>
            </w:r>
          </w:p>
        </w:tc>
        <w:tc>
          <w:tcPr>
            <w:tcW w:type="dxa" w:w="3249"/>
            <w:shd w:val="clear" w:fill="F2F6FA"/>
          </w:tcPr>
          <w:p>
            <w:pPr>
              <w:spacing w:before="40" w:after="40"/>
            </w:pPr>
            <w:r>
              <w:rPr>
                <w:rFonts w:ascii="Calibri" w:hAnsi="Calibri"/>
                <w:b/>
                <w:i w:val="0"/>
                <w:color w:val="333333"/>
                <w:sz w:val="17"/>
              </w:rPr>
              <w:t>Responsable</w:t>
            </w:r>
          </w:p>
        </w:tc>
        <w:tc>
          <w:tcPr>
            <w:tcW w:type="dxa" w:w="3249"/>
            <w:shd w:val="clear" w:fill="F2F6FA"/>
          </w:tcPr>
          <w:p>
            <w:pPr>
              <w:spacing w:before="40" w:after="40"/>
            </w:pPr>
            <w:r>
              <w:rPr>
                <w:rFonts w:ascii="Calibri" w:hAnsi="Calibri"/>
                <w:b w:val="0"/>
                <w:i w:val="0"/>
                <w:color w:val="333333"/>
                <w:sz w:val="17"/>
              </w:rPr>
              <w:t>Sécurise le point d'entrée d'intégration de notre côté</w:t>
            </w:r>
          </w:p>
        </w:tc>
      </w:tr>
    </w:tbl>
    <w:p>
      <w:pPr>
        <w:spacing w:after="40"/>
      </w:pPr>
    </w:p>
    <w:p>
      <w:pPr>
        <w:pStyle w:val="Heading1"/>
        <w:pageBreakBefore/>
        <w:spacing w:before="360" w:after="80"/>
        <w:keepNext/>
        <w:pBdr>
          <w:bottom w:val="single" w:sz="8" w:space="6" w:color="1B3A5C"/>
        </w:pBdr>
      </w:pPr>
      <w:bookmarkStart w:id="160" w:name="_Toc_s059"/>
      <w:r>
        <w:rPr>
          <w:rFonts w:ascii="Calibri" w:hAnsi="Calibri"/>
          <w:b/>
          <w:color w:val="1B3A5C"/>
          <w:sz w:val="30"/>
        </w:rPr>
        <w:t>18. Liste de contrôle de réception sécurité (jalon de mise en service)</w:t>
      </w:r>
      <w:bookmarkEnd w:id="160"/>
    </w:p>
    <w:p>
      <w:r>
        <w:rPr>
          <w:rFonts w:ascii="Calibri" w:hAnsi="Calibri"/>
          <w:b w:val="0"/>
          <w:i w:val="0"/>
          <w:color w:val="333333"/>
          <w:sz w:val="20"/>
        </w:rPr>
        <w:t>À signer conjointement avant la mise en production.</w:t>
      </w:r>
    </w:p>
    <w:p>
      <w:r>
        <w:rPr>
          <w:rFonts w:ascii="Calibri" w:hAnsi="Calibri"/>
          <w:b/>
          <w:i w:val="0"/>
          <w:color w:val="333333"/>
          <w:sz w:val="20"/>
        </w:rPr>
        <w:t>Bloquant — aucune mise en production sans ces points</w:t>
      </w:r>
    </w:p>
    <w:p>
      <w:pPr>
        <w:spacing w:after="40"/>
        <w:ind w:left="312" w:hanging="198"/>
      </w:pPr>
      <w:r>
        <w:rPr>
          <w:rFonts w:ascii="Calibri" w:hAnsi="Calibri"/>
          <w:b/>
          <w:color w:val="2C5F8A"/>
          <w:sz w:val="20"/>
        </w:rPr>
        <w:t xml:space="preserve">☐  </w:t>
      </w:r>
      <w:r>
        <w:rPr>
          <w:rFonts w:ascii="Calibri" w:hAnsi="Calibri"/>
          <w:b w:val="0"/>
          <w:i w:val="0"/>
          <w:color w:val="333333"/>
          <w:sz w:val="20"/>
        </w:rPr>
        <w:t>HTTPS/TLS 1.2+ imposé sur chaque canal ; HTTP en clair refusé (H-1)</w:t>
      </w:r>
    </w:p>
    <w:p>
      <w:pPr>
        <w:spacing w:after="40"/>
        <w:ind w:left="312" w:hanging="198"/>
      </w:pPr>
      <w:r>
        <w:rPr>
          <w:rFonts w:ascii="Calibri" w:hAnsi="Calibri"/>
          <w:b/>
          <w:color w:val="2C5F8A"/>
          <w:sz w:val="20"/>
        </w:rPr>
        <w:t xml:space="preserve">☐  </w:t>
      </w:r>
      <w:r>
        <w:rPr>
          <w:rFonts w:ascii="Calibri" w:hAnsi="Calibri"/>
          <w:b w:val="0"/>
          <w:i w:val="0"/>
          <w:color w:val="333333"/>
          <w:sz w:val="20"/>
        </w:rPr>
        <w:t>Épinglage de certificat actif dans l'application TPE (H-1)</w:t>
      </w:r>
    </w:p>
    <w:p>
      <w:pPr>
        <w:spacing w:after="40"/>
        <w:ind w:left="312" w:hanging="198"/>
      </w:pPr>
      <w:r>
        <w:rPr>
          <w:rFonts w:ascii="Calibri" w:hAnsi="Calibri"/>
          <w:b/>
          <w:color w:val="2C5F8A"/>
          <w:sz w:val="20"/>
        </w:rPr>
        <w:t xml:space="preserve">☐  </w:t>
      </w:r>
      <w:r>
        <w:rPr>
          <w:rFonts w:ascii="Calibri" w:hAnsi="Calibri"/>
          <w:b w:val="0"/>
          <w:i w:val="0"/>
          <w:color w:val="333333"/>
          <w:sz w:val="20"/>
        </w:rPr>
        <w:t>Clé cryptographique mobile codée en dur supprimée ; clés par appareil et chiffrement authentifié en place (H-4)</w:t>
      </w:r>
    </w:p>
    <w:p>
      <w:pPr>
        <w:spacing w:after="40"/>
        <w:ind w:left="312" w:hanging="198"/>
      </w:pPr>
      <w:r>
        <w:rPr>
          <w:rFonts w:ascii="Calibri" w:hAnsi="Calibri"/>
          <w:b/>
          <w:color w:val="2C5F8A"/>
          <w:sz w:val="20"/>
        </w:rPr>
        <w:t xml:space="preserve">☐  </w:t>
      </w:r>
      <w:r>
        <w:rPr>
          <w:rFonts w:ascii="Calibri" w:hAnsi="Calibri"/>
          <w:b w:val="0"/>
          <w:i w:val="0"/>
          <w:color w:val="333333"/>
          <w:sz w:val="20"/>
        </w:rPr>
        <w:t>Journalisation en clair des codes à usage unique désactivée et retirée de la configuration de production (H-6)</w:t>
      </w:r>
    </w:p>
    <w:p>
      <w:pPr>
        <w:spacing w:after="40"/>
        <w:ind w:left="312" w:hanging="198"/>
      </w:pPr>
      <w:r>
        <w:rPr>
          <w:rFonts w:ascii="Calibri" w:hAnsi="Calibri"/>
          <w:b/>
          <w:color w:val="2C5F8A"/>
          <w:sz w:val="20"/>
        </w:rPr>
        <w:t xml:space="preserve">☐  </w:t>
      </w:r>
      <w:r>
        <w:rPr>
          <w:rFonts w:ascii="Calibri" w:hAnsi="Calibri"/>
          <w:b w:val="0"/>
          <w:i w:val="0"/>
          <w:color w:val="333333"/>
          <w:sz w:val="20"/>
        </w:rPr>
        <w:t>Jetons de session collecteur bornés et révocables en place (H-2)</w:t>
      </w:r>
    </w:p>
    <w:p>
      <w:pPr>
        <w:spacing w:after="40"/>
        <w:ind w:left="312" w:hanging="198"/>
      </w:pPr>
      <w:r>
        <w:rPr>
          <w:rFonts w:ascii="Calibri" w:hAnsi="Calibri"/>
          <w:b/>
          <w:color w:val="2C5F8A"/>
          <w:sz w:val="20"/>
        </w:rPr>
        <w:t xml:space="preserve">☐  </w:t>
      </w:r>
      <w:r>
        <w:rPr>
          <w:rFonts w:ascii="Calibri" w:hAnsi="Calibri"/>
          <w:b w:val="0"/>
          <w:i w:val="0"/>
          <w:color w:val="333333"/>
          <w:sz w:val="20"/>
        </w:rPr>
        <w:t>Limitation de débit des API active (H-3)</w:t>
      </w:r>
    </w:p>
    <w:p>
      <w:pPr>
        <w:spacing w:after="40"/>
        <w:ind w:left="312" w:hanging="198"/>
      </w:pPr>
      <w:r>
        <w:rPr>
          <w:rFonts w:ascii="Calibri" w:hAnsi="Calibri"/>
          <w:b/>
          <w:color w:val="2C5F8A"/>
          <w:sz w:val="20"/>
        </w:rPr>
        <w:t xml:space="preserve">☐  </w:t>
      </w:r>
      <w:r>
        <w:rPr>
          <w:rFonts w:ascii="Calibri" w:hAnsi="Calibri"/>
          <w:b w:val="0"/>
          <w:i w:val="0"/>
          <w:color w:val="333333"/>
          <w:sz w:val="20"/>
        </w:rPr>
        <w:t>MFA imposée pour les profils Administrateur et DSI (H-5)</w:t>
      </w:r>
    </w:p>
    <w:p>
      <w:pPr>
        <w:spacing w:after="40"/>
        <w:ind w:left="312" w:hanging="198"/>
      </w:pPr>
      <w:r>
        <w:rPr>
          <w:rFonts w:ascii="Calibri" w:hAnsi="Calibri"/>
          <w:b/>
          <w:color w:val="2C5F8A"/>
          <w:sz w:val="20"/>
        </w:rPr>
        <w:t xml:space="preserve">☐  </w:t>
      </w:r>
      <w:r>
        <w:rPr>
          <w:rFonts w:ascii="Calibri" w:hAnsi="Calibri"/>
          <w:b w:val="0"/>
          <w:i w:val="0"/>
          <w:color w:val="333333"/>
          <w:sz w:val="20"/>
        </w:rPr>
        <w:t>Chaque profil testé face à chaque action restreinte, tests négatifs compris</w:t>
      </w:r>
    </w:p>
    <w:p>
      <w:pPr>
        <w:spacing w:after="40"/>
        <w:ind w:left="312" w:hanging="198"/>
      </w:pPr>
      <w:r>
        <w:rPr>
          <w:rFonts w:ascii="Calibri" w:hAnsi="Calibri"/>
          <w:b/>
          <w:color w:val="2C5F8A"/>
          <w:sz w:val="20"/>
        </w:rPr>
        <w:t xml:space="preserve">☐  </w:t>
      </w:r>
      <w:r>
        <w:rPr>
          <w:rFonts w:ascii="Calibri" w:hAnsi="Calibri"/>
          <w:b w:val="0"/>
          <w:i w:val="0"/>
          <w:color w:val="333333"/>
          <w:sz w:val="20"/>
        </w:rPr>
        <w:t>Sauvegarde chiffrée en fonctionnement et restauration complète testée avec succès</w:t>
      </w:r>
    </w:p>
    <w:p>
      <w:pPr>
        <w:spacing w:after="40"/>
        <w:ind w:left="312" w:hanging="198"/>
      </w:pPr>
      <w:r>
        <w:rPr>
          <w:rFonts w:ascii="Calibri" w:hAnsi="Calibri"/>
          <w:b/>
          <w:color w:val="2C5F8A"/>
          <w:sz w:val="20"/>
        </w:rPr>
        <w:t xml:space="preserve">☐  </w:t>
      </w:r>
      <w:r>
        <w:rPr>
          <w:rFonts w:ascii="Calibri" w:hAnsi="Calibri"/>
          <w:b w:val="0"/>
          <w:i w:val="0"/>
          <w:color w:val="333333"/>
          <w:sz w:val="20"/>
        </w:rPr>
        <w:t>Piste d'audit vérifiée complète sur les opérations d'encaissement, de versement et de carte</w:t>
      </w:r>
    </w:p>
    <w:p>
      <w:pPr>
        <w:spacing w:after="40"/>
        <w:ind w:left="312" w:hanging="198"/>
      </w:pPr>
      <w:r>
        <w:rPr>
          <w:rFonts w:ascii="Calibri" w:hAnsi="Calibri"/>
          <w:b/>
          <w:color w:val="2C5F8A"/>
          <w:sz w:val="20"/>
        </w:rPr>
        <w:t xml:space="preserve">☐  </w:t>
      </w:r>
      <w:r>
        <w:rPr>
          <w:rFonts w:ascii="Calibri" w:hAnsi="Calibri"/>
          <w:b w:val="0"/>
          <w:i w:val="0"/>
          <w:color w:val="333333"/>
          <w:sz w:val="20"/>
        </w:rPr>
        <w:t>Rejet des références en doublon vérifié au niveau de la base</w:t>
      </w:r>
    </w:p>
    <w:p>
      <w:pPr>
        <w:spacing w:after="40"/>
        <w:ind w:left="312" w:hanging="198"/>
      </w:pPr>
      <w:r>
        <w:rPr>
          <w:rFonts w:ascii="Calibri" w:hAnsi="Calibri"/>
          <w:b/>
          <w:color w:val="2C5F8A"/>
          <w:sz w:val="20"/>
        </w:rPr>
        <w:t xml:space="preserve">☐  </w:t>
      </w:r>
      <w:r>
        <w:rPr>
          <w:rFonts w:ascii="Calibri" w:hAnsi="Calibri"/>
          <w:b w:val="0"/>
          <w:i w:val="0"/>
          <w:color w:val="333333"/>
          <w:sz w:val="20"/>
        </w:rPr>
        <w:t>Aucun secret présent dans le dépôt de code ni dans l'APK</w:t>
      </w:r>
    </w:p>
    <w:p>
      <w:pPr>
        <w:spacing w:after="40"/>
        <w:ind w:left="312" w:hanging="198"/>
      </w:pPr>
      <w:r>
        <w:rPr>
          <w:rFonts w:ascii="Calibri" w:hAnsi="Calibri"/>
          <w:b/>
          <w:color w:val="2C5F8A"/>
          <w:sz w:val="20"/>
        </w:rPr>
        <w:t xml:space="preserve">☐  </w:t>
      </w:r>
      <w:r>
        <w:rPr>
          <w:rFonts w:ascii="Calibri" w:hAnsi="Calibri"/>
          <w:b w:val="0"/>
          <w:i w:val="0"/>
          <w:color w:val="333333"/>
          <w:sz w:val="20"/>
        </w:rPr>
        <w:t>Déclaration CIL effectuée par SUNU</w:t>
      </w:r>
    </w:p>
    <w:p>
      <w:pPr>
        <w:spacing w:after="40"/>
        <w:ind w:left="312" w:hanging="198"/>
      </w:pPr>
      <w:r>
        <w:rPr>
          <w:rFonts w:ascii="Calibri" w:hAnsi="Calibri"/>
          <w:b/>
          <w:color w:val="2C5F8A"/>
          <w:sz w:val="20"/>
        </w:rPr>
        <w:t xml:space="preserve">☐  </w:t>
      </w:r>
      <w:r>
        <w:rPr>
          <w:rFonts w:ascii="Calibri" w:hAnsi="Calibri"/>
          <w:b w:val="0"/>
          <w:i w:val="0"/>
          <w:color w:val="333333"/>
          <w:sz w:val="20"/>
        </w:rPr>
        <w:t>Contrat de sous-traitance signé</w:t>
      </w:r>
    </w:p>
    <w:p>
      <w:r>
        <w:rPr>
          <w:rFonts w:ascii="Calibri" w:hAnsi="Calibri"/>
          <w:b/>
          <w:i w:val="0"/>
          <w:color w:val="333333"/>
          <w:sz w:val="20"/>
        </w:rPr>
        <w:t>Requis avant la production</w:t>
      </w:r>
    </w:p>
    <w:p>
      <w:pPr>
        <w:spacing w:after="40"/>
        <w:ind w:left="312" w:hanging="198"/>
      </w:pPr>
      <w:r>
        <w:rPr>
          <w:rFonts w:ascii="Calibri" w:hAnsi="Calibri"/>
          <w:b/>
          <w:color w:val="2C5F8A"/>
          <w:sz w:val="20"/>
        </w:rPr>
        <w:t xml:space="preserve">☐  </w:t>
      </w:r>
      <w:r>
        <w:rPr>
          <w:rFonts w:ascii="Calibri" w:hAnsi="Calibri"/>
          <w:b w:val="0"/>
          <w:i w:val="0"/>
          <w:color w:val="333333"/>
          <w:sz w:val="20"/>
        </w:rPr>
        <w:t>En-têtes de sécurité configurés (H-8)</w:t>
      </w:r>
    </w:p>
    <w:p>
      <w:pPr>
        <w:spacing w:after="40"/>
        <w:ind w:left="312" w:hanging="198"/>
      </w:pPr>
      <w:r>
        <w:rPr>
          <w:rFonts w:ascii="Calibri" w:hAnsi="Calibri"/>
          <w:b/>
          <w:color w:val="2C5F8A"/>
          <w:sz w:val="20"/>
        </w:rPr>
        <w:t xml:space="preserve">☐  </w:t>
      </w:r>
      <w:r>
        <w:rPr>
          <w:rFonts w:ascii="Calibri" w:hAnsi="Calibri"/>
          <w:b w:val="0"/>
          <w:i w:val="0"/>
          <w:color w:val="333333"/>
          <w:sz w:val="20"/>
        </w:rPr>
        <w:t>Recherche de clé d'API durcie (H-7)</w:t>
      </w:r>
    </w:p>
    <w:p>
      <w:pPr>
        <w:spacing w:after="40"/>
        <w:ind w:left="312" w:hanging="198"/>
      </w:pPr>
      <w:r>
        <w:rPr>
          <w:rFonts w:ascii="Calibri" w:hAnsi="Calibri"/>
          <w:b/>
          <w:color w:val="2C5F8A"/>
          <w:sz w:val="20"/>
        </w:rPr>
        <w:t xml:space="preserve">☐  </w:t>
      </w:r>
      <w:r>
        <w:rPr>
          <w:rFonts w:ascii="Calibri" w:hAnsi="Calibri"/>
          <w:b w:val="0"/>
          <w:i w:val="0"/>
          <w:color w:val="333333"/>
          <w:sz w:val="20"/>
        </w:rPr>
        <w:t>Procédure de gestion des secrets appliquée et rotation documentée (H-9)</w:t>
      </w:r>
    </w:p>
    <w:p>
      <w:pPr>
        <w:spacing w:after="40"/>
        <w:ind w:left="312" w:hanging="198"/>
      </w:pPr>
      <w:r>
        <w:rPr>
          <w:rFonts w:ascii="Calibri" w:hAnsi="Calibri"/>
          <w:b/>
          <w:color w:val="2C5F8A"/>
          <w:sz w:val="20"/>
        </w:rPr>
        <w:t xml:space="preserve">☐  </w:t>
      </w:r>
      <w:r>
        <w:rPr>
          <w:rFonts w:ascii="Calibri" w:hAnsi="Calibri"/>
          <w:b w:val="0"/>
          <w:i w:val="0"/>
          <w:color w:val="333333"/>
          <w:sz w:val="20"/>
        </w:rPr>
        <w:t>Analyse de vulnérabilité effectuée sans constat critique ou élevé non résolu</w:t>
      </w:r>
    </w:p>
    <w:p>
      <w:pPr>
        <w:spacing w:after="40"/>
        <w:ind w:left="312" w:hanging="198"/>
      </w:pPr>
      <w:r>
        <w:rPr>
          <w:rFonts w:ascii="Calibri" w:hAnsi="Calibri"/>
          <w:b/>
          <w:color w:val="2C5F8A"/>
          <w:sz w:val="20"/>
        </w:rPr>
        <w:t xml:space="preserve">☐  </w:t>
      </w:r>
      <w:r>
        <w:rPr>
          <w:rFonts w:ascii="Calibri" w:hAnsi="Calibri"/>
          <w:b w:val="0"/>
          <w:i w:val="0"/>
          <w:color w:val="333333"/>
          <w:sz w:val="20"/>
        </w:rPr>
        <w:t>Alertes configurées et routées vers des destinataires nommés</w:t>
      </w:r>
    </w:p>
    <w:p>
      <w:pPr>
        <w:spacing w:after="40"/>
        <w:ind w:left="312" w:hanging="198"/>
      </w:pPr>
      <w:r>
        <w:rPr>
          <w:rFonts w:ascii="Calibri" w:hAnsi="Calibri"/>
          <w:b/>
          <w:color w:val="2C5F8A"/>
          <w:sz w:val="20"/>
        </w:rPr>
        <w:t xml:space="preserve">☐  </w:t>
      </w:r>
      <w:r>
        <w:rPr>
          <w:rFonts w:ascii="Calibri" w:hAnsi="Calibri"/>
          <w:b w:val="0"/>
          <w:i w:val="0"/>
          <w:color w:val="333333"/>
          <w:sz w:val="20"/>
        </w:rPr>
        <w:t>Terminaux durcis : mode kiosque, sources inconnues désactivées, verrouillage d'écran</w:t>
      </w:r>
    </w:p>
    <w:p>
      <w:pPr>
        <w:spacing w:after="40"/>
        <w:ind w:left="312" w:hanging="198"/>
      </w:pPr>
      <w:r>
        <w:rPr>
          <w:rFonts w:ascii="Calibri" w:hAnsi="Calibri"/>
          <w:b/>
          <w:color w:val="2C5F8A"/>
          <w:sz w:val="20"/>
        </w:rPr>
        <w:t xml:space="preserve">☐  </w:t>
      </w:r>
      <w:r>
        <w:rPr>
          <w:rFonts w:ascii="Calibri" w:hAnsi="Calibri"/>
          <w:b w:val="0"/>
          <w:i w:val="0"/>
          <w:color w:val="333333"/>
          <w:sz w:val="20"/>
        </w:rPr>
        <w:t>Briefings de sécurité des collecteurs signés</w:t>
      </w:r>
    </w:p>
    <w:p>
      <w:pPr>
        <w:spacing w:after="40"/>
        <w:ind w:left="312" w:hanging="198"/>
      </w:pPr>
      <w:r>
        <w:rPr>
          <w:rFonts w:ascii="Calibri" w:hAnsi="Calibri"/>
          <w:b/>
          <w:color w:val="2C5F8A"/>
          <w:sz w:val="20"/>
        </w:rPr>
        <w:t xml:space="preserve">☐  </w:t>
      </w:r>
      <w:r>
        <w:rPr>
          <w:rFonts w:ascii="Calibri" w:hAnsi="Calibri"/>
          <w:b w:val="0"/>
          <w:i w:val="0"/>
          <w:color w:val="333333"/>
          <w:sz w:val="20"/>
        </w:rPr>
        <w:t>Contacts de réponse aux incidents publiés des deux côtés</w:t>
      </w:r>
    </w:p>
    <w:p>
      <w:pPr>
        <w:spacing w:after="40"/>
        <w:ind w:left="312" w:hanging="198"/>
      </w:pPr>
      <w:r>
        <w:rPr>
          <w:rFonts w:ascii="Calibri" w:hAnsi="Calibri"/>
          <w:b/>
          <w:color w:val="2C5F8A"/>
          <w:sz w:val="20"/>
        </w:rPr>
        <w:t xml:space="preserve">☐  </w:t>
      </w:r>
      <w:r>
        <w:rPr>
          <w:rFonts w:ascii="Calibri" w:hAnsi="Calibri"/>
          <w:b w:val="0"/>
          <w:i w:val="0"/>
          <w:color w:val="333333"/>
          <w:sz w:val="20"/>
        </w:rPr>
        <w:t>Procédure de revue des accès planifiée et responsable désigné</w:t>
      </w:r>
    </w:p>
    <w:p>
      <w:pPr>
        <w:spacing w:before="40" w:after="120"/>
        <w:pBdr>
          <w:bottom w:val="single" w:sz="6" w:space="6" w:color="D8DEE6"/>
        </w:pBdr>
      </w:pPr>
    </w:p>
    <w:p>
      <w:r>
        <w:rPr>
          <w:rFonts w:ascii="Calibri" w:hAnsi="Calibri"/>
          <w:b w:val="0"/>
          <w:i/>
          <w:color w:val="333333"/>
          <w:sz w:val="20"/>
        </w:rPr>
        <w:t>Fin du Document 2.</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2 · Architecture, procédures et dispositifs de sécurité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2 — Architecture, procédures et dispositifs de sécurité</dc:title>
  <dc:subject>Architecture et procédures de sécurité</dc:subject>
  <dc:creator>DBS SA — Digital Business Services</dc:creator>
  <cp:keywords/>
  <dc:description>SUNU Assurances Vie Burkina Faso — Confidentiel — SUNU Assurances Vie et DBS SA</dc:description>
  <cp:lastModifiedBy/>
  <cp:revision>1</cp:revision>
  <dcterms:created xsi:type="dcterms:W3CDTF">2013-12-23T23:15:00Z</dcterms:created>
  <dcterms:modified xsi:type="dcterms:W3CDTF">2013-12-23T23:15:00Z</dcterms:modified>
  <cp:category>Solution mobile de collecte de primes sur terminaux TPE</cp:category>
</cp:coreProperties>
</file>