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pPr>
      <w:r>
        <w:drawing>
          <wp:inline xmlns:a="http://schemas.openxmlformats.org/drawingml/2006/main" xmlns:pic="http://schemas.openxmlformats.org/drawingml/2006/picture">
            <wp:extent cx="1872000" cy="974541"/>
            <wp:docPr id="1" name="Picture 1"/>
            <wp:cNvGraphicFramePr>
              <a:graphicFrameLocks noChangeAspect="1"/>
            </wp:cNvGraphicFramePr>
            <a:graphic>
              <a:graphicData uri="http://schemas.openxmlformats.org/drawingml/2006/picture">
                <pic:pic>
                  <pic:nvPicPr>
                    <pic:cNvPr id="0" name="dbs_logo.png"/>
                    <pic:cNvPicPr/>
                  </pic:nvPicPr>
                  <pic:blipFill>
                    <a:blip r:embed="rId11"/>
                    <a:stretch>
                      <a:fillRect/>
                    </a:stretch>
                  </pic:blipFill>
                  <pic:spPr>
                    <a:xfrm>
                      <a:off x="0" y="0"/>
                      <a:ext cx="1872000" cy="974541"/>
                    </a:xfrm>
                    <a:prstGeom prst="rect"/>
                  </pic:spPr>
                </pic:pic>
              </a:graphicData>
            </a:graphic>
          </wp:inline>
        </w:drawing>
      </w:r>
    </w:p>
    <w:p>
      <w:r>
        <w:rPr>
          <w:rFonts w:ascii="Calibri" w:hAnsi="Calibri"/>
          <w:b/>
          <w:color w:val="2C5F8A"/>
          <w:sz w:val="26"/>
        </w:rPr>
        <w:t>SUNU ASSURANCES VIE BURKINA FASO</w:t>
      </w:r>
    </w:p>
    <w:p>
      <w:pPr>
        <w:spacing w:after="440"/>
      </w:pPr>
      <w:r>
        <w:rPr>
          <w:rFonts w:ascii="Calibri" w:hAnsi="Calibri"/>
          <w:color w:val="666666"/>
          <w:sz w:val="22"/>
        </w:rPr>
        <w:t>Mobile Premium Collection Solution on POS Terminals</w:t>
      </w:r>
    </w:p>
    <w:p>
      <w:pPr>
        <w:spacing w:after="40"/>
      </w:pPr>
      <w:r>
        <w:rPr>
          <w:rFonts w:ascii="Calibri" w:hAnsi="Calibri"/>
          <w:b/>
          <w:color w:val="2C5F8A"/>
          <w:sz w:val="20"/>
        </w:rPr>
        <w:t>DOCUMENT 2</w:t>
      </w:r>
    </w:p>
    <w:p>
      <w:pPr>
        <w:pBdr>
          <w:bottom w:val="single" w:sz="12" w:space="6" w:color="1B3A5C"/>
        </w:pBdr>
        <w:spacing w:after="520"/>
      </w:pPr>
      <w:r>
        <w:rPr>
          <w:rFonts w:ascii="Calibri" w:hAnsi="Calibri"/>
          <w:b/>
          <w:color w:val="1B3A5C"/>
          <w:sz w:val="52"/>
        </w:rPr>
        <w:t>Security Architecture, Procedures and Controls</w:t>
      </w:r>
    </w:p>
    <w:tbl>
      <w:tblPr>
        <w:tblW w:type="auto" w:w="0"/>
        <w:jc w:val="left"/>
        <w:tblLook w:firstColumn="1" w:firstRow="1" w:lastColumn="0" w:lastRow="0" w:noHBand="0" w:noVBand="1" w:val="04A0"/>
      </w:tblPr>
      <w:tblGrid>
        <w:gridCol w:w="2268"/>
        <w:gridCol w:w="6803"/>
      </w:tblGrid>
      <w:tr>
        <w:tc>
          <w:tcPr>
            <w:tcW w:type="dxa" w:w="2268"/>
          </w:tcPr>
          <w:p>
            <w:r>
              <w:rPr>
                <w:rFonts w:ascii="Calibri" w:hAnsi="Calibri"/>
                <w:b/>
                <w:color w:val="2C5F8A"/>
                <w:sz w:val="18"/>
              </w:rPr>
              <w:t>Subject</w:t>
            </w:r>
          </w:p>
        </w:tc>
        <w:tc>
          <w:tcPr>
            <w:tcW w:type="dxa" w:w="6803"/>
          </w:tcPr>
          <w:p>
            <w:r>
              <w:rPr>
                <w:rFonts w:ascii="Calibri" w:hAnsi="Calibri"/>
                <w:color w:val="333333"/>
                <w:sz w:val="18"/>
              </w:rPr>
              <w:t>Security Architecture &amp; Procedures</w:t>
            </w:r>
          </w:p>
        </w:tc>
      </w:tr>
      <w:tr>
        <w:tc>
          <w:tcPr>
            <w:tcW w:type="dxa" w:w="2268"/>
          </w:tcPr>
          <w:p>
            <w:r>
              <w:rPr>
                <w:rFonts w:ascii="Calibri" w:hAnsi="Calibri"/>
                <w:b/>
                <w:color w:val="2C5F8A"/>
                <w:sz w:val="18"/>
              </w:rPr>
              <w:t>Version</w:t>
            </w:r>
          </w:p>
        </w:tc>
        <w:tc>
          <w:tcPr>
            <w:tcW w:type="dxa" w:w="6803"/>
          </w:tcPr>
          <w:p>
            <w:r>
              <w:rPr>
                <w:rFonts w:ascii="Calibri" w:hAnsi="Calibri"/>
                <w:color w:val="333333"/>
                <w:sz w:val="18"/>
              </w:rPr>
              <w:t>1.0 — draft for review</w:t>
            </w:r>
          </w:p>
        </w:tc>
      </w:tr>
      <w:tr>
        <w:tc>
          <w:tcPr>
            <w:tcW w:type="dxa" w:w="2268"/>
          </w:tcPr>
          <w:p>
            <w:r>
              <w:rPr>
                <w:rFonts w:ascii="Calibri" w:hAnsi="Calibri"/>
                <w:b/>
                <w:color w:val="2C5F8A"/>
                <w:sz w:val="18"/>
              </w:rPr>
              <w:t>Date</w:t>
            </w:r>
          </w:p>
        </w:tc>
        <w:tc>
          <w:tcPr>
            <w:tcW w:type="dxa" w:w="6803"/>
          </w:tcPr>
          <w:p>
            <w:r>
              <w:rPr>
                <w:rFonts w:ascii="Calibri" w:hAnsi="Calibri"/>
                <w:color w:val="333333"/>
                <w:sz w:val="18"/>
              </w:rPr>
              <w:t>31 August 2026</w:t>
            </w:r>
          </w:p>
        </w:tc>
      </w:tr>
      <w:tr>
        <w:tc>
          <w:tcPr>
            <w:tcW w:type="dxa" w:w="2268"/>
          </w:tcPr>
          <w:p>
            <w:r>
              <w:rPr>
                <w:rFonts w:ascii="Calibri" w:hAnsi="Calibri"/>
                <w:b/>
                <w:color w:val="2C5F8A"/>
                <w:sz w:val="18"/>
              </w:rPr>
              <w:t>Prepared for</w:t>
            </w:r>
          </w:p>
        </w:tc>
        <w:tc>
          <w:tcPr>
            <w:tcW w:type="dxa" w:w="6803"/>
          </w:tcPr>
          <w:p>
            <w:r>
              <w:rPr>
                <w:rFonts w:ascii="Calibri" w:hAnsi="Calibri"/>
                <w:color w:val="333333"/>
                <w:sz w:val="18"/>
              </w:rPr>
              <w:t>SUNU Assurances Vie Burkina Faso — Central Operations Department</w:t>
            </w:r>
          </w:p>
        </w:tc>
      </w:tr>
      <w:tr>
        <w:tc>
          <w:tcPr>
            <w:tcW w:type="dxa" w:w="2268"/>
          </w:tcPr>
          <w:p>
            <w:r>
              <w:rPr>
                <w:rFonts w:ascii="Calibri" w:hAnsi="Calibri"/>
                <w:b/>
                <w:color w:val="2C5F8A"/>
                <w:sz w:val="18"/>
              </w:rPr>
              <w:t>Prepared by</w:t>
            </w:r>
          </w:p>
        </w:tc>
        <w:tc>
          <w:tcPr>
            <w:tcW w:type="dxa" w:w="6803"/>
          </w:tcPr>
          <w:p>
            <w:r>
              <w:rPr>
                <w:rFonts w:ascii="Calibri" w:hAnsi="Calibri"/>
                <w:color w:val="333333"/>
                <w:sz w:val="18"/>
              </w:rPr>
              <w:t>DBS SA — Digital Business Services</w:t>
            </w:r>
          </w:p>
        </w:tc>
      </w:tr>
      <w:tr>
        <w:tc>
          <w:tcPr>
            <w:tcW w:type="dxa" w:w="2268"/>
          </w:tcPr>
          <w:p>
            <w:r>
              <w:rPr>
                <w:rFonts w:ascii="Calibri" w:hAnsi="Calibri"/>
                <w:b/>
                <w:color w:val="2C5F8A"/>
                <w:sz w:val="18"/>
              </w:rPr>
              <w:t>Classification</w:t>
            </w:r>
          </w:p>
        </w:tc>
        <w:tc>
          <w:tcPr>
            <w:tcW w:type="dxa" w:w="6803"/>
          </w:tcPr>
          <w:p>
            <w:r>
              <w:rPr>
                <w:rFonts w:ascii="Calibri" w:hAnsi="Calibri"/>
                <w:color w:val="333333"/>
                <w:sz w:val="18"/>
              </w:rPr>
              <w:t>Confidential — SUNU Assurances Vie and DBS SA</w:t>
            </w:r>
          </w:p>
        </w:tc>
      </w:tr>
    </w:tbl>
    <w:p>
      <w:r>
        <w:br w:type="page"/>
      </w:r>
    </w:p>
    <w:p>
      <w:pPr>
        <w:spacing w:after="80"/>
      </w:pPr>
      <w:r>
        <w:rPr>
          <w:rFonts w:ascii="Calibri" w:hAnsi="Calibri"/>
          <w:b/>
          <w:color w:val="1B3A5C"/>
          <w:sz w:val="32"/>
        </w:rPr>
        <w:t>Contents</w:t>
      </w:r>
    </w:p>
    <w:p>
      <w:pPr>
        <w:spacing w:before="100" w:after="30"/>
        <w:ind w:left="0"/>
      </w:pPr>
      <w:r>
        <w:fldChar w:fldCharType="begin"/>
        <w:instrText xml:space="preserve"> TOC \o "1-2" \h \z \u </w:instrText>
      </w:r>
      <w:r>
        <w:fldChar w:fldCharType="separate"/>
      </w:r>
      <w:hyperlink w:anchor="_Toc_s000" w:history="1">
        <w:r>
          <w:rPr>
            <w:rFonts w:ascii="Calibri" w:hAnsi="Calibri"/>
            <w:b/>
            <w:color w:val="1B3A5C"/>
            <w:sz w:val="21"/>
          </w:rPr>
          <w:t xml:space="preserve">1. Purpose, Scope and Approach</w:t>
        </w:r>
      </w:hyperlink>
    </w:p>
    <w:p>
      <w:pPr>
        <w:spacing w:before="0" w:after="30"/>
        <w:ind w:left="340"/>
      </w:pPr>
      <w:hyperlink w:anchor="_Toc_s001" w:history="1">
        <w:r>
          <w:rPr>
            <w:rFonts w:ascii="Calibri" w:hAnsi="Calibri"/>
            <w:color w:val="333333"/>
            <w:sz w:val="19"/>
          </w:rPr>
          <w:t xml:space="preserve">1.1 Purpose</w:t>
        </w:r>
      </w:hyperlink>
    </w:p>
    <w:p>
      <w:pPr>
        <w:spacing w:before="0" w:after="30"/>
        <w:ind w:left="340"/>
      </w:pPr>
      <w:hyperlink w:anchor="_Toc_s002" w:history="1">
        <w:r>
          <w:rPr>
            <w:rFonts w:ascii="Calibri" w:hAnsi="Calibri"/>
            <w:color w:val="333333"/>
            <w:sz w:val="19"/>
          </w:rPr>
          <w:t xml:space="preserve">1.2 Scope</w:t>
        </w:r>
      </w:hyperlink>
    </w:p>
    <w:p>
      <w:pPr>
        <w:spacing w:before="0" w:after="30"/>
        <w:ind w:left="340"/>
      </w:pPr>
      <w:hyperlink w:anchor="_Toc_s003" w:history="1">
        <w:r>
          <w:rPr>
            <w:rFonts w:ascii="Calibri" w:hAnsi="Calibri"/>
            <w:color w:val="333333"/>
            <w:sz w:val="19"/>
          </w:rPr>
          <w:t xml:space="preserve">1.3 Approach and honesty statement</w:t>
        </w:r>
      </w:hyperlink>
    </w:p>
    <w:p>
      <w:pPr>
        <w:spacing w:before="0" w:after="30"/>
        <w:ind w:left="340"/>
      </w:pPr>
      <w:hyperlink w:anchor="_Toc_s004" w:history="1">
        <w:r>
          <w:rPr>
            <w:rFonts w:ascii="Calibri" w:hAnsi="Calibri"/>
            <w:color w:val="333333"/>
            <w:sz w:val="19"/>
          </w:rPr>
          <w:t xml:space="preserve">1.4 Reference frameworks</w:t>
        </w:r>
      </w:hyperlink>
    </w:p>
    <w:p>
      <w:pPr>
        <w:spacing w:before="100" w:after="30"/>
        <w:ind w:left="0"/>
      </w:pPr>
      <w:hyperlink w:anchor="_Toc_s005" w:history="1">
        <w:r>
          <w:rPr>
            <w:rFonts w:ascii="Calibri" w:hAnsi="Calibri"/>
            <w:b/>
            <w:color w:val="1B3A5C"/>
            <w:sz w:val="21"/>
          </w:rPr>
          <w:t xml:space="preserve">2. Assets and Security Objectives</w:t>
        </w:r>
      </w:hyperlink>
    </w:p>
    <w:p>
      <w:pPr>
        <w:spacing w:before="0" w:after="30"/>
        <w:ind w:left="340"/>
      </w:pPr>
      <w:hyperlink w:anchor="_Toc_s006" w:history="1">
        <w:r>
          <w:rPr>
            <w:rFonts w:ascii="Calibri" w:hAnsi="Calibri"/>
            <w:color w:val="333333"/>
            <w:sz w:val="19"/>
          </w:rPr>
          <w:t xml:space="preserve">2.1 Assets to protect</w:t>
        </w:r>
      </w:hyperlink>
    </w:p>
    <w:p>
      <w:pPr>
        <w:spacing w:before="0" w:after="30"/>
        <w:ind w:left="340"/>
      </w:pPr>
      <w:hyperlink w:anchor="_Toc_s007" w:history="1">
        <w:r>
          <w:rPr>
            <w:rFonts w:ascii="Calibri" w:hAnsi="Calibri"/>
            <w:color w:val="333333"/>
            <w:sz w:val="19"/>
          </w:rPr>
          <w:t xml:space="preserve">2.2 Security objectives</w:t>
        </w:r>
      </w:hyperlink>
    </w:p>
    <w:p>
      <w:pPr>
        <w:spacing w:before="100" w:after="30"/>
        <w:ind w:left="0"/>
      </w:pPr>
      <w:hyperlink w:anchor="_Toc_s008" w:history="1">
        <w:r>
          <w:rPr>
            <w:rFonts w:ascii="Calibri" w:hAnsi="Calibri"/>
            <w:b/>
            <w:color w:val="1B3A5C"/>
            <w:sz w:val="21"/>
          </w:rPr>
          <w:t xml:space="preserve">3. Threat Model</w:t>
        </w:r>
      </w:hyperlink>
    </w:p>
    <w:p>
      <w:pPr>
        <w:spacing w:before="0" w:after="30"/>
        <w:ind w:left="340"/>
      </w:pPr>
      <w:hyperlink w:anchor="_Toc_s009" w:history="1">
        <w:r>
          <w:rPr>
            <w:rFonts w:ascii="Calibri" w:hAnsi="Calibri"/>
            <w:color w:val="333333"/>
            <w:sz w:val="19"/>
          </w:rPr>
          <w:t xml:space="preserve">3.1 Threat actors</w:t>
        </w:r>
      </w:hyperlink>
    </w:p>
    <w:p>
      <w:pPr>
        <w:spacing w:before="0" w:after="30"/>
        <w:ind w:left="340"/>
      </w:pPr>
      <w:hyperlink w:anchor="_Toc_s010" w:history="1">
        <w:r>
          <w:rPr>
            <w:rFonts w:ascii="Calibri" w:hAnsi="Calibri"/>
            <w:color w:val="333333"/>
            <w:sz w:val="19"/>
          </w:rPr>
          <w:t xml:space="preserve">3.2 Principal threat scenarios and countermeasures</w:t>
        </w:r>
      </w:hyperlink>
    </w:p>
    <w:p>
      <w:pPr>
        <w:spacing w:before="100" w:after="30"/>
        <w:ind w:left="0"/>
      </w:pPr>
      <w:hyperlink w:anchor="_Toc_s011" w:history="1">
        <w:r>
          <w:rPr>
            <w:rFonts w:ascii="Calibri" w:hAnsi="Calibri"/>
            <w:b/>
            <w:color w:val="1B3A5C"/>
            <w:sz w:val="21"/>
          </w:rPr>
          <w:t xml:space="preserve">4. Defence in Depth — Layered Overview</w:t>
        </w:r>
      </w:hyperlink>
    </w:p>
    <w:p>
      <w:pPr>
        <w:spacing w:before="100" w:after="30"/>
        <w:ind w:left="0"/>
      </w:pPr>
      <w:hyperlink w:anchor="_Toc_s012" w:history="1">
        <w:r>
          <w:rPr>
            <w:rFonts w:ascii="Calibri" w:hAnsi="Calibri"/>
            <w:b/>
            <w:color w:val="1B3A5C"/>
            <w:sz w:val="21"/>
          </w:rPr>
          <w:t xml:space="preserve">5. Identity and Access Management</w:t>
        </w:r>
      </w:hyperlink>
    </w:p>
    <w:p>
      <w:pPr>
        <w:spacing w:before="0" w:after="30"/>
        <w:ind w:left="340"/>
      </w:pPr>
      <w:hyperlink w:anchor="_Toc_s013" w:history="1">
        <w:r>
          <w:rPr>
            <w:rFonts w:ascii="Calibri" w:hAnsi="Calibri"/>
            <w:color w:val="333333"/>
            <w:sz w:val="19"/>
          </w:rPr>
          <w:t xml:space="preserve">5.1 Back-office users</w:t>
        </w:r>
      </w:hyperlink>
    </w:p>
    <w:p>
      <w:pPr>
        <w:spacing w:before="0" w:after="30"/>
        <w:ind w:left="340"/>
      </w:pPr>
      <w:hyperlink w:anchor="_Toc_s014" w:history="1">
        <w:r>
          <w:rPr>
            <w:rFonts w:ascii="Calibri" w:hAnsi="Calibri"/>
            <w:color w:val="333333"/>
            <w:sz w:val="19"/>
          </w:rPr>
          <w:t xml:space="preserve">5.2 Role-based access control</w:t>
        </w:r>
      </w:hyperlink>
    </w:p>
    <w:p>
      <w:pPr>
        <w:spacing w:before="0" w:after="30"/>
        <w:ind w:left="340"/>
      </w:pPr>
      <w:hyperlink w:anchor="_Toc_s015" w:history="1">
        <w:r>
          <w:rPr>
            <w:rFonts w:ascii="Calibri" w:hAnsi="Calibri"/>
            <w:color w:val="333333"/>
            <w:sz w:val="19"/>
          </w:rPr>
          <w:t xml:space="preserve">5.3 Collector authentication on the POS</w:t>
        </w:r>
      </w:hyperlink>
    </w:p>
    <w:p>
      <w:pPr>
        <w:spacing w:before="0" w:after="30"/>
        <w:ind w:left="340"/>
      </w:pPr>
      <w:hyperlink w:anchor="_Toc_s016" w:history="1">
        <w:r>
          <w:rPr>
            <w:rFonts w:ascii="Calibri" w:hAnsi="Calibri"/>
            <w:color w:val="333333"/>
            <w:sz w:val="19"/>
          </w:rPr>
          <w:t xml:space="preserve">5.4 Machine-to-machine credentials (API keys)</w:t>
        </w:r>
      </w:hyperlink>
    </w:p>
    <w:p>
      <w:pPr>
        <w:spacing w:before="0" w:after="30"/>
        <w:ind w:left="340"/>
      </w:pPr>
      <w:hyperlink w:anchor="_Toc_s017" w:history="1">
        <w:r>
          <w:rPr>
            <w:rFonts w:ascii="Calibri" w:hAnsi="Calibri"/>
            <w:color w:val="333333"/>
            <w:sz w:val="19"/>
          </w:rPr>
          <w:t xml:space="preserve">5.5 Third-party integration credentials</w:t>
        </w:r>
      </w:hyperlink>
    </w:p>
    <w:p>
      <w:pPr>
        <w:spacing w:before="100" w:after="30"/>
        <w:ind w:left="0"/>
      </w:pPr>
      <w:hyperlink w:anchor="_Toc_s018" w:history="1">
        <w:r>
          <w:rPr>
            <w:rFonts w:ascii="Calibri" w:hAnsi="Calibri"/>
            <w:b/>
            <w:color w:val="1B3A5C"/>
            <w:sz w:val="21"/>
          </w:rPr>
          <w:t xml:space="preserve">6. Data Protection</w:t>
        </w:r>
      </w:hyperlink>
    </w:p>
    <w:p>
      <w:pPr>
        <w:spacing w:before="0" w:after="30"/>
        <w:ind w:left="340"/>
      </w:pPr>
      <w:hyperlink w:anchor="_Toc_s019" w:history="1">
        <w:r>
          <w:rPr>
            <w:rFonts w:ascii="Calibri" w:hAnsi="Calibri"/>
            <w:color w:val="333333"/>
            <w:sz w:val="19"/>
          </w:rPr>
          <w:t xml:space="preserve">6.1 Classification</w:t>
        </w:r>
      </w:hyperlink>
    </w:p>
    <w:p>
      <w:pPr>
        <w:spacing w:before="0" w:after="30"/>
        <w:ind w:left="340"/>
      </w:pPr>
      <w:hyperlink w:anchor="_Toc_s020" w:history="1">
        <w:r>
          <w:rPr>
            <w:rFonts w:ascii="Calibri" w:hAnsi="Calibri"/>
            <w:color w:val="333333"/>
            <w:sz w:val="19"/>
          </w:rPr>
          <w:t xml:space="preserve">6.2 Encryption in transit</w:t>
        </w:r>
      </w:hyperlink>
    </w:p>
    <w:p>
      <w:pPr>
        <w:spacing w:before="0" w:after="30"/>
        <w:ind w:left="340"/>
      </w:pPr>
      <w:hyperlink w:anchor="_Toc_s021" w:history="1">
        <w:r>
          <w:rPr>
            <w:rFonts w:ascii="Calibri" w:hAnsi="Calibri"/>
            <w:color w:val="333333"/>
            <w:sz w:val="19"/>
          </w:rPr>
          <w:t xml:space="preserve">6.3 Encryption at rest</w:t>
        </w:r>
      </w:hyperlink>
    </w:p>
    <w:p>
      <w:pPr>
        <w:spacing w:before="0" w:after="30"/>
        <w:ind w:left="340"/>
      </w:pPr>
      <w:hyperlink w:anchor="_Toc_s022" w:history="1">
        <w:r>
          <w:rPr>
            <w:rFonts w:ascii="Calibri" w:hAnsi="Calibri"/>
            <w:color w:val="333333"/>
            <w:sz w:val="19"/>
          </w:rPr>
          <w:t xml:space="preserve">6.4 Data minimisation</w:t>
        </w:r>
      </w:hyperlink>
    </w:p>
    <w:p>
      <w:pPr>
        <w:spacing w:before="0" w:after="30"/>
        <w:ind w:left="340"/>
      </w:pPr>
      <w:hyperlink w:anchor="_Toc_s023" w:history="1">
        <w:r>
          <w:rPr>
            <w:rFonts w:ascii="Calibri" w:hAnsi="Calibri"/>
            <w:color w:val="333333"/>
            <w:sz w:val="19"/>
          </w:rPr>
          <w:t xml:space="preserve">6.5 Personal data and Burkina Faso law</w:t>
        </w:r>
      </w:hyperlink>
    </w:p>
    <w:p>
      <w:pPr>
        <w:spacing w:before="0" w:after="30"/>
        <w:ind w:left="340"/>
      </w:pPr>
      <w:hyperlink w:anchor="_Toc_s024" w:history="1">
        <w:r>
          <w:rPr>
            <w:rFonts w:ascii="Calibri" w:hAnsi="Calibri"/>
            <w:color w:val="333333"/>
            <w:sz w:val="19"/>
          </w:rPr>
          <w:t xml:space="preserve">6.6 Biometric data (optional capability)</w:t>
        </w:r>
      </w:hyperlink>
    </w:p>
    <w:p>
      <w:pPr>
        <w:spacing w:before="100" w:after="30"/>
        <w:ind w:left="0"/>
      </w:pPr>
      <w:hyperlink w:anchor="_Toc_s025" w:history="1">
        <w:r>
          <w:rPr>
            <w:rFonts w:ascii="Calibri" w:hAnsi="Calibri"/>
            <w:b/>
            <w:color w:val="1B3A5C"/>
            <w:sz w:val="21"/>
          </w:rPr>
          <w:t xml:space="preserve">7. Card and Virtual Card Security</w:t>
        </w:r>
      </w:hyperlink>
    </w:p>
    <w:p>
      <w:pPr>
        <w:spacing w:before="0" w:after="30"/>
        <w:ind w:left="340"/>
      </w:pPr>
      <w:hyperlink w:anchor="_Toc_s026" w:history="1">
        <w:r>
          <w:rPr>
            <w:rFonts w:ascii="Calibri" w:hAnsi="Calibri"/>
            <w:color w:val="333333"/>
            <w:sz w:val="19"/>
          </w:rPr>
          <w:t xml:space="preserve">7.1 Core security property</w:t>
        </w:r>
      </w:hyperlink>
    </w:p>
    <w:p>
      <w:pPr>
        <w:spacing w:before="0" w:after="30"/>
        <w:ind w:left="340"/>
      </w:pPr>
      <w:hyperlink w:anchor="_Toc_s027" w:history="1">
        <w:r>
          <w:rPr>
            <w:rFonts w:ascii="Calibri" w:hAnsi="Calibri"/>
            <w:color w:val="333333"/>
            <w:sz w:val="19"/>
          </w:rPr>
          <w:t xml:space="preserve">7.2 Physical card controls</w:t>
        </w:r>
      </w:hyperlink>
    </w:p>
    <w:p>
      <w:pPr>
        <w:spacing w:before="0" w:after="30"/>
        <w:ind w:left="340"/>
      </w:pPr>
      <w:hyperlink w:anchor="_Toc_s028" w:history="1">
        <w:r>
          <w:rPr>
            <w:rFonts w:ascii="Calibri" w:hAnsi="Calibri"/>
            <w:color w:val="333333"/>
            <w:sz w:val="19"/>
          </w:rPr>
          <w:t xml:space="preserve">7.3 Virtual card (QR) controls</w:t>
        </w:r>
      </w:hyperlink>
    </w:p>
    <w:p>
      <w:pPr>
        <w:spacing w:before="100" w:after="30"/>
        <w:ind w:left="0"/>
      </w:pPr>
      <w:hyperlink w:anchor="_Toc_s029" w:history="1">
        <w:r>
          <w:rPr>
            <w:rFonts w:ascii="Calibri" w:hAnsi="Calibri"/>
            <w:b/>
            <w:color w:val="1B3A5C"/>
            <w:sz w:val="21"/>
          </w:rPr>
          <w:t xml:space="preserve">8. Financial and Anti-Fraud Controls</w:t>
        </w:r>
      </w:hyperlink>
    </w:p>
    <w:p>
      <w:pPr>
        <w:spacing w:before="0" w:after="30"/>
        <w:ind w:left="340"/>
      </w:pPr>
      <w:hyperlink w:anchor="_Toc_s030" w:history="1">
        <w:r>
          <w:rPr>
            <w:rFonts w:ascii="Calibri" w:hAnsi="Calibri"/>
            <w:color w:val="333333"/>
            <w:sz w:val="19"/>
          </w:rPr>
          <w:t xml:space="preserve">8.1 Append-only collection ledger</w:t>
        </w:r>
      </w:hyperlink>
    </w:p>
    <w:p>
      <w:pPr>
        <w:spacing w:before="0" w:after="30"/>
        <w:ind w:left="340"/>
      </w:pPr>
      <w:hyperlink w:anchor="_Toc_s031" w:history="1">
        <w:r>
          <w:rPr>
            <w:rFonts w:ascii="Calibri" w:hAnsi="Calibri"/>
            <w:color w:val="333333"/>
            <w:sz w:val="19"/>
          </w:rPr>
          <w:t xml:space="preserve">8.2 Cap and pay-in as a loss ceiling</w:t>
        </w:r>
      </w:hyperlink>
    </w:p>
    <w:p>
      <w:pPr>
        <w:spacing w:before="0" w:after="30"/>
        <w:ind w:left="340"/>
      </w:pPr>
      <w:hyperlink w:anchor="_Toc_s032" w:history="1">
        <w:r>
          <w:rPr>
            <w:rFonts w:ascii="Calibri" w:hAnsi="Calibri"/>
            <w:color w:val="333333"/>
            <w:sz w:val="19"/>
          </w:rPr>
          <w:t xml:space="preserve">8.3 Segregation of duties on pay-in</w:t>
        </w:r>
      </w:hyperlink>
    </w:p>
    <w:p>
      <w:pPr>
        <w:spacing w:before="0" w:after="30"/>
        <w:ind w:left="340"/>
      </w:pPr>
      <w:hyperlink w:anchor="_Toc_s033" w:history="1">
        <w:r>
          <w:rPr>
            <w:rFonts w:ascii="Calibri" w:hAnsi="Calibri"/>
            <w:color w:val="333333"/>
            <w:sz w:val="19"/>
          </w:rPr>
          <w:t xml:space="preserve">8.4 Detection controls</w:t>
        </w:r>
      </w:hyperlink>
    </w:p>
    <w:p>
      <w:pPr>
        <w:spacing w:before="0" w:after="30"/>
        <w:ind w:left="340"/>
      </w:pPr>
      <w:hyperlink w:anchor="_Toc_s034" w:history="1">
        <w:r>
          <w:rPr>
            <w:rFonts w:ascii="Calibri" w:hAnsi="Calibri"/>
            <w:color w:val="333333"/>
            <w:sz w:val="19"/>
          </w:rPr>
          <w:t xml:space="preserve">8.5 Receipt integrity</w:t>
        </w:r>
      </w:hyperlink>
    </w:p>
    <w:p>
      <w:pPr>
        <w:spacing w:before="100" w:after="30"/>
        <w:ind w:left="0"/>
      </w:pPr>
      <w:hyperlink w:anchor="_Toc_s035" w:history="1">
        <w:r>
          <w:rPr>
            <w:rFonts w:ascii="Calibri" w:hAnsi="Calibri"/>
            <w:b/>
            <w:color w:val="1B3A5C"/>
            <w:sz w:val="21"/>
          </w:rPr>
          <w:t xml:space="preserve">9. Terminal and Mobile Application Security</w:t>
        </w:r>
      </w:hyperlink>
    </w:p>
    <w:p>
      <w:pPr>
        <w:spacing w:before="100" w:after="30"/>
        <w:ind w:left="0"/>
      </w:pPr>
      <w:hyperlink w:anchor="_Toc_s036" w:history="1">
        <w:r>
          <w:rPr>
            <w:rFonts w:ascii="Calibri" w:hAnsi="Calibri"/>
            <w:b/>
            <w:color w:val="1B3A5C"/>
            <w:sz w:val="21"/>
          </w:rPr>
          <w:t xml:space="preserve">10. Integration Security</w:t>
        </w:r>
      </w:hyperlink>
    </w:p>
    <w:p>
      <w:pPr>
        <w:spacing w:before="0" w:after="30"/>
        <w:ind w:left="340"/>
      </w:pPr>
      <w:hyperlink w:anchor="_Toc_s037" w:history="1">
        <w:r>
          <w:rPr>
            <w:rFonts w:ascii="Calibri" w:hAnsi="Calibri"/>
            <w:color w:val="333333"/>
            <w:sz w:val="19"/>
          </w:rPr>
          <w:t xml:space="preserve">10.1 SUNULIFE</w:t>
        </w:r>
      </w:hyperlink>
    </w:p>
    <w:p>
      <w:pPr>
        <w:spacing w:before="0" w:after="30"/>
        <w:ind w:left="340"/>
      </w:pPr>
      <w:hyperlink w:anchor="_Toc_s038" w:history="1">
        <w:r>
          <w:rPr>
            <w:rFonts w:ascii="Calibri" w:hAnsi="Calibri"/>
            <w:color w:val="333333"/>
            <w:sz w:val="19"/>
          </w:rPr>
          <w:t xml:space="preserve">10.2 Mobile Money</w:t>
        </w:r>
      </w:hyperlink>
    </w:p>
    <w:p>
      <w:pPr>
        <w:spacing w:before="0" w:after="30"/>
        <w:ind w:left="340"/>
      </w:pPr>
      <w:hyperlink w:anchor="_Toc_s039" w:history="1">
        <w:r>
          <w:rPr>
            <w:rFonts w:ascii="Calibri" w:hAnsi="Calibri"/>
            <w:color w:val="333333"/>
            <w:sz w:val="19"/>
          </w:rPr>
          <w:t xml:space="preserve">10.3 SMS</w:t>
        </w:r>
      </w:hyperlink>
    </w:p>
    <w:p>
      <w:pPr>
        <w:spacing w:before="100" w:after="30"/>
        <w:ind w:left="0"/>
      </w:pPr>
      <w:hyperlink w:anchor="_Toc_s040" w:history="1">
        <w:r>
          <w:rPr>
            <w:rFonts w:ascii="Calibri" w:hAnsi="Calibri"/>
            <w:b/>
            <w:color w:val="1B3A5C"/>
            <w:sz w:val="21"/>
          </w:rPr>
          <w:t xml:space="preserve">11. Logging, Audit and Monitoring</w:t>
        </w:r>
      </w:hyperlink>
    </w:p>
    <w:p>
      <w:pPr>
        <w:spacing w:before="0" w:after="30"/>
        <w:ind w:left="340"/>
      </w:pPr>
      <w:hyperlink w:anchor="_Toc_s041" w:history="1">
        <w:r>
          <w:rPr>
            <w:rFonts w:ascii="Calibri" w:hAnsi="Calibri"/>
            <w:color w:val="333333"/>
            <w:sz w:val="19"/>
          </w:rPr>
          <w:t xml:space="preserve">11.1 What is recorded</w:t>
        </w:r>
      </w:hyperlink>
    </w:p>
    <w:p>
      <w:pPr>
        <w:spacing w:before="0" w:after="30"/>
        <w:ind w:left="340"/>
      </w:pPr>
      <w:hyperlink w:anchor="_Toc_s042" w:history="1">
        <w:r>
          <w:rPr>
            <w:rFonts w:ascii="Calibri" w:hAnsi="Calibri"/>
            <w:color w:val="333333"/>
            <w:sz w:val="19"/>
          </w:rPr>
          <w:t xml:space="preserve">11.2 Log protection</w:t>
        </w:r>
      </w:hyperlink>
    </w:p>
    <w:p>
      <w:pPr>
        <w:spacing w:before="0" w:after="30"/>
        <w:ind w:left="340"/>
      </w:pPr>
      <w:hyperlink w:anchor="_Toc_s043" w:history="1">
        <w:r>
          <w:rPr>
            <w:rFonts w:ascii="Calibri" w:hAnsi="Calibri"/>
            <w:color w:val="333333"/>
            <w:sz w:val="19"/>
          </w:rPr>
          <w:t xml:space="preserve">11.3 Alerts</w:t>
        </w:r>
      </w:hyperlink>
    </w:p>
    <w:p>
      <w:pPr>
        <w:spacing w:before="0" w:after="30"/>
        <w:ind w:left="340"/>
      </w:pPr>
      <w:hyperlink w:anchor="_Toc_s044" w:history="1">
        <w:r>
          <w:rPr>
            <w:rFonts w:ascii="Calibri" w:hAnsi="Calibri"/>
            <w:color w:val="333333"/>
            <w:sz w:val="19"/>
          </w:rPr>
          <w:t xml:space="preserve">11.4 Review cadence</w:t>
        </w:r>
      </w:hyperlink>
    </w:p>
    <w:p>
      <w:pPr>
        <w:spacing w:before="100" w:after="30"/>
        <w:ind w:left="0"/>
      </w:pPr>
      <w:hyperlink w:anchor="_Toc_s045" w:history="1">
        <w:r>
          <w:rPr>
            <w:rFonts w:ascii="Calibri" w:hAnsi="Calibri"/>
            <w:b/>
            <w:color w:val="1B3A5C"/>
            <w:sz w:val="21"/>
          </w:rPr>
          <w:t xml:space="preserve">12. Hardening Programme — Pre-Existing Items to Correct</w:t>
        </w:r>
      </w:hyperlink>
    </w:p>
    <w:p>
      <w:pPr>
        <w:spacing w:before="100" w:after="30"/>
        <w:ind w:left="0"/>
      </w:pPr>
      <w:hyperlink w:anchor="_Toc_s046" w:history="1">
        <w:r>
          <w:rPr>
            <w:rFonts w:ascii="Calibri" w:hAnsi="Calibri"/>
            <w:b/>
            <w:color w:val="1B3A5C"/>
            <w:sz w:val="21"/>
          </w:rPr>
          <w:t xml:space="preserve">13. Business Continuity and Resilience</w:t>
        </w:r>
      </w:hyperlink>
    </w:p>
    <w:p>
      <w:pPr>
        <w:spacing w:before="100" w:after="30"/>
        <w:ind w:left="0"/>
      </w:pPr>
      <w:hyperlink w:anchor="_Toc_s047" w:history="1">
        <w:r>
          <w:rPr>
            <w:rFonts w:ascii="Calibri" w:hAnsi="Calibri"/>
            <w:b/>
            <w:color w:val="1B3A5C"/>
            <w:sz w:val="21"/>
          </w:rPr>
          <w:t xml:space="preserve">14. Security Procedures for SUNU</w:t>
        </w:r>
      </w:hyperlink>
    </w:p>
    <w:p>
      <w:pPr>
        <w:spacing w:before="0" w:after="30"/>
        <w:ind w:left="340"/>
      </w:pPr>
      <w:hyperlink w:anchor="_Toc_s048" w:history="1">
        <w:r>
          <w:rPr>
            <w:rFonts w:ascii="Calibri" w:hAnsi="Calibri"/>
            <w:color w:val="333333"/>
            <w:sz w:val="19"/>
          </w:rPr>
          <w:t xml:space="preserve">14.1 Collector onboarding and offboarding</w:t>
        </w:r>
      </w:hyperlink>
    </w:p>
    <w:p>
      <w:pPr>
        <w:spacing w:before="0" w:after="30"/>
        <w:ind w:left="340"/>
      </w:pPr>
      <w:hyperlink w:anchor="_Toc_s049" w:history="1">
        <w:r>
          <w:rPr>
            <w:rFonts w:ascii="Calibri" w:hAnsi="Calibri"/>
            <w:color w:val="333333"/>
            <w:sz w:val="19"/>
          </w:rPr>
          <w:t xml:space="preserve">14.2 Access review</w:t>
        </w:r>
      </w:hyperlink>
    </w:p>
    <w:p>
      <w:pPr>
        <w:spacing w:before="0" w:after="30"/>
        <w:ind w:left="340"/>
      </w:pPr>
      <w:hyperlink w:anchor="_Toc_s050" w:history="1">
        <w:r>
          <w:rPr>
            <w:rFonts w:ascii="Calibri" w:hAnsi="Calibri"/>
            <w:color w:val="333333"/>
            <w:sz w:val="19"/>
          </w:rPr>
          <w:t xml:space="preserve">14.3 Card stock</w:t>
        </w:r>
      </w:hyperlink>
    </w:p>
    <w:p>
      <w:pPr>
        <w:spacing w:before="0" w:after="30"/>
        <w:ind w:left="340"/>
      </w:pPr>
      <w:hyperlink w:anchor="_Toc_s051" w:history="1">
        <w:r>
          <w:rPr>
            <w:rFonts w:ascii="Calibri" w:hAnsi="Calibri"/>
            <w:color w:val="333333"/>
            <w:sz w:val="19"/>
          </w:rPr>
          <w:t xml:space="preserve">14.4 Credential handling</w:t>
        </w:r>
      </w:hyperlink>
    </w:p>
    <w:p>
      <w:pPr>
        <w:spacing w:before="0" w:after="30"/>
        <w:ind w:left="340"/>
      </w:pPr>
      <w:hyperlink w:anchor="_Toc_s052" w:history="1">
        <w:r>
          <w:rPr>
            <w:rFonts w:ascii="Calibri" w:hAnsi="Calibri"/>
            <w:color w:val="333333"/>
            <w:sz w:val="19"/>
          </w:rPr>
          <w:t xml:space="preserve">14.5 Awareness</w:t>
        </w:r>
      </w:hyperlink>
    </w:p>
    <w:p>
      <w:pPr>
        <w:spacing w:before="100" w:after="30"/>
        <w:ind w:left="0"/>
      </w:pPr>
      <w:hyperlink w:anchor="_Toc_s053" w:history="1">
        <w:r>
          <w:rPr>
            <w:rFonts w:ascii="Calibri" w:hAnsi="Calibri"/>
            <w:b/>
            <w:color w:val="1B3A5C"/>
            <w:sz w:val="21"/>
          </w:rPr>
          <w:t xml:space="preserve">15. Control Mapping (ISO/IEC 27001:2022 Annex A)</w:t>
        </w:r>
      </w:hyperlink>
    </w:p>
    <w:p>
      <w:pPr>
        <w:spacing w:before="100" w:after="30"/>
        <w:ind w:left="0"/>
      </w:pPr>
      <w:hyperlink w:anchor="_Toc_s054" w:history="1">
        <w:r>
          <w:rPr>
            <w:rFonts w:ascii="Calibri" w:hAnsi="Calibri"/>
            <w:b/>
            <w:color w:val="1B3A5C"/>
            <w:sz w:val="21"/>
          </w:rPr>
          <w:t xml:space="preserve">16. Assurance</w:t>
        </w:r>
      </w:hyperlink>
    </w:p>
    <w:p>
      <w:pPr>
        <w:spacing w:before="0" w:after="30"/>
        <w:ind w:left="340"/>
      </w:pPr>
      <w:hyperlink w:anchor="_Toc_s055" w:history="1">
        <w:r>
          <w:rPr>
            <w:rFonts w:ascii="Calibri" w:hAnsi="Calibri"/>
            <w:color w:val="333333"/>
            <w:sz w:val="19"/>
          </w:rPr>
          <w:t xml:space="preserve">16.1 Incident response</w:t>
        </w:r>
      </w:hyperlink>
    </w:p>
    <w:p>
      <w:pPr>
        <w:spacing w:before="0" w:after="30"/>
        <w:ind w:left="340"/>
      </w:pPr>
      <w:hyperlink w:anchor="_Toc_s056" w:history="1">
        <w:r>
          <w:rPr>
            <w:rFonts w:ascii="Calibri" w:hAnsi="Calibri"/>
            <w:color w:val="333333"/>
            <w:sz w:val="19"/>
          </w:rPr>
          <w:t xml:space="preserve">16.2 Testing before go-live</w:t>
        </w:r>
      </w:hyperlink>
    </w:p>
    <w:p>
      <w:pPr>
        <w:spacing w:before="0" w:after="30"/>
        <w:ind w:left="340"/>
      </w:pPr>
      <w:hyperlink w:anchor="_Toc_s057" w:history="1">
        <w:r>
          <w:rPr>
            <w:rFonts w:ascii="Calibri" w:hAnsi="Calibri"/>
            <w:color w:val="333333"/>
            <w:sz w:val="19"/>
          </w:rPr>
          <w:t xml:space="preserve">16.3 Secure development and change management</w:t>
        </w:r>
      </w:hyperlink>
    </w:p>
    <w:p>
      <w:pPr>
        <w:spacing w:before="100" w:after="30"/>
        <w:ind w:left="0"/>
      </w:pPr>
      <w:hyperlink w:anchor="_Toc_s058" w:history="1">
        <w:r>
          <w:rPr>
            <w:rFonts w:ascii="Calibri" w:hAnsi="Calibri"/>
            <w:b/>
            <w:color w:val="1B3A5C"/>
            <w:sz w:val="21"/>
          </w:rPr>
          <w:t xml:space="preserve">17. Responsibility Matrix</w:t>
        </w:r>
      </w:hyperlink>
    </w:p>
    <w:p>
      <w:pPr>
        <w:spacing w:before="100" w:after="30"/>
        <w:ind w:left="0"/>
      </w:pPr>
      <w:hyperlink w:anchor="_Toc_s059" w:history="1">
        <w:r>
          <w:rPr>
            <w:rFonts w:ascii="Calibri" w:hAnsi="Calibri"/>
            <w:b/>
            <w:color w:val="1B3A5C"/>
            <w:sz w:val="21"/>
          </w:rPr>
          <w:t xml:space="preserve">18. Security Acceptance Checklist (go-live gate)</w:t>
        </w:r>
      </w:hyperlink>
      <w:r>
        <w:fldChar w:fldCharType="end"/>
      </w:r>
    </w:p>
    <w:p>
      <w:r>
        <w:br w:type="page"/>
      </w:r>
    </w:p>
    <w:p>
      <w:pPr>
        <w:pStyle w:val="Heading1"/>
        <w:spacing w:before="360" w:after="80"/>
        <w:keepNext/>
        <w:pBdr>
          <w:bottom w:val="single" w:sz="8" w:space="6" w:color="1B3A5C"/>
        </w:pBdr>
      </w:pPr>
      <w:bookmarkStart w:id="101" w:name="_Toc_s000"/>
      <w:r>
        <w:rPr>
          <w:rFonts w:ascii="Calibri" w:hAnsi="Calibri"/>
          <w:b/>
          <w:color w:val="1B3A5C"/>
          <w:sz w:val="30"/>
        </w:rPr>
        <w:t>1. Purpose, Scope and Approach</w:t>
      </w:r>
      <w:bookmarkEnd w:id="101"/>
    </w:p>
    <w:p>
      <w:pPr>
        <w:pStyle w:val="Heading2"/>
        <w:spacing w:before="280" w:after="80"/>
        <w:keepNext/>
      </w:pPr>
      <w:bookmarkStart w:id="102" w:name="_Toc_s001"/>
      <w:r>
        <w:rPr>
          <w:rFonts w:ascii="Calibri" w:hAnsi="Calibri"/>
          <w:b/>
          <w:color w:val="1B3A5C"/>
          <w:sz w:val="24"/>
        </w:rPr>
        <w:t>1.1 Purpose</w:t>
      </w:r>
      <w:bookmarkEnd w:id="102"/>
    </w:p>
    <w:p>
      <w:r>
        <w:rPr>
          <w:rFonts w:ascii="Calibri" w:hAnsi="Calibri"/>
          <w:b w:val="0"/>
          <w:i w:val="0"/>
          <w:color w:val="333333"/>
          <w:sz w:val="20"/>
        </w:rPr>
        <w:t>This document describes the security mechanisms and procedures protecting the Mobile Premium Collection Solution and the data it handles: who can do what, how money and identity data are protected, how the solution behaves under attack or failure, and what SUNU must do operationally to keep it secure.</w:t>
      </w:r>
    </w:p>
    <w:p>
      <w:pPr>
        <w:pStyle w:val="Heading2"/>
        <w:spacing w:before="280" w:after="80"/>
        <w:keepNext/>
      </w:pPr>
      <w:bookmarkStart w:id="103" w:name="_Toc_s002"/>
      <w:r>
        <w:rPr>
          <w:rFonts w:ascii="Calibri" w:hAnsi="Calibri"/>
          <w:b/>
          <w:color w:val="1B3A5C"/>
          <w:sz w:val="24"/>
        </w:rPr>
        <w:t>1.2 Scope</w:t>
      </w:r>
      <w:bookmarkEnd w:id="103"/>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4873"/>
        <w:gridCol w:w="4873"/>
      </w:tblGrid>
      <w:tr>
        <w:trPr>
          <w:tblHeader w:val="true"/>
        </w:trPr>
        <w:tc>
          <w:tcPr>
            <w:tcW w:type="dxa" w:w="4873"/>
            <w:shd w:val="clear" w:fill="1B3A5C"/>
          </w:tcPr>
          <w:p>
            <w:pPr>
              <w:spacing w:before="60" w:after="60"/>
            </w:pPr>
            <w:r>
              <w:rPr>
                <w:rFonts w:ascii="Calibri" w:hAnsi="Calibri"/>
                <w:b/>
                <w:color w:val="FFFFFF"/>
                <w:sz w:val="17"/>
              </w:rPr>
              <w:t>In scope</w:t>
            </w:r>
          </w:p>
        </w:tc>
        <w:tc>
          <w:tcPr>
            <w:tcW w:type="dxa" w:w="4873"/>
            <w:shd w:val="clear" w:fill="1B3A5C"/>
          </w:tcPr>
          <w:p>
            <w:pPr>
              <w:spacing w:before="60" w:after="60"/>
            </w:pPr>
            <w:r>
              <w:rPr>
                <w:rFonts w:ascii="Calibri" w:hAnsi="Calibri"/>
                <w:b/>
                <w:color w:val="FFFFFF"/>
                <w:sz w:val="17"/>
              </w:rPr>
              <w:t>Out of scope</w:t>
            </w:r>
          </w:p>
        </w:tc>
      </w:tr>
      <w:tr>
        <w:tc>
          <w:tcPr>
            <w:tcW w:type="dxa" w:w="4873"/>
          </w:tcPr>
          <w:p>
            <w:pPr>
              <w:spacing w:before="40" w:after="40"/>
            </w:pPr>
            <w:r>
              <w:rPr>
                <w:rFonts w:ascii="Calibri" w:hAnsi="Calibri"/>
                <w:b w:val="0"/>
                <w:i w:val="0"/>
                <w:color w:val="333333"/>
                <w:sz w:val="17"/>
              </w:rPr>
              <w:t>POS application and terminal fleet</w:t>
            </w:r>
          </w:p>
        </w:tc>
        <w:tc>
          <w:tcPr>
            <w:tcW w:type="dxa" w:w="4873"/>
          </w:tcPr>
          <w:p>
            <w:pPr>
              <w:spacing w:before="40" w:after="40"/>
            </w:pPr>
            <w:r>
              <w:rPr>
                <w:rFonts w:ascii="Calibri" w:hAnsi="Calibri"/>
                <w:b w:val="0"/>
                <w:i w:val="0"/>
                <w:color w:val="333333"/>
                <w:sz w:val="17"/>
              </w:rPr>
              <w:t>SUNU's internal corporate network and workstations</w:t>
            </w:r>
          </w:p>
        </w:tc>
      </w:tr>
      <w:tr>
        <w:tc>
          <w:tcPr>
            <w:tcW w:type="dxa" w:w="4873"/>
            <w:shd w:val="clear" w:fill="F2F6FA"/>
          </w:tcPr>
          <w:p>
            <w:pPr>
              <w:spacing w:before="40" w:after="40"/>
            </w:pPr>
            <w:r>
              <w:rPr>
                <w:rFonts w:ascii="Calibri" w:hAnsi="Calibri"/>
                <w:b w:val="0"/>
                <w:i w:val="0"/>
                <w:color w:val="333333"/>
                <w:sz w:val="17"/>
              </w:rPr>
              <w:t>Back-office web application and REST API</w:t>
            </w:r>
          </w:p>
        </w:tc>
        <w:tc>
          <w:tcPr>
            <w:tcW w:type="dxa" w:w="4873"/>
            <w:shd w:val="clear" w:fill="F2F6FA"/>
          </w:tcPr>
          <w:p>
            <w:pPr>
              <w:spacing w:before="40" w:after="40"/>
            </w:pPr>
            <w:r>
              <w:rPr>
                <w:rFonts w:ascii="Calibri" w:hAnsi="Calibri"/>
                <w:b w:val="0"/>
                <w:i w:val="0"/>
                <w:color w:val="333333"/>
                <w:sz w:val="17"/>
              </w:rPr>
              <w:t>SUNULIFE's own internal security (SUNU/editor responsibility)</w:t>
            </w:r>
          </w:p>
        </w:tc>
      </w:tr>
      <w:tr>
        <w:tc>
          <w:tcPr>
            <w:tcW w:type="dxa" w:w="4873"/>
          </w:tcPr>
          <w:p>
            <w:pPr>
              <w:spacing w:before="40" w:after="40"/>
            </w:pPr>
            <w:r>
              <w:rPr>
                <w:rFonts w:ascii="Calibri" w:hAnsi="Calibri"/>
                <w:b w:val="0"/>
                <w:i w:val="0"/>
                <w:color w:val="333333"/>
                <w:sz w:val="17"/>
              </w:rPr>
              <w:t>Database, file storage, backups</w:t>
            </w:r>
          </w:p>
        </w:tc>
        <w:tc>
          <w:tcPr>
            <w:tcW w:type="dxa" w:w="4873"/>
          </w:tcPr>
          <w:p>
            <w:pPr>
              <w:spacing w:before="40" w:after="40"/>
            </w:pPr>
            <w:r>
              <w:rPr>
                <w:rFonts w:ascii="Calibri" w:hAnsi="Calibri"/>
                <w:b w:val="0"/>
                <w:i w:val="0"/>
                <w:color w:val="333333"/>
                <w:sz w:val="17"/>
              </w:rPr>
              <w:t>Mobile Money operators' internal security</w:t>
            </w:r>
          </w:p>
        </w:tc>
      </w:tr>
      <w:tr>
        <w:tc>
          <w:tcPr>
            <w:tcW w:type="dxa" w:w="4873"/>
            <w:shd w:val="clear" w:fill="F2F6FA"/>
          </w:tcPr>
          <w:p>
            <w:pPr>
              <w:spacing w:before="40" w:after="40"/>
            </w:pPr>
            <w:r>
              <w:rPr>
                <w:rFonts w:ascii="Calibri" w:hAnsi="Calibri"/>
                <w:b w:val="0"/>
                <w:i w:val="0"/>
                <w:color w:val="333333"/>
                <w:sz w:val="17"/>
              </w:rPr>
              <w:t>Integrations: SUNULIFE, Mobile Money, SMS</w:t>
            </w:r>
          </w:p>
        </w:tc>
        <w:tc>
          <w:tcPr>
            <w:tcW w:type="dxa" w:w="4873"/>
            <w:shd w:val="clear" w:fill="F2F6FA"/>
          </w:tcPr>
          <w:p>
            <w:pPr>
              <w:spacing w:before="40" w:after="40"/>
            </w:pPr>
            <w:r>
              <w:rPr>
                <w:rFonts w:ascii="Calibri" w:hAnsi="Calibri"/>
                <w:b w:val="0"/>
                <w:i w:val="0"/>
                <w:color w:val="333333"/>
                <w:sz w:val="17"/>
              </w:rPr>
              <w:t>Physical security of SUNU premises</w:t>
            </w:r>
          </w:p>
        </w:tc>
      </w:tr>
      <w:tr>
        <w:tc>
          <w:tcPr>
            <w:tcW w:type="dxa" w:w="4873"/>
          </w:tcPr>
          <w:p>
            <w:pPr>
              <w:spacing w:before="40" w:after="40"/>
            </w:pPr>
            <w:r>
              <w:rPr>
                <w:rFonts w:ascii="Calibri" w:hAnsi="Calibri"/>
                <w:b w:val="0"/>
                <w:i w:val="0"/>
                <w:color w:val="333333"/>
                <w:sz w:val="17"/>
              </w:rPr>
              <w:t>Card issuance chain (physical and virtual)</w:t>
            </w:r>
          </w:p>
        </w:tc>
        <w:tc>
          <w:tcPr>
            <w:tcW w:type="dxa" w:w="4873"/>
          </w:tcPr>
          <w:p>
            <w:pPr>
              <w:spacing w:before="40" w:after="40"/>
            </w:pPr>
            <w:r>
              <w:rPr>
                <w:rFonts w:ascii="Calibri" w:hAnsi="Calibri"/>
                <w:b w:val="0"/>
                <w:i w:val="0"/>
                <w:color w:val="333333"/>
                <w:sz w:val="17"/>
              </w:rPr>
              <w:t>Legal validity of the paper proposal</w:t>
            </w:r>
          </w:p>
        </w:tc>
      </w:tr>
      <w:tr>
        <w:tc>
          <w:tcPr>
            <w:tcW w:type="dxa" w:w="4873"/>
            <w:shd w:val="clear" w:fill="F2F6FA"/>
          </w:tcPr>
          <w:p>
            <w:pPr>
              <w:spacing w:before="40" w:after="40"/>
            </w:pPr>
            <w:r>
              <w:rPr>
                <w:rFonts w:ascii="Calibri" w:hAnsi="Calibri"/>
                <w:b w:val="0"/>
                <w:i w:val="0"/>
                <w:color w:val="333333"/>
                <w:sz w:val="17"/>
              </w:rPr>
              <w:t>Operational security procedures for SUNU staff</w:t>
            </w:r>
          </w:p>
        </w:tc>
        <w:tc>
          <w:tcPr>
            <w:tcW w:type="dxa" w:w="4873"/>
            <w:shd w:val="clear" w:fill="F2F6FA"/>
          </w:tcPr>
          <w:p>
            <w:pPr>
              <w:spacing w:before="40" w:after="40"/>
            </w:pPr>
          </w:p>
        </w:tc>
      </w:tr>
    </w:tbl>
    <w:p>
      <w:pPr>
        <w:spacing w:after="40"/>
      </w:pPr>
    </w:p>
    <w:p>
      <w:pPr>
        <w:pStyle w:val="Heading2"/>
        <w:spacing w:before="280" w:after="80"/>
        <w:keepNext/>
      </w:pPr>
      <w:bookmarkStart w:id="104" w:name="_Toc_s003"/>
      <w:r>
        <w:rPr>
          <w:rFonts w:ascii="Calibri" w:hAnsi="Calibri"/>
          <w:b/>
          <w:color w:val="1B3A5C"/>
          <w:sz w:val="24"/>
        </w:rPr>
        <w:t>1.3 Approach and honesty statement</w:t>
      </w:r>
      <w:bookmarkEnd w:id="104"/>
    </w:p>
    <w:p>
      <w:r>
        <w:rPr>
          <w:rFonts w:ascii="Calibri" w:hAnsi="Calibri"/>
          <w:b w:val="0"/>
          <w:i w:val="0"/>
          <w:color w:val="333333"/>
          <w:sz w:val="20"/>
        </w:rPr>
        <w:t xml:space="preserve">The solution is a customisation of a platform already running in production for financial services. That is an advantage — the controls described here are mostly </w:t>
      </w:r>
      <w:r>
        <w:rPr>
          <w:rFonts w:ascii="Calibri" w:hAnsi="Calibri"/>
          <w:b w:val="0"/>
          <w:i/>
          <w:color w:val="333333"/>
          <w:sz w:val="20"/>
        </w:rPr>
        <w:t>operating</w:t>
      </w:r>
      <w:r>
        <w:rPr>
          <w:rFonts w:ascii="Calibri" w:hAnsi="Calibri"/>
          <w:b w:val="0"/>
          <w:i w:val="0"/>
          <w:color w:val="333333"/>
          <w:sz w:val="20"/>
        </w:rPr>
        <w:t xml:space="preserve"> controls, not promises.</w:t>
      </w:r>
    </w:p>
    <w:p>
      <w:r>
        <w:rPr>
          <w:rFonts w:ascii="Calibri" w:hAnsi="Calibri"/>
          <w:b w:val="0"/>
          <w:i w:val="0"/>
          <w:color w:val="333333"/>
          <w:sz w:val="20"/>
        </w:rPr>
        <w:t xml:space="preserve">It also means the platform carries pre-existing implementation choices that are </w:t>
      </w:r>
      <w:r>
        <w:rPr>
          <w:rFonts w:ascii="Calibri" w:hAnsi="Calibri"/>
          <w:b/>
          <w:i w:val="0"/>
          <w:color w:val="333333"/>
          <w:sz w:val="20"/>
        </w:rPr>
        <w:t>not appropriate for an insurer's production deployment</w:t>
      </w:r>
      <w:r>
        <w:rPr>
          <w:rFonts w:ascii="Calibri" w:hAnsi="Calibri"/>
          <w:b w:val="0"/>
          <w:i w:val="0"/>
          <w:color w:val="333333"/>
          <w:sz w:val="20"/>
        </w:rPr>
        <w:t xml:space="preserve"> and are being corrected as part of this project. Section 12 lists them explicitly, with the fix and the target date, rather than omitting them. An insurer's IT review will find them; declaring them first is the only defensible position and it is how this project treats security throughout.</w:t>
      </w:r>
    </w:p>
    <w:p>
      <w:pPr>
        <w:pStyle w:val="Heading2"/>
        <w:spacing w:before="280" w:after="80"/>
        <w:keepNext/>
      </w:pPr>
      <w:bookmarkStart w:id="105" w:name="_Toc_s004"/>
      <w:r>
        <w:rPr>
          <w:rFonts w:ascii="Calibri" w:hAnsi="Calibri"/>
          <w:b/>
          <w:color w:val="1B3A5C"/>
          <w:sz w:val="24"/>
        </w:rPr>
        <w:t>1.4 Reference frameworks</w:t>
      </w:r>
      <w:bookmarkEnd w:id="105"/>
    </w:p>
    <w:p>
      <w:r>
        <w:rPr>
          <w:rFonts w:ascii="Calibri" w:hAnsi="Calibri"/>
          <w:b w:val="0"/>
          <w:i w:val="0"/>
          <w:color w:val="333333"/>
          <w:sz w:val="20"/>
        </w:rPr>
        <w:t>The design is aligned to, without claiming certification against:</w:t>
      </w:r>
    </w:p>
    <w:p>
      <w:pPr>
        <w:spacing w:after="40"/>
        <w:ind w:left="312" w:hanging="198"/>
      </w:pPr>
      <w:r>
        <w:rPr>
          <w:rFonts w:ascii="Calibri" w:hAnsi="Calibri"/>
          <w:b w:val="0"/>
          <w:color w:val="2C5F8A"/>
          <w:sz w:val="20"/>
        </w:rPr>
        <w:t xml:space="preserve">•  </w:t>
      </w:r>
      <w:r>
        <w:rPr>
          <w:rFonts w:ascii="Calibri" w:hAnsi="Calibri"/>
          <w:b/>
          <w:i w:val="0"/>
          <w:color w:val="333333"/>
          <w:sz w:val="20"/>
        </w:rPr>
        <w:t>ISO/IEC 27001:2022</w:t>
      </w:r>
      <w:r>
        <w:rPr>
          <w:rFonts w:ascii="Calibri" w:hAnsi="Calibri"/>
          <w:b w:val="0"/>
          <w:i w:val="0"/>
          <w:color w:val="333333"/>
          <w:sz w:val="20"/>
        </w:rPr>
        <w:t xml:space="preserve"> — information security management, used as the control taxonomy in section 15.</w:t>
      </w:r>
    </w:p>
    <w:p>
      <w:pPr>
        <w:spacing w:after="40"/>
        <w:ind w:left="312" w:hanging="198"/>
      </w:pPr>
      <w:r>
        <w:rPr>
          <w:rFonts w:ascii="Calibri" w:hAnsi="Calibri"/>
          <w:b w:val="0"/>
          <w:color w:val="2C5F8A"/>
          <w:sz w:val="20"/>
        </w:rPr>
        <w:t xml:space="preserve">•  </w:t>
      </w:r>
      <w:r>
        <w:rPr>
          <w:rFonts w:ascii="Calibri" w:hAnsi="Calibri"/>
          <w:b/>
          <w:i w:val="0"/>
          <w:color w:val="333333"/>
          <w:sz w:val="20"/>
        </w:rPr>
        <w:t>ISO/IEC 27002</w:t>
      </w:r>
      <w:r>
        <w:rPr>
          <w:rFonts w:ascii="Calibri" w:hAnsi="Calibri"/>
          <w:b w:val="0"/>
          <w:i w:val="0"/>
          <w:color w:val="333333"/>
          <w:sz w:val="20"/>
        </w:rPr>
        <w:t xml:space="preserve"> — implementation guidance.</w:t>
      </w:r>
    </w:p>
    <w:p>
      <w:pPr>
        <w:spacing w:after="40"/>
        <w:ind w:left="312" w:hanging="198"/>
      </w:pPr>
      <w:r>
        <w:rPr>
          <w:rFonts w:ascii="Calibri" w:hAnsi="Calibri"/>
          <w:b w:val="0"/>
          <w:color w:val="2C5F8A"/>
          <w:sz w:val="20"/>
        </w:rPr>
        <w:t xml:space="preserve">•  </w:t>
      </w:r>
      <w:r>
        <w:rPr>
          <w:rFonts w:ascii="Calibri" w:hAnsi="Calibri"/>
          <w:b/>
          <w:i w:val="0"/>
          <w:color w:val="333333"/>
          <w:sz w:val="20"/>
        </w:rPr>
        <w:t>PCI-DSS v4.0</w:t>
      </w:r>
      <w:r>
        <w:rPr>
          <w:rFonts w:ascii="Calibri" w:hAnsi="Calibri"/>
          <w:b w:val="0"/>
          <w:i w:val="0"/>
          <w:color w:val="333333"/>
          <w:sz w:val="20"/>
        </w:rPr>
        <w:t xml:space="preserve"> — used as a </w:t>
      </w:r>
      <w:r>
        <w:rPr>
          <w:rFonts w:ascii="Calibri" w:hAnsi="Calibri"/>
          <w:b w:val="0"/>
          <w:i/>
          <w:color w:val="333333"/>
          <w:sz w:val="20"/>
        </w:rPr>
        <w:t>design reference</w:t>
      </w:r>
      <w:r>
        <w:rPr>
          <w:rFonts w:ascii="Calibri" w:hAnsi="Calibri"/>
          <w:b w:val="0"/>
          <w:i w:val="0"/>
          <w:color w:val="333333"/>
          <w:sz w:val="20"/>
        </w:rPr>
        <w:t xml:space="preserve"> for card and payment handling. Note: the solution stores </w:t>
      </w:r>
      <w:r>
        <w:rPr>
          <w:rFonts w:ascii="Calibri" w:hAnsi="Calibri"/>
          <w:b/>
          <w:i w:val="0"/>
          <w:color w:val="333333"/>
          <w:sz w:val="20"/>
        </w:rPr>
        <w:t>no card payment credentials and no bank card data</w:t>
      </w:r>
      <w:r>
        <w:rPr>
          <w:rFonts w:ascii="Calibri" w:hAnsi="Calibri"/>
          <w:b w:val="0"/>
          <w:i w:val="0"/>
          <w:color w:val="333333"/>
          <w:sz w:val="20"/>
        </w:rPr>
        <w:t>; the cards issued are insurance identity cards. Full PCI-DSS scope therefore does not apply, but its controls on key management, logging and network segmentation are adopted as good practice.</w:t>
      </w:r>
    </w:p>
    <w:p>
      <w:pPr>
        <w:spacing w:after="40"/>
        <w:ind w:left="312" w:hanging="198"/>
      </w:pPr>
      <w:r>
        <w:rPr>
          <w:rFonts w:ascii="Calibri" w:hAnsi="Calibri"/>
          <w:b w:val="0"/>
          <w:color w:val="2C5F8A"/>
          <w:sz w:val="20"/>
        </w:rPr>
        <w:t xml:space="preserve">•  </w:t>
      </w:r>
      <w:r>
        <w:rPr>
          <w:rFonts w:ascii="Calibri" w:hAnsi="Calibri"/>
          <w:b/>
          <w:i w:val="0"/>
          <w:color w:val="333333"/>
          <w:sz w:val="20"/>
        </w:rPr>
        <w:t>OWASP ASVS 4.0 Level 2</w:t>
      </w:r>
      <w:r>
        <w:rPr>
          <w:rFonts w:ascii="Calibri" w:hAnsi="Calibri"/>
          <w:b w:val="0"/>
          <w:i w:val="0"/>
          <w:color w:val="333333"/>
          <w:sz w:val="20"/>
        </w:rPr>
        <w:t xml:space="preserve"> and </w:t>
      </w:r>
      <w:r>
        <w:rPr>
          <w:rFonts w:ascii="Calibri" w:hAnsi="Calibri"/>
          <w:b/>
          <w:i w:val="0"/>
          <w:color w:val="333333"/>
          <w:sz w:val="20"/>
        </w:rPr>
        <w:t>OWASP Top 10 (2021)</w:t>
      </w:r>
      <w:r>
        <w:rPr>
          <w:rFonts w:ascii="Calibri" w:hAnsi="Calibri"/>
          <w:b w:val="0"/>
          <w:i w:val="0"/>
          <w:color w:val="333333"/>
          <w:sz w:val="20"/>
        </w:rPr>
        <w:t xml:space="preserve"> — application security verification.</w:t>
      </w:r>
    </w:p>
    <w:p>
      <w:pPr>
        <w:spacing w:after="40"/>
        <w:ind w:left="312" w:hanging="198"/>
      </w:pPr>
      <w:r>
        <w:rPr>
          <w:rFonts w:ascii="Calibri" w:hAnsi="Calibri"/>
          <w:b w:val="0"/>
          <w:color w:val="2C5F8A"/>
          <w:sz w:val="20"/>
        </w:rPr>
        <w:t xml:space="preserve">•  </w:t>
      </w:r>
      <w:r>
        <w:rPr>
          <w:rFonts w:ascii="Calibri" w:hAnsi="Calibri"/>
          <w:b/>
          <w:i w:val="0"/>
          <w:color w:val="333333"/>
          <w:sz w:val="20"/>
        </w:rPr>
        <w:t>OWASP MASVS</w:t>
      </w:r>
      <w:r>
        <w:rPr>
          <w:rFonts w:ascii="Calibri" w:hAnsi="Calibri"/>
          <w:b w:val="0"/>
          <w:i w:val="0"/>
          <w:color w:val="333333"/>
          <w:sz w:val="20"/>
        </w:rPr>
        <w:t xml:space="preserve"> — mobile application security.</w:t>
      </w:r>
    </w:p>
    <w:p>
      <w:pPr>
        <w:spacing w:after="40"/>
        <w:ind w:left="312" w:hanging="198"/>
      </w:pPr>
      <w:r>
        <w:rPr>
          <w:rFonts w:ascii="Calibri" w:hAnsi="Calibri"/>
          <w:b w:val="0"/>
          <w:color w:val="2C5F8A"/>
          <w:sz w:val="20"/>
        </w:rPr>
        <w:t xml:space="preserve">•  </w:t>
      </w:r>
      <w:r>
        <w:rPr>
          <w:rFonts w:ascii="Calibri" w:hAnsi="Calibri"/>
          <w:b/>
          <w:i w:val="0"/>
          <w:color w:val="333333"/>
          <w:sz w:val="20"/>
        </w:rPr>
        <w:t>Loi n°001-2021/AN portant protection des personnes à l'égard du traitement des données à caractère personnel (Burkina Faso)</w:t>
      </w:r>
      <w:r>
        <w:rPr>
          <w:rFonts w:ascii="Calibri" w:hAnsi="Calibri"/>
          <w:b w:val="0"/>
          <w:i w:val="0"/>
          <w:color w:val="333333"/>
          <w:sz w:val="20"/>
        </w:rPr>
        <w:t xml:space="preserve"> and the supervision of the </w:t>
      </w:r>
      <w:r>
        <w:rPr>
          <w:rFonts w:ascii="Calibri" w:hAnsi="Calibri"/>
          <w:b/>
          <w:i w:val="0"/>
          <w:color w:val="333333"/>
          <w:sz w:val="20"/>
        </w:rPr>
        <w:t>Commission de l'Informatique et des Libertés (CIL)</w:t>
      </w:r>
      <w:r>
        <w:rPr>
          <w:rFonts w:ascii="Calibri" w:hAnsi="Calibri"/>
          <w:b w:val="0"/>
          <w:i w:val="0"/>
          <w:color w:val="333333"/>
          <w:sz w:val="20"/>
        </w:rPr>
        <w:t xml:space="preserve"> — personal data.</w:t>
      </w:r>
    </w:p>
    <w:p>
      <w:pPr>
        <w:spacing w:after="40"/>
        <w:ind w:left="312" w:hanging="198"/>
      </w:pPr>
      <w:r>
        <w:rPr>
          <w:rFonts w:ascii="Calibri" w:hAnsi="Calibri"/>
          <w:b w:val="0"/>
          <w:color w:val="2C5F8A"/>
          <w:sz w:val="20"/>
        </w:rPr>
        <w:t xml:space="preserve">•  </w:t>
      </w:r>
      <w:r>
        <w:rPr>
          <w:rFonts w:ascii="Calibri" w:hAnsi="Calibri"/>
          <w:b/>
          <w:i w:val="0"/>
          <w:color w:val="333333"/>
          <w:sz w:val="20"/>
        </w:rPr>
        <w:t>CIMA Code</w:t>
      </w:r>
      <w:r>
        <w:rPr>
          <w:rFonts w:ascii="Calibri" w:hAnsi="Calibri"/>
          <w:b w:val="0"/>
          <w:i w:val="0"/>
          <w:color w:val="333333"/>
          <w:sz w:val="20"/>
        </w:rPr>
        <w:t xml:space="preserve"> and </w:t>
      </w:r>
      <w:r>
        <w:rPr>
          <w:rFonts w:ascii="Calibri" w:hAnsi="Calibri"/>
          <w:b/>
          <w:i w:val="0"/>
          <w:color w:val="333333"/>
          <w:sz w:val="20"/>
        </w:rPr>
        <w:t>BCEAO</w:t>
      </w:r>
      <w:r>
        <w:rPr>
          <w:rFonts w:ascii="Calibri" w:hAnsi="Calibri"/>
          <w:b w:val="0"/>
          <w:i w:val="0"/>
          <w:color w:val="333333"/>
          <w:sz w:val="20"/>
        </w:rPr>
        <w:t xml:space="preserve"> requirements applicable to insurance operations and to electronic money acceptance in the UEMOA zone.</w:t>
      </w:r>
    </w:p>
    <w:p>
      <w:pPr>
        <w:pStyle w:val="Heading1"/>
        <w:pageBreakBefore/>
        <w:spacing w:before="360" w:after="80"/>
        <w:keepNext/>
        <w:pBdr>
          <w:bottom w:val="single" w:sz="8" w:space="6" w:color="1B3A5C"/>
        </w:pBdr>
      </w:pPr>
      <w:bookmarkStart w:id="106" w:name="_Toc_s005"/>
      <w:r>
        <w:rPr>
          <w:rFonts w:ascii="Calibri" w:hAnsi="Calibri"/>
          <w:b/>
          <w:color w:val="1B3A5C"/>
          <w:sz w:val="30"/>
        </w:rPr>
        <w:t>2. Assets and Security Objectives</w:t>
      </w:r>
      <w:bookmarkEnd w:id="106"/>
    </w:p>
    <w:p>
      <w:pPr>
        <w:pStyle w:val="Heading2"/>
        <w:spacing w:before="280" w:after="80"/>
        <w:keepNext/>
      </w:pPr>
      <w:bookmarkStart w:id="107" w:name="_Toc_s006"/>
      <w:r>
        <w:rPr>
          <w:rFonts w:ascii="Calibri" w:hAnsi="Calibri"/>
          <w:b/>
          <w:color w:val="1B3A5C"/>
          <w:sz w:val="24"/>
        </w:rPr>
        <w:t>2.1 Assets to protect</w:t>
      </w:r>
      <w:bookmarkEnd w:id="107"/>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1949"/>
        <w:gridCol w:w="1949"/>
        <w:gridCol w:w="1949"/>
        <w:gridCol w:w="1949"/>
        <w:gridCol w:w="1949"/>
      </w:tblGrid>
      <w:tr>
        <w:trPr>
          <w:tblHeader w:val="true"/>
        </w:trPr>
        <w:tc>
          <w:tcPr>
            <w:tcW w:type="dxa" w:w="907"/>
            <w:shd w:val="clear" w:fill="1B3A5C"/>
          </w:tcPr>
          <w:p>
            <w:pPr>
              <w:spacing w:before="60" w:after="60"/>
            </w:pPr>
            <w:r>
              <w:rPr>
                <w:rFonts w:ascii="Calibri" w:hAnsi="Calibri"/>
                <w:b/>
                <w:color w:val="FFFFFF"/>
                <w:sz w:val="17"/>
              </w:rPr>
              <w:t>#</w:t>
            </w:r>
          </w:p>
        </w:tc>
        <w:tc>
          <w:tcPr>
            <w:tcW w:type="dxa" w:w="2126"/>
            <w:shd w:val="clear" w:fill="1B3A5C"/>
          </w:tcPr>
          <w:p>
            <w:pPr>
              <w:spacing w:before="60" w:after="60"/>
            </w:pPr>
            <w:r>
              <w:rPr>
                <w:rFonts w:ascii="Calibri" w:hAnsi="Calibri"/>
                <w:b/>
                <w:color w:val="FFFFFF"/>
                <w:sz w:val="17"/>
              </w:rPr>
              <w:t>Asset</w:t>
            </w:r>
          </w:p>
        </w:tc>
        <w:tc>
          <w:tcPr>
            <w:tcW w:type="dxa" w:w="2126"/>
            <w:shd w:val="clear" w:fill="1B3A5C"/>
          </w:tcPr>
          <w:p>
            <w:pPr>
              <w:spacing w:before="60" w:after="60"/>
            </w:pPr>
            <w:r>
              <w:rPr>
                <w:rFonts w:ascii="Calibri" w:hAnsi="Calibri"/>
                <w:b/>
                <w:color w:val="FFFFFF"/>
                <w:sz w:val="17"/>
              </w:rPr>
              <w:t>Confidentiality</w:t>
            </w:r>
          </w:p>
        </w:tc>
        <w:tc>
          <w:tcPr>
            <w:tcW w:type="dxa" w:w="2126"/>
            <w:shd w:val="clear" w:fill="1B3A5C"/>
          </w:tcPr>
          <w:p>
            <w:pPr>
              <w:spacing w:before="60" w:after="60"/>
            </w:pPr>
            <w:r>
              <w:rPr>
                <w:rFonts w:ascii="Calibri" w:hAnsi="Calibri"/>
                <w:b/>
                <w:color w:val="FFFFFF"/>
                <w:sz w:val="17"/>
              </w:rPr>
              <w:t>Integrity</w:t>
            </w:r>
          </w:p>
        </w:tc>
        <w:tc>
          <w:tcPr>
            <w:tcW w:type="dxa" w:w="2126"/>
            <w:shd w:val="clear" w:fill="1B3A5C"/>
          </w:tcPr>
          <w:p>
            <w:pPr>
              <w:spacing w:before="60" w:after="60"/>
            </w:pPr>
            <w:r>
              <w:rPr>
                <w:rFonts w:ascii="Calibri" w:hAnsi="Calibri"/>
                <w:b/>
                <w:color w:val="FFFFFF"/>
                <w:sz w:val="17"/>
              </w:rPr>
              <w:t>Availability</w:t>
            </w:r>
          </w:p>
        </w:tc>
      </w:tr>
      <w:tr>
        <w:tc>
          <w:tcPr>
            <w:tcW w:type="dxa" w:w="907"/>
          </w:tcPr>
          <w:p>
            <w:pPr>
              <w:spacing w:before="40" w:after="40"/>
            </w:pPr>
            <w:r>
              <w:rPr>
                <w:rFonts w:ascii="Calibri" w:hAnsi="Calibri"/>
                <w:b w:val="0"/>
                <w:i w:val="0"/>
                <w:color w:val="333333"/>
                <w:sz w:val="17"/>
              </w:rPr>
              <w:t>A1</w:t>
            </w:r>
          </w:p>
        </w:tc>
        <w:tc>
          <w:tcPr>
            <w:tcW w:type="dxa" w:w="2126"/>
          </w:tcPr>
          <w:p>
            <w:pPr>
              <w:spacing w:before="40" w:after="40"/>
            </w:pPr>
            <w:r>
              <w:rPr>
                <w:rFonts w:ascii="Calibri" w:hAnsi="Calibri"/>
                <w:b w:val="0"/>
                <w:i w:val="0"/>
                <w:color w:val="333333"/>
                <w:sz w:val="17"/>
              </w:rPr>
              <w:t>Premiums collected in cash held by collectors</w:t>
            </w:r>
          </w:p>
        </w:tc>
        <w:tc>
          <w:tcPr>
            <w:tcW w:type="dxa" w:w="2126"/>
          </w:tcPr>
          <w:p>
            <w:pPr>
              <w:spacing w:before="40" w:after="40"/>
            </w:pPr>
            <w:r>
              <w:rPr>
                <w:rFonts w:ascii="Calibri" w:hAnsi="Calibri"/>
                <w:b w:val="0"/>
                <w:i w:val="0"/>
                <w:color w:val="333333"/>
                <w:sz w:val="17"/>
              </w:rPr>
              <w:t>—</w:t>
            </w:r>
          </w:p>
        </w:tc>
        <w:tc>
          <w:tcPr>
            <w:tcW w:type="dxa" w:w="2126"/>
          </w:tcPr>
          <w:p>
            <w:pPr>
              <w:spacing w:before="40" w:after="40"/>
            </w:pPr>
            <w:r>
              <w:rPr>
                <w:rFonts w:ascii="Calibri" w:hAnsi="Calibri"/>
                <w:b/>
                <w:i w:val="0"/>
                <w:color w:val="333333"/>
                <w:sz w:val="17"/>
              </w:rPr>
              <w:t>Critical</w:t>
            </w:r>
          </w:p>
        </w:tc>
        <w:tc>
          <w:tcPr>
            <w:tcW w:type="dxa" w:w="2126"/>
          </w:tcPr>
          <w:p>
            <w:pPr>
              <w:spacing w:before="40" w:after="40"/>
            </w:pPr>
            <w:r>
              <w:rPr>
                <w:rFonts w:ascii="Calibri" w:hAnsi="Calibri"/>
                <w:b/>
                <w:i w:val="0"/>
                <w:color w:val="333333"/>
                <w:sz w:val="17"/>
              </w:rPr>
              <w:t>Critical</w:t>
            </w:r>
          </w:p>
        </w:tc>
      </w:tr>
      <w:tr>
        <w:tc>
          <w:tcPr>
            <w:tcW w:type="dxa" w:w="907"/>
            <w:shd w:val="clear" w:fill="F2F6FA"/>
          </w:tcPr>
          <w:p>
            <w:pPr>
              <w:spacing w:before="40" w:after="40"/>
            </w:pPr>
            <w:r>
              <w:rPr>
                <w:rFonts w:ascii="Calibri" w:hAnsi="Calibri"/>
                <w:b w:val="0"/>
                <w:i w:val="0"/>
                <w:color w:val="333333"/>
                <w:sz w:val="17"/>
              </w:rPr>
              <w:t>A2</w:t>
            </w:r>
          </w:p>
        </w:tc>
        <w:tc>
          <w:tcPr>
            <w:tcW w:type="dxa" w:w="2126"/>
            <w:shd w:val="clear" w:fill="F2F6FA"/>
          </w:tcPr>
          <w:p>
            <w:pPr>
              <w:spacing w:before="40" w:after="40"/>
            </w:pPr>
            <w:r>
              <w:rPr>
                <w:rFonts w:ascii="Calibri" w:hAnsi="Calibri"/>
                <w:b w:val="0"/>
                <w:i w:val="0"/>
                <w:color w:val="333333"/>
                <w:sz w:val="17"/>
              </w:rPr>
              <w:t>Collection and transaction records</w:t>
            </w:r>
          </w:p>
        </w:tc>
        <w:tc>
          <w:tcPr>
            <w:tcW w:type="dxa" w:w="2126"/>
            <w:shd w:val="clear" w:fill="F2F6FA"/>
          </w:tcPr>
          <w:p>
            <w:pPr>
              <w:spacing w:before="40" w:after="40"/>
            </w:pPr>
            <w:r>
              <w:rPr>
                <w:rFonts w:ascii="Calibri" w:hAnsi="Calibri"/>
                <w:b w:val="0"/>
                <w:i w:val="0"/>
                <w:color w:val="333333"/>
                <w:sz w:val="17"/>
              </w:rPr>
              <w:t>High</w:t>
            </w:r>
          </w:p>
        </w:tc>
        <w:tc>
          <w:tcPr>
            <w:tcW w:type="dxa" w:w="2126"/>
            <w:shd w:val="clear" w:fill="F2F6FA"/>
          </w:tcPr>
          <w:p>
            <w:pPr>
              <w:spacing w:before="40" w:after="40"/>
            </w:pPr>
            <w:r>
              <w:rPr>
                <w:rFonts w:ascii="Calibri" w:hAnsi="Calibri"/>
                <w:b/>
                <w:i w:val="0"/>
                <w:color w:val="333333"/>
                <w:sz w:val="17"/>
              </w:rPr>
              <w:t>Critical</w:t>
            </w:r>
          </w:p>
        </w:tc>
        <w:tc>
          <w:tcPr>
            <w:tcW w:type="dxa" w:w="2126"/>
            <w:shd w:val="clear" w:fill="F2F6FA"/>
          </w:tcPr>
          <w:p>
            <w:pPr>
              <w:spacing w:before="40" w:after="40"/>
            </w:pPr>
            <w:r>
              <w:rPr>
                <w:rFonts w:ascii="Calibri" w:hAnsi="Calibri"/>
                <w:b w:val="0"/>
                <w:i w:val="0"/>
                <w:color w:val="333333"/>
                <w:sz w:val="17"/>
              </w:rPr>
              <w:t>High</w:t>
            </w:r>
          </w:p>
        </w:tc>
      </w:tr>
      <w:tr>
        <w:tc>
          <w:tcPr>
            <w:tcW w:type="dxa" w:w="907"/>
          </w:tcPr>
          <w:p>
            <w:pPr>
              <w:spacing w:before="40" w:after="40"/>
            </w:pPr>
            <w:r>
              <w:rPr>
                <w:rFonts w:ascii="Calibri" w:hAnsi="Calibri"/>
                <w:b w:val="0"/>
                <w:i w:val="0"/>
                <w:color w:val="333333"/>
                <w:sz w:val="17"/>
              </w:rPr>
              <w:t>A3</w:t>
            </w:r>
          </w:p>
        </w:tc>
        <w:tc>
          <w:tcPr>
            <w:tcW w:type="dxa" w:w="2126"/>
          </w:tcPr>
          <w:p>
            <w:pPr>
              <w:spacing w:before="40" w:after="40"/>
            </w:pPr>
            <w:r>
              <w:rPr>
                <w:rFonts w:ascii="Calibri" w:hAnsi="Calibri"/>
                <w:b w:val="0"/>
                <w:i w:val="0"/>
                <w:color w:val="333333"/>
                <w:sz w:val="17"/>
              </w:rPr>
              <w:t>Insured personal data (identity, CNIB, phone, address)</w:t>
            </w:r>
          </w:p>
        </w:tc>
        <w:tc>
          <w:tcPr>
            <w:tcW w:type="dxa" w:w="2126"/>
          </w:tcPr>
          <w:p>
            <w:pPr>
              <w:spacing w:before="40" w:after="40"/>
            </w:pPr>
            <w:r>
              <w:rPr>
                <w:rFonts w:ascii="Calibri" w:hAnsi="Calibri"/>
                <w:b/>
                <w:i w:val="0"/>
                <w:color w:val="333333"/>
                <w:sz w:val="17"/>
              </w:rPr>
              <w:t>Critical</w:t>
            </w:r>
          </w:p>
        </w:tc>
        <w:tc>
          <w:tcPr>
            <w:tcW w:type="dxa" w:w="2126"/>
          </w:tcPr>
          <w:p>
            <w:pPr>
              <w:spacing w:before="40" w:after="40"/>
            </w:pPr>
            <w:r>
              <w:rPr>
                <w:rFonts w:ascii="Calibri" w:hAnsi="Calibri"/>
                <w:b w:val="0"/>
                <w:i w:val="0"/>
                <w:color w:val="333333"/>
                <w:sz w:val="17"/>
              </w:rPr>
              <w:t>High</w:t>
            </w:r>
          </w:p>
        </w:tc>
        <w:tc>
          <w:tcPr>
            <w:tcW w:type="dxa" w:w="2126"/>
          </w:tcPr>
          <w:p>
            <w:pPr>
              <w:spacing w:before="40" w:after="40"/>
            </w:pPr>
            <w:r>
              <w:rPr>
                <w:rFonts w:ascii="Calibri" w:hAnsi="Calibri"/>
                <w:b w:val="0"/>
                <w:i w:val="0"/>
                <w:color w:val="333333"/>
                <w:sz w:val="17"/>
              </w:rPr>
              <w:t>Medium</w:t>
            </w:r>
          </w:p>
        </w:tc>
      </w:tr>
      <w:tr>
        <w:tc>
          <w:tcPr>
            <w:tcW w:type="dxa" w:w="907"/>
            <w:shd w:val="clear" w:fill="F2F6FA"/>
          </w:tcPr>
          <w:p>
            <w:pPr>
              <w:spacing w:before="40" w:after="40"/>
            </w:pPr>
            <w:r>
              <w:rPr>
                <w:rFonts w:ascii="Calibri" w:hAnsi="Calibri"/>
                <w:b w:val="0"/>
                <w:i w:val="0"/>
                <w:color w:val="333333"/>
                <w:sz w:val="17"/>
              </w:rPr>
              <w:t>A4</w:t>
            </w:r>
          </w:p>
        </w:tc>
        <w:tc>
          <w:tcPr>
            <w:tcW w:type="dxa" w:w="2126"/>
            <w:shd w:val="clear" w:fill="F2F6FA"/>
          </w:tcPr>
          <w:p>
            <w:pPr>
              <w:spacing w:before="40" w:after="40"/>
            </w:pPr>
            <w:r>
              <w:rPr>
                <w:rFonts w:ascii="Calibri" w:hAnsi="Calibri"/>
                <w:b w:val="0"/>
                <w:i w:val="0"/>
                <w:color w:val="333333"/>
                <w:sz w:val="17"/>
              </w:rPr>
              <w:t>Identity document images (proposal, CNIB)</w:t>
            </w:r>
          </w:p>
        </w:tc>
        <w:tc>
          <w:tcPr>
            <w:tcW w:type="dxa" w:w="2126"/>
            <w:shd w:val="clear" w:fill="F2F6FA"/>
          </w:tcPr>
          <w:p>
            <w:pPr>
              <w:spacing w:before="40" w:after="40"/>
            </w:pPr>
            <w:r>
              <w:rPr>
                <w:rFonts w:ascii="Calibri" w:hAnsi="Calibri"/>
                <w:b/>
                <w:i w:val="0"/>
                <w:color w:val="333333"/>
                <w:sz w:val="17"/>
              </w:rPr>
              <w:t>Critical</w:t>
            </w:r>
          </w:p>
        </w:tc>
        <w:tc>
          <w:tcPr>
            <w:tcW w:type="dxa" w:w="2126"/>
            <w:shd w:val="clear" w:fill="F2F6FA"/>
          </w:tcPr>
          <w:p>
            <w:pPr>
              <w:spacing w:before="40" w:after="40"/>
            </w:pPr>
            <w:r>
              <w:rPr>
                <w:rFonts w:ascii="Calibri" w:hAnsi="Calibri"/>
                <w:b w:val="0"/>
                <w:i w:val="0"/>
                <w:color w:val="333333"/>
                <w:sz w:val="17"/>
              </w:rPr>
              <w:t>High</w:t>
            </w:r>
          </w:p>
        </w:tc>
        <w:tc>
          <w:tcPr>
            <w:tcW w:type="dxa" w:w="2126"/>
            <w:shd w:val="clear" w:fill="F2F6FA"/>
          </w:tcPr>
          <w:p>
            <w:pPr>
              <w:spacing w:before="40" w:after="40"/>
            </w:pPr>
            <w:r>
              <w:rPr>
                <w:rFonts w:ascii="Calibri" w:hAnsi="Calibri"/>
                <w:b w:val="0"/>
                <w:i w:val="0"/>
                <w:color w:val="333333"/>
                <w:sz w:val="17"/>
              </w:rPr>
              <w:t>Medium</w:t>
            </w:r>
          </w:p>
        </w:tc>
      </w:tr>
      <w:tr>
        <w:tc>
          <w:tcPr>
            <w:tcW w:type="dxa" w:w="907"/>
          </w:tcPr>
          <w:p>
            <w:pPr>
              <w:spacing w:before="40" w:after="40"/>
            </w:pPr>
            <w:r>
              <w:rPr>
                <w:rFonts w:ascii="Calibri" w:hAnsi="Calibri"/>
                <w:b w:val="0"/>
                <w:i w:val="0"/>
                <w:color w:val="333333"/>
                <w:sz w:val="17"/>
              </w:rPr>
              <w:t>A5</w:t>
            </w:r>
          </w:p>
        </w:tc>
        <w:tc>
          <w:tcPr>
            <w:tcW w:type="dxa" w:w="2126"/>
          </w:tcPr>
          <w:p>
            <w:pPr>
              <w:spacing w:before="40" w:after="40"/>
            </w:pPr>
            <w:r>
              <w:rPr>
                <w:rFonts w:ascii="Calibri" w:hAnsi="Calibri"/>
                <w:b w:val="0"/>
                <w:i w:val="0"/>
                <w:color w:val="333333"/>
                <w:sz w:val="17"/>
              </w:rPr>
              <w:t>Policy data mirrored from SUNULIFE</w:t>
            </w:r>
          </w:p>
        </w:tc>
        <w:tc>
          <w:tcPr>
            <w:tcW w:type="dxa" w:w="2126"/>
          </w:tcPr>
          <w:p>
            <w:pPr>
              <w:spacing w:before="40" w:after="40"/>
            </w:pPr>
            <w:r>
              <w:rPr>
                <w:rFonts w:ascii="Calibri" w:hAnsi="Calibri"/>
                <w:b w:val="0"/>
                <w:i w:val="0"/>
                <w:color w:val="333333"/>
                <w:sz w:val="17"/>
              </w:rPr>
              <w:t>High</w:t>
            </w:r>
          </w:p>
        </w:tc>
        <w:tc>
          <w:tcPr>
            <w:tcW w:type="dxa" w:w="2126"/>
          </w:tcPr>
          <w:p>
            <w:pPr>
              <w:spacing w:before="40" w:after="40"/>
            </w:pPr>
            <w:r>
              <w:rPr>
                <w:rFonts w:ascii="Calibri" w:hAnsi="Calibri"/>
                <w:b/>
                <w:i w:val="0"/>
                <w:color w:val="333333"/>
                <w:sz w:val="17"/>
              </w:rPr>
              <w:t>Critical</w:t>
            </w:r>
          </w:p>
        </w:tc>
        <w:tc>
          <w:tcPr>
            <w:tcW w:type="dxa" w:w="2126"/>
          </w:tcPr>
          <w:p>
            <w:pPr>
              <w:spacing w:before="40" w:after="40"/>
            </w:pPr>
            <w:r>
              <w:rPr>
                <w:rFonts w:ascii="Calibri" w:hAnsi="Calibri"/>
                <w:b w:val="0"/>
                <w:i w:val="0"/>
                <w:color w:val="333333"/>
                <w:sz w:val="17"/>
              </w:rPr>
              <w:t>Medium</w:t>
            </w:r>
          </w:p>
        </w:tc>
      </w:tr>
      <w:tr>
        <w:tc>
          <w:tcPr>
            <w:tcW w:type="dxa" w:w="907"/>
            <w:shd w:val="clear" w:fill="F2F6FA"/>
          </w:tcPr>
          <w:p>
            <w:pPr>
              <w:spacing w:before="40" w:after="40"/>
            </w:pPr>
            <w:r>
              <w:rPr>
                <w:rFonts w:ascii="Calibri" w:hAnsi="Calibri"/>
                <w:b w:val="0"/>
                <w:i w:val="0"/>
                <w:color w:val="333333"/>
                <w:sz w:val="17"/>
              </w:rPr>
              <w:t>A6</w:t>
            </w:r>
          </w:p>
        </w:tc>
        <w:tc>
          <w:tcPr>
            <w:tcW w:type="dxa" w:w="2126"/>
            <w:shd w:val="clear" w:fill="F2F6FA"/>
          </w:tcPr>
          <w:p>
            <w:pPr>
              <w:spacing w:before="40" w:after="40"/>
            </w:pPr>
            <w:r>
              <w:rPr>
                <w:rFonts w:ascii="Calibri" w:hAnsi="Calibri"/>
                <w:b w:val="0"/>
                <w:i w:val="0"/>
                <w:color w:val="333333"/>
                <w:sz w:val="17"/>
              </w:rPr>
              <w:t>Card stock and card personalisation data</w:t>
            </w:r>
          </w:p>
        </w:tc>
        <w:tc>
          <w:tcPr>
            <w:tcW w:type="dxa" w:w="2126"/>
            <w:shd w:val="clear" w:fill="F2F6FA"/>
          </w:tcPr>
          <w:p>
            <w:pPr>
              <w:spacing w:before="40" w:after="40"/>
            </w:pPr>
            <w:r>
              <w:rPr>
                <w:rFonts w:ascii="Calibri" w:hAnsi="Calibri"/>
                <w:b w:val="0"/>
                <w:i w:val="0"/>
                <w:color w:val="333333"/>
                <w:sz w:val="17"/>
              </w:rPr>
              <w:t>High</w:t>
            </w:r>
          </w:p>
        </w:tc>
        <w:tc>
          <w:tcPr>
            <w:tcW w:type="dxa" w:w="2126"/>
            <w:shd w:val="clear" w:fill="F2F6FA"/>
          </w:tcPr>
          <w:p>
            <w:pPr>
              <w:spacing w:before="40" w:after="40"/>
            </w:pPr>
            <w:r>
              <w:rPr>
                <w:rFonts w:ascii="Calibri" w:hAnsi="Calibri"/>
                <w:b w:val="0"/>
                <w:i w:val="0"/>
                <w:color w:val="333333"/>
                <w:sz w:val="17"/>
              </w:rPr>
              <w:t>High</w:t>
            </w:r>
          </w:p>
        </w:tc>
        <w:tc>
          <w:tcPr>
            <w:tcW w:type="dxa" w:w="2126"/>
            <w:shd w:val="clear" w:fill="F2F6FA"/>
          </w:tcPr>
          <w:p>
            <w:pPr>
              <w:spacing w:before="40" w:after="40"/>
            </w:pPr>
            <w:r>
              <w:rPr>
                <w:rFonts w:ascii="Calibri" w:hAnsi="Calibri"/>
                <w:b w:val="0"/>
                <w:i w:val="0"/>
                <w:color w:val="333333"/>
                <w:sz w:val="17"/>
              </w:rPr>
              <w:t>Medium</w:t>
            </w:r>
          </w:p>
        </w:tc>
      </w:tr>
      <w:tr>
        <w:tc>
          <w:tcPr>
            <w:tcW w:type="dxa" w:w="907"/>
          </w:tcPr>
          <w:p>
            <w:pPr>
              <w:spacing w:before="40" w:after="40"/>
            </w:pPr>
            <w:r>
              <w:rPr>
                <w:rFonts w:ascii="Calibri" w:hAnsi="Calibri"/>
                <w:b w:val="0"/>
                <w:i w:val="0"/>
                <w:color w:val="333333"/>
                <w:sz w:val="17"/>
              </w:rPr>
              <w:t>A7</w:t>
            </w:r>
          </w:p>
        </w:tc>
        <w:tc>
          <w:tcPr>
            <w:tcW w:type="dxa" w:w="2126"/>
          </w:tcPr>
          <w:p>
            <w:pPr>
              <w:spacing w:before="40" w:after="40"/>
            </w:pPr>
            <w:r>
              <w:rPr>
                <w:rFonts w:ascii="Calibri" w:hAnsi="Calibri"/>
                <w:b w:val="0"/>
                <w:i w:val="0"/>
                <w:color w:val="333333"/>
                <w:sz w:val="17"/>
              </w:rPr>
              <w:t>Virtual card signing keys</w:t>
            </w:r>
          </w:p>
        </w:tc>
        <w:tc>
          <w:tcPr>
            <w:tcW w:type="dxa" w:w="2126"/>
          </w:tcPr>
          <w:p>
            <w:pPr>
              <w:spacing w:before="40" w:after="40"/>
            </w:pPr>
            <w:r>
              <w:rPr>
                <w:rFonts w:ascii="Calibri" w:hAnsi="Calibri"/>
                <w:b/>
                <w:i w:val="0"/>
                <w:color w:val="333333"/>
                <w:sz w:val="17"/>
              </w:rPr>
              <w:t>Critical</w:t>
            </w:r>
          </w:p>
        </w:tc>
        <w:tc>
          <w:tcPr>
            <w:tcW w:type="dxa" w:w="2126"/>
          </w:tcPr>
          <w:p>
            <w:pPr>
              <w:spacing w:before="40" w:after="40"/>
            </w:pPr>
            <w:r>
              <w:rPr>
                <w:rFonts w:ascii="Calibri" w:hAnsi="Calibri"/>
                <w:b/>
                <w:i w:val="0"/>
                <w:color w:val="333333"/>
                <w:sz w:val="17"/>
              </w:rPr>
              <w:t>Critical</w:t>
            </w:r>
          </w:p>
        </w:tc>
        <w:tc>
          <w:tcPr>
            <w:tcW w:type="dxa" w:w="2126"/>
          </w:tcPr>
          <w:p>
            <w:pPr>
              <w:spacing w:before="40" w:after="40"/>
            </w:pPr>
            <w:r>
              <w:rPr>
                <w:rFonts w:ascii="Calibri" w:hAnsi="Calibri"/>
                <w:b w:val="0"/>
                <w:i w:val="0"/>
                <w:color w:val="333333"/>
                <w:sz w:val="17"/>
              </w:rPr>
              <w:t>High</w:t>
            </w:r>
          </w:p>
        </w:tc>
      </w:tr>
      <w:tr>
        <w:tc>
          <w:tcPr>
            <w:tcW w:type="dxa" w:w="907"/>
            <w:shd w:val="clear" w:fill="F2F6FA"/>
          </w:tcPr>
          <w:p>
            <w:pPr>
              <w:spacing w:before="40" w:after="40"/>
            </w:pPr>
            <w:r>
              <w:rPr>
                <w:rFonts w:ascii="Calibri" w:hAnsi="Calibri"/>
                <w:b w:val="0"/>
                <w:i w:val="0"/>
                <w:color w:val="333333"/>
                <w:sz w:val="17"/>
              </w:rPr>
              <w:t>A8</w:t>
            </w:r>
          </w:p>
        </w:tc>
        <w:tc>
          <w:tcPr>
            <w:tcW w:type="dxa" w:w="2126"/>
            <w:shd w:val="clear" w:fill="F2F6FA"/>
          </w:tcPr>
          <w:p>
            <w:pPr>
              <w:spacing w:before="40" w:after="40"/>
            </w:pPr>
            <w:r>
              <w:rPr>
                <w:rFonts w:ascii="Calibri" w:hAnsi="Calibri"/>
                <w:b w:val="0"/>
                <w:i w:val="0"/>
                <w:color w:val="333333"/>
                <w:sz w:val="17"/>
              </w:rPr>
              <w:t>Collector and back-office user credentials</w:t>
            </w:r>
          </w:p>
        </w:tc>
        <w:tc>
          <w:tcPr>
            <w:tcW w:type="dxa" w:w="2126"/>
            <w:shd w:val="clear" w:fill="F2F6FA"/>
          </w:tcPr>
          <w:p>
            <w:pPr>
              <w:spacing w:before="40" w:after="40"/>
            </w:pPr>
            <w:r>
              <w:rPr>
                <w:rFonts w:ascii="Calibri" w:hAnsi="Calibri"/>
                <w:b/>
                <w:i w:val="0"/>
                <w:color w:val="333333"/>
                <w:sz w:val="17"/>
              </w:rPr>
              <w:t>Critical</w:t>
            </w:r>
          </w:p>
        </w:tc>
        <w:tc>
          <w:tcPr>
            <w:tcW w:type="dxa" w:w="2126"/>
            <w:shd w:val="clear" w:fill="F2F6FA"/>
          </w:tcPr>
          <w:p>
            <w:pPr>
              <w:spacing w:before="40" w:after="40"/>
            </w:pPr>
            <w:r>
              <w:rPr>
                <w:rFonts w:ascii="Calibri" w:hAnsi="Calibri"/>
                <w:b/>
                <w:i w:val="0"/>
                <w:color w:val="333333"/>
                <w:sz w:val="17"/>
              </w:rPr>
              <w:t>Critical</w:t>
            </w:r>
          </w:p>
        </w:tc>
        <w:tc>
          <w:tcPr>
            <w:tcW w:type="dxa" w:w="2126"/>
            <w:shd w:val="clear" w:fill="F2F6FA"/>
          </w:tcPr>
          <w:p>
            <w:pPr>
              <w:spacing w:before="40" w:after="40"/>
            </w:pPr>
            <w:r>
              <w:rPr>
                <w:rFonts w:ascii="Calibri" w:hAnsi="Calibri"/>
                <w:b w:val="0"/>
                <w:i w:val="0"/>
                <w:color w:val="333333"/>
                <w:sz w:val="17"/>
              </w:rPr>
              <w:t>High</w:t>
            </w:r>
          </w:p>
        </w:tc>
      </w:tr>
      <w:tr>
        <w:tc>
          <w:tcPr>
            <w:tcW w:type="dxa" w:w="907"/>
          </w:tcPr>
          <w:p>
            <w:pPr>
              <w:spacing w:before="40" w:after="40"/>
            </w:pPr>
            <w:r>
              <w:rPr>
                <w:rFonts w:ascii="Calibri" w:hAnsi="Calibri"/>
                <w:b w:val="0"/>
                <w:i w:val="0"/>
                <w:color w:val="333333"/>
                <w:sz w:val="17"/>
              </w:rPr>
              <w:t>A9</w:t>
            </w:r>
          </w:p>
        </w:tc>
        <w:tc>
          <w:tcPr>
            <w:tcW w:type="dxa" w:w="2126"/>
          </w:tcPr>
          <w:p>
            <w:pPr>
              <w:spacing w:before="40" w:after="40"/>
            </w:pPr>
            <w:r>
              <w:rPr>
                <w:rFonts w:ascii="Calibri" w:hAnsi="Calibri"/>
                <w:b w:val="0"/>
                <w:i w:val="0"/>
                <w:color w:val="333333"/>
                <w:sz w:val="17"/>
              </w:rPr>
              <w:t>SUNULIFE and Mobile Money integration credentials</w:t>
            </w:r>
          </w:p>
        </w:tc>
        <w:tc>
          <w:tcPr>
            <w:tcW w:type="dxa" w:w="2126"/>
          </w:tcPr>
          <w:p>
            <w:pPr>
              <w:spacing w:before="40" w:after="40"/>
            </w:pPr>
            <w:r>
              <w:rPr>
                <w:rFonts w:ascii="Calibri" w:hAnsi="Calibri"/>
                <w:b/>
                <w:i w:val="0"/>
                <w:color w:val="333333"/>
                <w:sz w:val="17"/>
              </w:rPr>
              <w:t>Critical</w:t>
            </w:r>
          </w:p>
        </w:tc>
        <w:tc>
          <w:tcPr>
            <w:tcW w:type="dxa" w:w="2126"/>
          </w:tcPr>
          <w:p>
            <w:pPr>
              <w:spacing w:before="40" w:after="40"/>
            </w:pPr>
            <w:r>
              <w:rPr>
                <w:rFonts w:ascii="Calibri" w:hAnsi="Calibri"/>
                <w:b/>
                <w:i w:val="0"/>
                <w:color w:val="333333"/>
                <w:sz w:val="17"/>
              </w:rPr>
              <w:t>Critical</w:t>
            </w:r>
          </w:p>
        </w:tc>
        <w:tc>
          <w:tcPr>
            <w:tcW w:type="dxa" w:w="2126"/>
          </w:tcPr>
          <w:p>
            <w:pPr>
              <w:spacing w:before="40" w:after="40"/>
            </w:pPr>
            <w:r>
              <w:rPr>
                <w:rFonts w:ascii="Calibri" w:hAnsi="Calibri"/>
                <w:b w:val="0"/>
                <w:i w:val="0"/>
                <w:color w:val="333333"/>
                <w:sz w:val="17"/>
              </w:rPr>
              <w:t>High</w:t>
            </w:r>
          </w:p>
        </w:tc>
      </w:tr>
      <w:tr>
        <w:tc>
          <w:tcPr>
            <w:tcW w:type="dxa" w:w="907"/>
            <w:shd w:val="clear" w:fill="F2F6FA"/>
          </w:tcPr>
          <w:p>
            <w:pPr>
              <w:spacing w:before="40" w:after="40"/>
            </w:pPr>
            <w:r>
              <w:rPr>
                <w:rFonts w:ascii="Calibri" w:hAnsi="Calibri"/>
                <w:b w:val="0"/>
                <w:i w:val="0"/>
                <w:color w:val="333333"/>
                <w:sz w:val="17"/>
              </w:rPr>
              <w:t>A10</w:t>
            </w:r>
          </w:p>
        </w:tc>
        <w:tc>
          <w:tcPr>
            <w:tcW w:type="dxa" w:w="2126"/>
            <w:shd w:val="clear" w:fill="F2F6FA"/>
          </w:tcPr>
          <w:p>
            <w:pPr>
              <w:spacing w:before="40" w:after="40"/>
            </w:pPr>
            <w:r>
              <w:rPr>
                <w:rFonts w:ascii="Calibri" w:hAnsi="Calibri"/>
                <w:b w:val="0"/>
                <w:i w:val="0"/>
                <w:color w:val="333333"/>
                <w:sz w:val="17"/>
              </w:rPr>
              <w:t>Biometric templates (if the option is enabled)</w:t>
            </w:r>
          </w:p>
        </w:tc>
        <w:tc>
          <w:tcPr>
            <w:tcW w:type="dxa" w:w="2126"/>
            <w:shd w:val="clear" w:fill="F2F6FA"/>
          </w:tcPr>
          <w:p>
            <w:pPr>
              <w:spacing w:before="40" w:after="40"/>
            </w:pPr>
            <w:r>
              <w:rPr>
                <w:rFonts w:ascii="Calibri" w:hAnsi="Calibri"/>
                <w:b/>
                <w:i w:val="0"/>
                <w:color w:val="333333"/>
                <w:sz w:val="17"/>
              </w:rPr>
              <w:t>Critical</w:t>
            </w:r>
          </w:p>
        </w:tc>
        <w:tc>
          <w:tcPr>
            <w:tcW w:type="dxa" w:w="2126"/>
            <w:shd w:val="clear" w:fill="F2F6FA"/>
          </w:tcPr>
          <w:p>
            <w:pPr>
              <w:spacing w:before="40" w:after="40"/>
            </w:pPr>
            <w:r>
              <w:rPr>
                <w:rFonts w:ascii="Calibri" w:hAnsi="Calibri"/>
                <w:b/>
                <w:i w:val="0"/>
                <w:color w:val="333333"/>
                <w:sz w:val="17"/>
              </w:rPr>
              <w:t>Critical</w:t>
            </w:r>
          </w:p>
        </w:tc>
        <w:tc>
          <w:tcPr>
            <w:tcW w:type="dxa" w:w="2126"/>
            <w:shd w:val="clear" w:fill="F2F6FA"/>
          </w:tcPr>
          <w:p>
            <w:pPr>
              <w:spacing w:before="40" w:after="40"/>
            </w:pPr>
            <w:r>
              <w:rPr>
                <w:rFonts w:ascii="Calibri" w:hAnsi="Calibri"/>
                <w:b w:val="0"/>
                <w:i w:val="0"/>
                <w:color w:val="333333"/>
                <w:sz w:val="17"/>
              </w:rPr>
              <w:t>Low</w:t>
            </w:r>
          </w:p>
        </w:tc>
      </w:tr>
      <w:tr>
        <w:tc>
          <w:tcPr>
            <w:tcW w:type="dxa" w:w="907"/>
          </w:tcPr>
          <w:p>
            <w:pPr>
              <w:spacing w:before="40" w:after="40"/>
            </w:pPr>
            <w:r>
              <w:rPr>
                <w:rFonts w:ascii="Calibri" w:hAnsi="Calibri"/>
                <w:b w:val="0"/>
                <w:i w:val="0"/>
                <w:color w:val="333333"/>
                <w:sz w:val="17"/>
              </w:rPr>
              <w:t>A11</w:t>
            </w:r>
          </w:p>
        </w:tc>
        <w:tc>
          <w:tcPr>
            <w:tcW w:type="dxa" w:w="2126"/>
          </w:tcPr>
          <w:p>
            <w:pPr>
              <w:spacing w:before="40" w:after="40"/>
            </w:pPr>
            <w:r>
              <w:rPr>
                <w:rFonts w:ascii="Calibri" w:hAnsi="Calibri"/>
                <w:b w:val="0"/>
                <w:i w:val="0"/>
                <w:color w:val="333333"/>
                <w:sz w:val="17"/>
              </w:rPr>
              <w:t>POS terminals themselves</w:t>
            </w:r>
          </w:p>
        </w:tc>
        <w:tc>
          <w:tcPr>
            <w:tcW w:type="dxa" w:w="2126"/>
          </w:tcPr>
          <w:p>
            <w:pPr>
              <w:spacing w:before="40" w:after="40"/>
            </w:pPr>
            <w:r>
              <w:rPr>
                <w:rFonts w:ascii="Calibri" w:hAnsi="Calibri"/>
                <w:b w:val="0"/>
                <w:i w:val="0"/>
                <w:color w:val="333333"/>
                <w:sz w:val="17"/>
              </w:rPr>
              <w:t>Medium</w:t>
            </w:r>
          </w:p>
        </w:tc>
        <w:tc>
          <w:tcPr>
            <w:tcW w:type="dxa" w:w="2126"/>
          </w:tcPr>
          <w:p>
            <w:pPr>
              <w:spacing w:before="40" w:after="40"/>
            </w:pPr>
            <w:r>
              <w:rPr>
                <w:rFonts w:ascii="Calibri" w:hAnsi="Calibri"/>
                <w:b w:val="0"/>
                <w:i w:val="0"/>
                <w:color w:val="333333"/>
                <w:sz w:val="17"/>
              </w:rPr>
              <w:t>High</w:t>
            </w:r>
          </w:p>
        </w:tc>
        <w:tc>
          <w:tcPr>
            <w:tcW w:type="dxa" w:w="2126"/>
          </w:tcPr>
          <w:p>
            <w:pPr>
              <w:spacing w:before="40" w:after="40"/>
            </w:pPr>
            <w:r>
              <w:rPr>
                <w:rFonts w:ascii="Calibri" w:hAnsi="Calibri"/>
                <w:b w:val="0"/>
                <w:i w:val="0"/>
                <w:color w:val="333333"/>
                <w:sz w:val="17"/>
              </w:rPr>
              <w:t>High</w:t>
            </w:r>
          </w:p>
        </w:tc>
      </w:tr>
      <w:tr>
        <w:tc>
          <w:tcPr>
            <w:tcW w:type="dxa" w:w="907"/>
            <w:shd w:val="clear" w:fill="F2F6FA"/>
          </w:tcPr>
          <w:p>
            <w:pPr>
              <w:spacing w:before="40" w:after="40"/>
            </w:pPr>
            <w:r>
              <w:rPr>
                <w:rFonts w:ascii="Calibri" w:hAnsi="Calibri"/>
                <w:b w:val="0"/>
                <w:i w:val="0"/>
                <w:color w:val="333333"/>
                <w:sz w:val="17"/>
              </w:rPr>
              <w:t>A12</w:t>
            </w:r>
          </w:p>
        </w:tc>
        <w:tc>
          <w:tcPr>
            <w:tcW w:type="dxa" w:w="2126"/>
            <w:shd w:val="clear" w:fill="F2F6FA"/>
          </w:tcPr>
          <w:p>
            <w:pPr>
              <w:spacing w:before="40" w:after="40"/>
            </w:pPr>
            <w:r>
              <w:rPr>
                <w:rFonts w:ascii="Calibri" w:hAnsi="Calibri"/>
                <w:b w:val="0"/>
                <w:i w:val="0"/>
                <w:color w:val="333333"/>
                <w:sz w:val="17"/>
              </w:rPr>
              <w:t>Audit trail</w:t>
            </w:r>
          </w:p>
        </w:tc>
        <w:tc>
          <w:tcPr>
            <w:tcW w:type="dxa" w:w="2126"/>
            <w:shd w:val="clear" w:fill="F2F6FA"/>
          </w:tcPr>
          <w:p>
            <w:pPr>
              <w:spacing w:before="40" w:after="40"/>
            </w:pPr>
            <w:r>
              <w:rPr>
                <w:rFonts w:ascii="Calibri" w:hAnsi="Calibri"/>
                <w:b w:val="0"/>
                <w:i w:val="0"/>
                <w:color w:val="333333"/>
                <w:sz w:val="17"/>
              </w:rPr>
              <w:t>High</w:t>
            </w:r>
          </w:p>
        </w:tc>
        <w:tc>
          <w:tcPr>
            <w:tcW w:type="dxa" w:w="2126"/>
            <w:shd w:val="clear" w:fill="F2F6FA"/>
          </w:tcPr>
          <w:p>
            <w:pPr>
              <w:spacing w:before="40" w:after="40"/>
            </w:pPr>
            <w:r>
              <w:rPr>
                <w:rFonts w:ascii="Calibri" w:hAnsi="Calibri"/>
                <w:b/>
                <w:i w:val="0"/>
                <w:color w:val="333333"/>
                <w:sz w:val="17"/>
              </w:rPr>
              <w:t>Critical</w:t>
            </w:r>
          </w:p>
        </w:tc>
        <w:tc>
          <w:tcPr>
            <w:tcW w:type="dxa" w:w="2126"/>
            <w:shd w:val="clear" w:fill="F2F6FA"/>
          </w:tcPr>
          <w:p>
            <w:pPr>
              <w:spacing w:before="40" w:after="40"/>
            </w:pPr>
            <w:r>
              <w:rPr>
                <w:rFonts w:ascii="Calibri" w:hAnsi="Calibri"/>
                <w:b w:val="0"/>
                <w:i w:val="0"/>
                <w:color w:val="333333"/>
                <w:sz w:val="17"/>
              </w:rPr>
              <w:t>Medium</w:t>
            </w:r>
          </w:p>
        </w:tc>
      </w:tr>
    </w:tbl>
    <w:p>
      <w:pPr>
        <w:spacing w:after="40"/>
      </w:pPr>
    </w:p>
    <w:p>
      <w:pPr>
        <w:pStyle w:val="Heading2"/>
        <w:spacing w:before="280" w:after="80"/>
        <w:keepNext/>
      </w:pPr>
      <w:bookmarkStart w:id="108" w:name="_Toc_s007"/>
      <w:r>
        <w:rPr>
          <w:rFonts w:ascii="Calibri" w:hAnsi="Calibri"/>
          <w:b/>
          <w:color w:val="1B3A5C"/>
          <w:sz w:val="24"/>
        </w:rPr>
        <w:t>2.2 Security objectives</w:t>
      </w:r>
      <w:bookmarkEnd w:id="108"/>
    </w:p>
    <w:p>
      <w:pPr>
        <w:spacing w:after="40"/>
        <w:ind w:left="312" w:hanging="198"/>
      </w:pPr>
      <w:r>
        <w:rPr>
          <w:rFonts w:ascii="Calibri" w:hAnsi="Calibri"/>
          <w:b/>
          <w:color w:val="2C5F8A"/>
          <w:sz w:val="20"/>
        </w:rPr>
        <w:t xml:space="preserve">1.  </w:t>
      </w:r>
      <w:r>
        <w:rPr>
          <w:rFonts w:ascii="Calibri" w:hAnsi="Calibri"/>
          <w:b/>
          <w:i w:val="0"/>
          <w:color w:val="333333"/>
          <w:sz w:val="20"/>
        </w:rPr>
        <w:t>No premium collected can be lost, altered or double-counted.</w:t>
      </w:r>
    </w:p>
    <w:p>
      <w:pPr>
        <w:spacing w:after="40"/>
        <w:ind w:left="312" w:hanging="198"/>
      </w:pPr>
      <w:r>
        <w:rPr>
          <w:rFonts w:ascii="Calibri" w:hAnsi="Calibri"/>
          <w:b/>
          <w:color w:val="2C5F8A"/>
          <w:sz w:val="20"/>
        </w:rPr>
        <w:t xml:space="preserve">2.  </w:t>
      </w:r>
      <w:r>
        <w:rPr>
          <w:rFonts w:ascii="Calibri" w:hAnsi="Calibri"/>
          <w:b/>
          <w:i w:val="0"/>
          <w:color w:val="333333"/>
          <w:sz w:val="20"/>
        </w:rPr>
        <w:t>No premium can be diverted without leaving a trace that identifies who, when and where.</w:t>
      </w:r>
    </w:p>
    <w:p>
      <w:pPr>
        <w:spacing w:after="40"/>
        <w:ind w:left="312" w:hanging="198"/>
      </w:pPr>
      <w:r>
        <w:rPr>
          <w:rFonts w:ascii="Calibri" w:hAnsi="Calibri"/>
          <w:b/>
          <w:color w:val="2C5F8A"/>
          <w:sz w:val="20"/>
        </w:rPr>
        <w:t xml:space="preserve">3.  </w:t>
      </w:r>
      <w:r>
        <w:rPr>
          <w:rFonts w:ascii="Calibri" w:hAnsi="Calibri"/>
          <w:b/>
          <w:i w:val="0"/>
          <w:color w:val="333333"/>
          <w:sz w:val="20"/>
        </w:rPr>
        <w:t>Insured personal data is disclosed to no one outside the authorised SUNU perimeter.</w:t>
      </w:r>
    </w:p>
    <w:p>
      <w:pPr>
        <w:spacing w:after="40"/>
        <w:ind w:left="312" w:hanging="198"/>
      </w:pPr>
      <w:r>
        <w:rPr>
          <w:rFonts w:ascii="Calibri" w:hAnsi="Calibri"/>
          <w:b/>
          <w:color w:val="2C5F8A"/>
          <w:sz w:val="20"/>
        </w:rPr>
        <w:t xml:space="preserve">4.  </w:t>
      </w:r>
      <w:r>
        <w:rPr>
          <w:rFonts w:ascii="Calibri" w:hAnsi="Calibri"/>
          <w:b/>
          <w:i w:val="0"/>
          <w:color w:val="333333"/>
          <w:sz w:val="20"/>
        </w:rPr>
        <w:t>A stolen terminal or a stolen card yields no money and no exploitable personal data.</w:t>
      </w:r>
    </w:p>
    <w:p>
      <w:pPr>
        <w:spacing w:after="40"/>
        <w:ind w:left="312" w:hanging="198"/>
      </w:pPr>
      <w:r>
        <w:rPr>
          <w:rFonts w:ascii="Calibri" w:hAnsi="Calibri"/>
          <w:b/>
          <w:color w:val="2C5F8A"/>
          <w:sz w:val="20"/>
        </w:rPr>
        <w:t xml:space="preserve">5.  </w:t>
      </w:r>
      <w:r>
        <w:rPr>
          <w:rFonts w:ascii="Calibri" w:hAnsi="Calibri"/>
          <w:b/>
          <w:i w:val="0"/>
          <w:color w:val="333333"/>
          <w:sz w:val="20"/>
        </w:rPr>
        <w:t>Every sensitive action is attributable to a named individual.</w:t>
      </w:r>
    </w:p>
    <w:p>
      <w:pPr>
        <w:spacing w:after="40"/>
        <w:ind w:left="312" w:hanging="198"/>
      </w:pPr>
      <w:r>
        <w:rPr>
          <w:rFonts w:ascii="Calibri" w:hAnsi="Calibri"/>
          <w:b/>
          <w:color w:val="2C5F8A"/>
          <w:sz w:val="20"/>
        </w:rPr>
        <w:t xml:space="preserve">6.  </w:t>
      </w:r>
      <w:r>
        <w:rPr>
          <w:rFonts w:ascii="Calibri" w:hAnsi="Calibri"/>
          <w:b/>
          <w:i w:val="0"/>
          <w:color w:val="333333"/>
          <w:sz w:val="20"/>
        </w:rPr>
        <w:t>A security failure degrades the service; it does not destroy the collection record.</w:t>
      </w:r>
    </w:p>
    <w:p>
      <w:pPr>
        <w:pStyle w:val="Heading1"/>
        <w:pageBreakBefore/>
        <w:spacing w:before="360" w:after="80"/>
        <w:keepNext/>
        <w:pBdr>
          <w:bottom w:val="single" w:sz="8" w:space="6" w:color="1B3A5C"/>
        </w:pBdr>
      </w:pPr>
      <w:bookmarkStart w:id="109" w:name="_Toc_s008"/>
      <w:r>
        <w:rPr>
          <w:rFonts w:ascii="Calibri" w:hAnsi="Calibri"/>
          <w:b/>
          <w:color w:val="1B3A5C"/>
          <w:sz w:val="30"/>
        </w:rPr>
        <w:t>3. Threat Model</w:t>
      </w:r>
      <w:bookmarkEnd w:id="109"/>
    </w:p>
    <w:p>
      <w:pPr>
        <w:pStyle w:val="Heading2"/>
        <w:spacing w:before="280" w:after="80"/>
        <w:keepNext/>
      </w:pPr>
      <w:bookmarkStart w:id="110" w:name="_Toc_s009"/>
      <w:r>
        <w:rPr>
          <w:rFonts w:ascii="Calibri" w:hAnsi="Calibri"/>
          <w:b/>
          <w:color w:val="1B3A5C"/>
          <w:sz w:val="24"/>
        </w:rPr>
        <w:t>3.1 Threat actors</w:t>
      </w:r>
      <w:bookmarkEnd w:id="110"/>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2436"/>
        <w:gridCol w:w="2436"/>
        <w:gridCol w:w="2436"/>
        <w:gridCol w:w="2436"/>
      </w:tblGrid>
      <w:tr>
        <w:trPr>
          <w:tblHeader w:val="true"/>
        </w:trPr>
        <w:tc>
          <w:tcPr>
            <w:tcW w:type="dxa" w:w="2436"/>
            <w:shd w:val="clear" w:fill="1B3A5C"/>
          </w:tcPr>
          <w:p>
            <w:pPr>
              <w:spacing w:before="60" w:after="60"/>
            </w:pPr>
            <w:r>
              <w:rPr>
                <w:rFonts w:ascii="Calibri" w:hAnsi="Calibri"/>
                <w:b/>
                <w:color w:val="FFFFFF"/>
                <w:sz w:val="17"/>
              </w:rPr>
              <w:t>Actor</w:t>
            </w:r>
          </w:p>
        </w:tc>
        <w:tc>
          <w:tcPr>
            <w:tcW w:type="dxa" w:w="2436"/>
            <w:shd w:val="clear" w:fill="1B3A5C"/>
          </w:tcPr>
          <w:p>
            <w:pPr>
              <w:spacing w:before="60" w:after="60"/>
            </w:pPr>
            <w:r>
              <w:rPr>
                <w:rFonts w:ascii="Calibri" w:hAnsi="Calibri"/>
                <w:b/>
                <w:color w:val="FFFFFF"/>
                <w:sz w:val="17"/>
              </w:rPr>
              <w:t>Motivation</w:t>
            </w:r>
          </w:p>
        </w:tc>
        <w:tc>
          <w:tcPr>
            <w:tcW w:type="dxa" w:w="2436"/>
            <w:shd w:val="clear" w:fill="1B3A5C"/>
          </w:tcPr>
          <w:p>
            <w:pPr>
              <w:spacing w:before="60" w:after="60"/>
            </w:pPr>
            <w:r>
              <w:rPr>
                <w:rFonts w:ascii="Calibri" w:hAnsi="Calibri"/>
                <w:b/>
                <w:color w:val="FFFFFF"/>
                <w:sz w:val="17"/>
              </w:rPr>
              <w:t>Capability</w:t>
            </w:r>
          </w:p>
        </w:tc>
        <w:tc>
          <w:tcPr>
            <w:tcW w:type="dxa" w:w="2436"/>
            <w:shd w:val="clear" w:fill="1B3A5C"/>
          </w:tcPr>
          <w:p>
            <w:pPr>
              <w:spacing w:before="60" w:after="60"/>
            </w:pPr>
            <w:r>
              <w:rPr>
                <w:rFonts w:ascii="Calibri" w:hAnsi="Calibri"/>
                <w:b/>
                <w:color w:val="FFFFFF"/>
                <w:sz w:val="17"/>
              </w:rPr>
              <w:t>Priority</w:t>
            </w:r>
          </w:p>
        </w:tc>
      </w:tr>
      <w:tr>
        <w:tc>
          <w:tcPr>
            <w:tcW w:type="dxa" w:w="2436"/>
          </w:tcPr>
          <w:p>
            <w:pPr>
              <w:spacing w:before="40" w:after="40"/>
            </w:pPr>
            <w:r>
              <w:rPr>
                <w:rFonts w:ascii="Calibri" w:hAnsi="Calibri"/>
                <w:b/>
                <w:i w:val="0"/>
                <w:color w:val="333333"/>
                <w:sz w:val="17"/>
              </w:rPr>
              <w:t>T1 — Dishonest collector</w:t>
            </w:r>
          </w:p>
        </w:tc>
        <w:tc>
          <w:tcPr>
            <w:tcW w:type="dxa" w:w="2436"/>
          </w:tcPr>
          <w:p>
            <w:pPr>
              <w:spacing w:before="40" w:after="40"/>
            </w:pPr>
            <w:r>
              <w:rPr>
                <w:rFonts w:ascii="Calibri" w:hAnsi="Calibri"/>
                <w:b w:val="0"/>
                <w:i w:val="0"/>
                <w:color w:val="333333"/>
                <w:sz w:val="17"/>
              </w:rPr>
              <w:t>Divert collected premiums, issue false receipts, under-declare</w:t>
            </w:r>
          </w:p>
        </w:tc>
        <w:tc>
          <w:tcPr>
            <w:tcW w:type="dxa" w:w="2436"/>
          </w:tcPr>
          <w:p>
            <w:pPr>
              <w:spacing w:before="40" w:after="40"/>
            </w:pPr>
            <w:r>
              <w:rPr>
                <w:rFonts w:ascii="Calibri" w:hAnsi="Calibri"/>
                <w:b w:val="0"/>
                <w:i w:val="0"/>
                <w:color w:val="333333"/>
                <w:sz w:val="17"/>
              </w:rPr>
              <w:t>Legitimate credentials, physical possession of the terminal, field autonomy</w:t>
            </w:r>
          </w:p>
        </w:tc>
        <w:tc>
          <w:tcPr>
            <w:tcW w:type="dxa" w:w="2436"/>
          </w:tcPr>
          <w:p>
            <w:pPr>
              <w:spacing w:before="40" w:after="40"/>
            </w:pPr>
            <w:r>
              <w:rPr>
                <w:rFonts w:ascii="Calibri" w:hAnsi="Calibri"/>
                <w:b/>
                <w:i w:val="0"/>
                <w:color w:val="333333"/>
                <w:sz w:val="17"/>
              </w:rPr>
              <w:t>Highest</w:t>
            </w:r>
          </w:p>
        </w:tc>
      </w:tr>
      <w:tr>
        <w:tc>
          <w:tcPr>
            <w:tcW w:type="dxa" w:w="2436"/>
            <w:shd w:val="clear" w:fill="F2F6FA"/>
          </w:tcPr>
          <w:p>
            <w:pPr>
              <w:spacing w:before="40" w:after="40"/>
            </w:pPr>
            <w:r>
              <w:rPr>
                <w:rFonts w:ascii="Calibri" w:hAnsi="Calibri"/>
                <w:b/>
                <w:i w:val="0"/>
                <w:color w:val="333333"/>
                <w:sz w:val="17"/>
              </w:rPr>
              <w:t>T2 — Thief</w:t>
            </w:r>
          </w:p>
        </w:tc>
        <w:tc>
          <w:tcPr>
            <w:tcW w:type="dxa" w:w="2436"/>
            <w:shd w:val="clear" w:fill="F2F6FA"/>
          </w:tcPr>
          <w:p>
            <w:pPr>
              <w:spacing w:before="40" w:after="40"/>
            </w:pPr>
            <w:r>
              <w:rPr>
                <w:rFonts w:ascii="Calibri" w:hAnsi="Calibri"/>
                <w:b w:val="0"/>
                <w:i w:val="0"/>
                <w:color w:val="333333"/>
                <w:sz w:val="17"/>
              </w:rPr>
              <w:t>Resell a stolen terminal or card, use it fraudulently</w:t>
            </w:r>
          </w:p>
        </w:tc>
        <w:tc>
          <w:tcPr>
            <w:tcW w:type="dxa" w:w="2436"/>
            <w:shd w:val="clear" w:fill="F2F6FA"/>
          </w:tcPr>
          <w:p>
            <w:pPr>
              <w:spacing w:before="40" w:after="40"/>
            </w:pPr>
            <w:r>
              <w:rPr>
                <w:rFonts w:ascii="Calibri" w:hAnsi="Calibri"/>
                <w:b w:val="0"/>
                <w:i w:val="0"/>
                <w:color w:val="333333"/>
                <w:sz w:val="17"/>
              </w:rPr>
              <w:t>Physical access only</w:t>
            </w:r>
          </w:p>
        </w:tc>
        <w:tc>
          <w:tcPr>
            <w:tcW w:type="dxa" w:w="2436"/>
            <w:shd w:val="clear" w:fill="F2F6FA"/>
          </w:tcPr>
          <w:p>
            <w:pPr>
              <w:spacing w:before="40" w:after="40"/>
            </w:pPr>
            <w:r>
              <w:rPr>
                <w:rFonts w:ascii="Calibri" w:hAnsi="Calibri"/>
                <w:b w:val="0"/>
                <w:i w:val="0"/>
                <w:color w:val="333333"/>
                <w:sz w:val="17"/>
              </w:rPr>
              <w:t>High</w:t>
            </w:r>
          </w:p>
        </w:tc>
      </w:tr>
      <w:tr>
        <w:tc>
          <w:tcPr>
            <w:tcW w:type="dxa" w:w="2436"/>
          </w:tcPr>
          <w:p>
            <w:pPr>
              <w:spacing w:before="40" w:after="40"/>
            </w:pPr>
            <w:r>
              <w:rPr>
                <w:rFonts w:ascii="Calibri" w:hAnsi="Calibri"/>
                <w:b/>
                <w:i w:val="0"/>
                <w:color w:val="333333"/>
                <w:sz w:val="17"/>
              </w:rPr>
              <w:t>T3 — Insured acting fraudulently</w:t>
            </w:r>
          </w:p>
        </w:tc>
        <w:tc>
          <w:tcPr>
            <w:tcW w:type="dxa" w:w="2436"/>
          </w:tcPr>
          <w:p>
            <w:pPr>
              <w:spacing w:before="40" w:after="40"/>
            </w:pPr>
            <w:r>
              <w:rPr>
                <w:rFonts w:ascii="Calibri" w:hAnsi="Calibri"/>
                <w:b w:val="0"/>
                <w:i w:val="0"/>
                <w:color w:val="333333"/>
                <w:sz w:val="17"/>
              </w:rPr>
              <w:t>Obtain a receipt without paying, claim a payment not made, reuse a QR</w:t>
            </w:r>
          </w:p>
        </w:tc>
        <w:tc>
          <w:tcPr>
            <w:tcW w:type="dxa" w:w="2436"/>
          </w:tcPr>
          <w:p>
            <w:pPr>
              <w:spacing w:before="40" w:after="40"/>
            </w:pPr>
            <w:r>
              <w:rPr>
                <w:rFonts w:ascii="Calibri" w:hAnsi="Calibri"/>
                <w:b w:val="0"/>
                <w:i w:val="0"/>
                <w:color w:val="333333"/>
                <w:sz w:val="17"/>
              </w:rPr>
              <w:t>Interaction with the collector</w:t>
            </w:r>
          </w:p>
        </w:tc>
        <w:tc>
          <w:tcPr>
            <w:tcW w:type="dxa" w:w="2436"/>
          </w:tcPr>
          <w:p>
            <w:pPr>
              <w:spacing w:before="40" w:after="40"/>
            </w:pPr>
            <w:r>
              <w:rPr>
                <w:rFonts w:ascii="Calibri" w:hAnsi="Calibri"/>
                <w:b w:val="0"/>
                <w:i w:val="0"/>
                <w:color w:val="333333"/>
                <w:sz w:val="17"/>
              </w:rPr>
              <w:t>High</w:t>
            </w:r>
          </w:p>
        </w:tc>
      </w:tr>
      <w:tr>
        <w:tc>
          <w:tcPr>
            <w:tcW w:type="dxa" w:w="2436"/>
            <w:shd w:val="clear" w:fill="F2F6FA"/>
          </w:tcPr>
          <w:p>
            <w:pPr>
              <w:spacing w:before="40" w:after="40"/>
            </w:pPr>
            <w:r>
              <w:rPr>
                <w:rFonts w:ascii="Calibri" w:hAnsi="Calibri"/>
                <w:b/>
                <w:i w:val="0"/>
                <w:color w:val="333333"/>
                <w:sz w:val="17"/>
              </w:rPr>
              <w:t>T4 — External attacker</w:t>
            </w:r>
          </w:p>
        </w:tc>
        <w:tc>
          <w:tcPr>
            <w:tcW w:type="dxa" w:w="2436"/>
            <w:shd w:val="clear" w:fill="F2F6FA"/>
          </w:tcPr>
          <w:p>
            <w:pPr>
              <w:spacing w:before="40" w:after="40"/>
            </w:pPr>
            <w:r>
              <w:rPr>
                <w:rFonts w:ascii="Calibri" w:hAnsi="Calibri"/>
                <w:b w:val="0"/>
                <w:i w:val="0"/>
                <w:color w:val="333333"/>
                <w:sz w:val="17"/>
              </w:rPr>
              <w:t>Steal the personal-data base, extort, disrupt</w:t>
            </w:r>
          </w:p>
        </w:tc>
        <w:tc>
          <w:tcPr>
            <w:tcW w:type="dxa" w:w="2436"/>
            <w:shd w:val="clear" w:fill="F2F6FA"/>
          </w:tcPr>
          <w:p>
            <w:pPr>
              <w:spacing w:before="40" w:after="40"/>
            </w:pPr>
            <w:r>
              <w:rPr>
                <w:rFonts w:ascii="Calibri" w:hAnsi="Calibri"/>
                <w:b w:val="0"/>
                <w:i w:val="0"/>
                <w:color w:val="333333"/>
                <w:sz w:val="17"/>
              </w:rPr>
              <w:t>Internet access, standard tooling</w:t>
            </w:r>
          </w:p>
        </w:tc>
        <w:tc>
          <w:tcPr>
            <w:tcW w:type="dxa" w:w="2436"/>
            <w:shd w:val="clear" w:fill="F2F6FA"/>
          </w:tcPr>
          <w:p>
            <w:pPr>
              <w:spacing w:before="40" w:after="40"/>
            </w:pPr>
            <w:r>
              <w:rPr>
                <w:rFonts w:ascii="Calibri" w:hAnsi="Calibri"/>
                <w:b w:val="0"/>
                <w:i w:val="0"/>
                <w:color w:val="333333"/>
                <w:sz w:val="17"/>
              </w:rPr>
              <w:t>High</w:t>
            </w:r>
          </w:p>
        </w:tc>
      </w:tr>
      <w:tr>
        <w:tc>
          <w:tcPr>
            <w:tcW w:type="dxa" w:w="2436"/>
          </w:tcPr>
          <w:p>
            <w:pPr>
              <w:spacing w:before="40" w:after="40"/>
            </w:pPr>
            <w:r>
              <w:rPr>
                <w:rFonts w:ascii="Calibri" w:hAnsi="Calibri"/>
                <w:b/>
                <w:i w:val="0"/>
                <w:color w:val="333333"/>
                <w:sz w:val="17"/>
              </w:rPr>
              <w:t>T5 — Dishonest internal back-office user</w:t>
            </w:r>
          </w:p>
        </w:tc>
        <w:tc>
          <w:tcPr>
            <w:tcW w:type="dxa" w:w="2436"/>
          </w:tcPr>
          <w:p>
            <w:pPr>
              <w:spacing w:before="40" w:after="40"/>
            </w:pPr>
            <w:r>
              <w:rPr>
                <w:rFonts w:ascii="Calibri" w:hAnsi="Calibri"/>
                <w:b w:val="0"/>
                <w:i w:val="0"/>
                <w:color w:val="333333"/>
                <w:sz w:val="17"/>
              </w:rPr>
              <w:t>Confirm a false pay-in, alter a collection, exfiltrate data</w:t>
            </w:r>
          </w:p>
        </w:tc>
        <w:tc>
          <w:tcPr>
            <w:tcW w:type="dxa" w:w="2436"/>
          </w:tcPr>
          <w:p>
            <w:pPr>
              <w:spacing w:before="40" w:after="40"/>
            </w:pPr>
            <w:r>
              <w:rPr>
                <w:rFonts w:ascii="Calibri" w:hAnsi="Calibri"/>
                <w:b w:val="0"/>
                <w:i w:val="0"/>
                <w:color w:val="333333"/>
                <w:sz w:val="17"/>
              </w:rPr>
              <w:t>Privileged application access</w:t>
            </w:r>
          </w:p>
        </w:tc>
        <w:tc>
          <w:tcPr>
            <w:tcW w:type="dxa" w:w="2436"/>
          </w:tcPr>
          <w:p>
            <w:pPr>
              <w:spacing w:before="40" w:after="40"/>
            </w:pPr>
            <w:r>
              <w:rPr>
                <w:rFonts w:ascii="Calibri" w:hAnsi="Calibri"/>
                <w:b w:val="0"/>
                <w:i w:val="0"/>
                <w:color w:val="333333"/>
                <w:sz w:val="17"/>
              </w:rPr>
              <w:t>High</w:t>
            </w:r>
          </w:p>
        </w:tc>
      </w:tr>
      <w:tr>
        <w:tc>
          <w:tcPr>
            <w:tcW w:type="dxa" w:w="2436"/>
            <w:shd w:val="clear" w:fill="F2F6FA"/>
          </w:tcPr>
          <w:p>
            <w:pPr>
              <w:spacing w:before="40" w:after="40"/>
            </w:pPr>
            <w:r>
              <w:rPr>
                <w:rFonts w:ascii="Calibri" w:hAnsi="Calibri"/>
                <w:b/>
                <w:i w:val="0"/>
                <w:color w:val="333333"/>
                <w:sz w:val="17"/>
              </w:rPr>
              <w:t>T6 — Interceptor on the mobile network</w:t>
            </w:r>
          </w:p>
        </w:tc>
        <w:tc>
          <w:tcPr>
            <w:tcW w:type="dxa" w:w="2436"/>
            <w:shd w:val="clear" w:fill="F2F6FA"/>
          </w:tcPr>
          <w:p>
            <w:pPr>
              <w:spacing w:before="40" w:after="40"/>
            </w:pPr>
            <w:r>
              <w:rPr>
                <w:rFonts w:ascii="Calibri" w:hAnsi="Calibri"/>
                <w:b w:val="0"/>
                <w:i w:val="0"/>
                <w:color w:val="333333"/>
                <w:sz w:val="17"/>
              </w:rPr>
              <w:t>Capture traffic between the terminal and the platform</w:t>
            </w:r>
          </w:p>
        </w:tc>
        <w:tc>
          <w:tcPr>
            <w:tcW w:type="dxa" w:w="2436"/>
            <w:shd w:val="clear" w:fill="F2F6FA"/>
          </w:tcPr>
          <w:p>
            <w:pPr>
              <w:spacing w:before="40" w:after="40"/>
            </w:pPr>
            <w:r>
              <w:rPr>
                <w:rFonts w:ascii="Calibri" w:hAnsi="Calibri"/>
                <w:b w:val="0"/>
                <w:i w:val="0"/>
                <w:color w:val="333333"/>
                <w:sz w:val="17"/>
              </w:rPr>
              <w:t>Network position, public Wi-Fi</w:t>
            </w:r>
          </w:p>
        </w:tc>
        <w:tc>
          <w:tcPr>
            <w:tcW w:type="dxa" w:w="2436"/>
            <w:shd w:val="clear" w:fill="F2F6FA"/>
          </w:tcPr>
          <w:p>
            <w:pPr>
              <w:spacing w:before="40" w:after="40"/>
            </w:pPr>
            <w:r>
              <w:rPr>
                <w:rFonts w:ascii="Calibri" w:hAnsi="Calibri"/>
                <w:b w:val="0"/>
                <w:i w:val="0"/>
                <w:color w:val="333333"/>
                <w:sz w:val="17"/>
              </w:rPr>
              <w:t>Medium</w:t>
            </w:r>
          </w:p>
        </w:tc>
      </w:tr>
      <w:tr>
        <w:tc>
          <w:tcPr>
            <w:tcW w:type="dxa" w:w="2436"/>
          </w:tcPr>
          <w:p>
            <w:pPr>
              <w:spacing w:before="40" w:after="40"/>
            </w:pPr>
            <w:r>
              <w:rPr>
                <w:rFonts w:ascii="Calibri" w:hAnsi="Calibri"/>
                <w:b/>
                <w:i w:val="0"/>
                <w:color w:val="333333"/>
                <w:sz w:val="17"/>
              </w:rPr>
              <w:t>T7 — Compromised third party</w:t>
            </w:r>
            <w:r>
              <w:rPr>
                <w:rFonts w:ascii="Calibri" w:hAnsi="Calibri"/>
                <w:b w:val="0"/>
                <w:i w:val="0"/>
                <w:color w:val="333333"/>
                <w:sz w:val="17"/>
              </w:rPr>
              <w:t xml:space="preserve"> (aggregator, SMS provider, hosting)</w:t>
            </w:r>
          </w:p>
        </w:tc>
        <w:tc>
          <w:tcPr>
            <w:tcW w:type="dxa" w:w="2436"/>
          </w:tcPr>
          <w:p>
            <w:pPr>
              <w:spacing w:before="40" w:after="40"/>
            </w:pPr>
            <w:r>
              <w:rPr>
                <w:rFonts w:ascii="Calibri" w:hAnsi="Calibri"/>
                <w:b w:val="0"/>
                <w:i w:val="0"/>
                <w:color w:val="333333"/>
                <w:sz w:val="17"/>
              </w:rPr>
              <w:t>Access data in transit or at rest</w:t>
            </w:r>
          </w:p>
        </w:tc>
        <w:tc>
          <w:tcPr>
            <w:tcW w:type="dxa" w:w="2436"/>
          </w:tcPr>
          <w:p>
            <w:pPr>
              <w:spacing w:before="40" w:after="40"/>
            </w:pPr>
            <w:r>
              <w:rPr>
                <w:rFonts w:ascii="Calibri" w:hAnsi="Calibri"/>
                <w:b w:val="0"/>
                <w:i w:val="0"/>
                <w:color w:val="333333"/>
                <w:sz w:val="17"/>
              </w:rPr>
              <w:t>Legitimate integration access</w:t>
            </w:r>
          </w:p>
        </w:tc>
        <w:tc>
          <w:tcPr>
            <w:tcW w:type="dxa" w:w="2436"/>
          </w:tcPr>
          <w:p>
            <w:pPr>
              <w:spacing w:before="40" w:after="40"/>
            </w:pPr>
            <w:r>
              <w:rPr>
                <w:rFonts w:ascii="Calibri" w:hAnsi="Calibri"/>
                <w:b w:val="0"/>
                <w:i w:val="0"/>
                <w:color w:val="333333"/>
                <w:sz w:val="17"/>
              </w:rPr>
              <w:t>Medium</w:t>
            </w:r>
          </w:p>
        </w:tc>
      </w:tr>
    </w:tbl>
    <w:p>
      <w:pPr>
        <w:spacing w:after="40"/>
      </w:pPr>
    </w:p>
    <w:p>
      <w:pPr>
        <w:pStyle w:val="Heading2"/>
        <w:spacing w:before="280" w:after="80"/>
        <w:keepNext/>
      </w:pPr>
      <w:bookmarkStart w:id="111" w:name="_Toc_s010"/>
      <w:r>
        <w:rPr>
          <w:rFonts w:ascii="Calibri" w:hAnsi="Calibri"/>
          <w:b/>
          <w:color w:val="1B3A5C"/>
          <w:sz w:val="24"/>
        </w:rPr>
        <w:t>3.2 Principal threat scenarios and countermeasures</w:t>
      </w:r>
      <w:bookmarkEnd w:id="111"/>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3249"/>
        <w:gridCol w:w="3249"/>
        <w:gridCol w:w="3249"/>
      </w:tblGrid>
      <w:tr>
        <w:trPr>
          <w:tblHeader w:val="true"/>
        </w:trPr>
        <w:tc>
          <w:tcPr>
            <w:tcW w:type="dxa" w:w="3249"/>
            <w:shd w:val="clear" w:fill="1B3A5C"/>
          </w:tcPr>
          <w:p>
            <w:pPr>
              <w:spacing w:before="60" w:after="60"/>
            </w:pPr>
            <w:r>
              <w:rPr>
                <w:rFonts w:ascii="Calibri" w:hAnsi="Calibri"/>
                <w:b/>
                <w:color w:val="FFFFFF"/>
                <w:sz w:val="17"/>
              </w:rPr>
              <w:t>#</w:t>
            </w:r>
          </w:p>
        </w:tc>
        <w:tc>
          <w:tcPr>
            <w:tcW w:type="dxa" w:w="3249"/>
            <w:shd w:val="clear" w:fill="1B3A5C"/>
          </w:tcPr>
          <w:p>
            <w:pPr>
              <w:spacing w:before="60" w:after="60"/>
            </w:pPr>
            <w:r>
              <w:rPr>
                <w:rFonts w:ascii="Calibri" w:hAnsi="Calibri"/>
                <w:b/>
                <w:color w:val="FFFFFF"/>
                <w:sz w:val="17"/>
              </w:rPr>
              <w:t>Scenario</w:t>
            </w:r>
          </w:p>
        </w:tc>
        <w:tc>
          <w:tcPr>
            <w:tcW w:type="dxa" w:w="3249"/>
            <w:shd w:val="clear" w:fill="1B3A5C"/>
          </w:tcPr>
          <w:p>
            <w:pPr>
              <w:spacing w:before="60" w:after="60"/>
            </w:pPr>
            <w:r>
              <w:rPr>
                <w:rFonts w:ascii="Calibri" w:hAnsi="Calibri"/>
                <w:b/>
                <w:color w:val="FFFFFF"/>
                <w:sz w:val="17"/>
              </w:rPr>
              <w:t>Countermeasures</w:t>
            </w:r>
          </w:p>
        </w:tc>
      </w:tr>
      <w:tr>
        <w:tc>
          <w:tcPr>
            <w:tcW w:type="dxa" w:w="3249"/>
          </w:tcPr>
          <w:p>
            <w:pPr>
              <w:spacing w:before="40" w:after="40"/>
            </w:pPr>
            <w:r>
              <w:rPr>
                <w:rFonts w:ascii="Calibri" w:hAnsi="Calibri"/>
                <w:b/>
                <w:i w:val="0"/>
                <w:color w:val="333333"/>
                <w:sz w:val="17"/>
              </w:rPr>
              <w:t>TH-1</w:t>
            </w:r>
          </w:p>
        </w:tc>
        <w:tc>
          <w:tcPr>
            <w:tcW w:type="dxa" w:w="3249"/>
          </w:tcPr>
          <w:p>
            <w:pPr>
              <w:spacing w:before="40" w:after="40"/>
            </w:pPr>
            <w:r>
              <w:rPr>
                <w:rFonts w:ascii="Calibri" w:hAnsi="Calibri"/>
                <w:b w:val="0"/>
                <w:i w:val="0"/>
                <w:color w:val="333333"/>
                <w:sz w:val="17"/>
              </w:rPr>
              <w:t>Collector collects a premium and pockets it, printing no receipt</w:t>
            </w:r>
          </w:p>
        </w:tc>
        <w:tc>
          <w:tcPr>
            <w:tcW w:type="dxa" w:w="3249"/>
          </w:tcPr>
          <w:p>
            <w:pPr>
              <w:spacing w:before="40" w:after="40"/>
            </w:pPr>
            <w:r>
              <w:rPr>
                <w:rFonts w:ascii="Calibri" w:hAnsi="Calibri"/>
                <w:b w:val="0"/>
                <w:i w:val="0"/>
                <w:color w:val="333333"/>
                <w:sz w:val="17"/>
              </w:rPr>
              <w:t>Receipt is generated by the system, not by the collector; sequential receipt numbering per terminal with gap detection; SMS confirmation to the insured (§8.4); insured education that a payment without a printed receipt is invalid; collections reconciled against the collector's cap and pay-ins</w:t>
            </w:r>
          </w:p>
        </w:tc>
      </w:tr>
      <w:tr>
        <w:tc>
          <w:tcPr>
            <w:tcW w:type="dxa" w:w="3249"/>
            <w:shd w:val="clear" w:fill="F2F6FA"/>
          </w:tcPr>
          <w:p>
            <w:pPr>
              <w:spacing w:before="40" w:after="40"/>
            </w:pPr>
            <w:r>
              <w:rPr>
                <w:rFonts w:ascii="Calibri" w:hAnsi="Calibri"/>
                <w:b/>
                <w:i w:val="0"/>
                <w:color w:val="333333"/>
                <w:sz w:val="17"/>
              </w:rPr>
              <w:t>TH-2</w:t>
            </w:r>
          </w:p>
        </w:tc>
        <w:tc>
          <w:tcPr>
            <w:tcW w:type="dxa" w:w="3249"/>
            <w:shd w:val="clear" w:fill="F2F6FA"/>
          </w:tcPr>
          <w:p>
            <w:pPr>
              <w:spacing w:before="40" w:after="40"/>
            </w:pPr>
            <w:r>
              <w:rPr>
                <w:rFonts w:ascii="Calibri" w:hAnsi="Calibri"/>
                <w:b w:val="0"/>
                <w:i w:val="0"/>
                <w:color w:val="333333"/>
                <w:sz w:val="17"/>
              </w:rPr>
              <w:t>Collector prints a receipt then cancels or deletes the record</w:t>
            </w:r>
          </w:p>
        </w:tc>
        <w:tc>
          <w:tcPr>
            <w:tcW w:type="dxa" w:w="3249"/>
            <w:shd w:val="clear" w:fill="F2F6FA"/>
          </w:tcPr>
          <w:p>
            <w:pPr>
              <w:spacing w:before="40" w:after="40"/>
            </w:pPr>
            <w:r>
              <w:rPr>
                <w:rFonts w:ascii="Calibri" w:hAnsi="Calibri"/>
                <w:b w:val="0"/>
                <w:i w:val="0"/>
                <w:color w:val="333333"/>
                <w:sz w:val="17"/>
              </w:rPr>
              <w:t xml:space="preserve">Collections are </w:t>
            </w:r>
            <w:r>
              <w:rPr>
                <w:rFonts w:ascii="Calibri" w:hAnsi="Calibri"/>
                <w:b/>
                <w:i w:val="0"/>
                <w:color w:val="333333"/>
                <w:sz w:val="17"/>
              </w:rPr>
              <w:t>append-only</w:t>
            </w:r>
            <w:r>
              <w:rPr>
                <w:rFonts w:ascii="Calibri" w:hAnsi="Calibri"/>
                <w:b w:val="0"/>
                <w:i w:val="0"/>
                <w:color w:val="333333"/>
                <w:sz w:val="17"/>
              </w:rPr>
              <w:t>; no delete on the device or in the back office; a correction is a new reversal entry, permission-gated and audited; the terminal's local queue is not user-accessible</w:t>
            </w:r>
          </w:p>
        </w:tc>
      </w:tr>
      <w:tr>
        <w:tc>
          <w:tcPr>
            <w:tcW w:type="dxa" w:w="3249"/>
          </w:tcPr>
          <w:p>
            <w:pPr>
              <w:spacing w:before="40" w:after="40"/>
            </w:pPr>
            <w:r>
              <w:rPr>
                <w:rFonts w:ascii="Calibri" w:hAnsi="Calibri"/>
                <w:b/>
                <w:i w:val="0"/>
                <w:color w:val="333333"/>
                <w:sz w:val="17"/>
              </w:rPr>
              <w:t>TH-3</w:t>
            </w:r>
          </w:p>
        </w:tc>
        <w:tc>
          <w:tcPr>
            <w:tcW w:type="dxa" w:w="3249"/>
          </w:tcPr>
          <w:p>
            <w:pPr>
              <w:spacing w:before="40" w:after="40"/>
            </w:pPr>
            <w:r>
              <w:rPr>
                <w:rFonts w:ascii="Calibri" w:hAnsi="Calibri"/>
                <w:b w:val="0"/>
                <w:i w:val="0"/>
                <w:color w:val="333333"/>
                <w:sz w:val="17"/>
              </w:rPr>
              <w:t>Collector accumulates cash and disappears</w:t>
            </w:r>
          </w:p>
        </w:tc>
        <w:tc>
          <w:tcPr>
            <w:tcW w:type="dxa" w:w="3249"/>
          </w:tcPr>
          <w:p>
            <w:pPr>
              <w:spacing w:before="40" w:after="40"/>
            </w:pPr>
            <w:r>
              <w:rPr>
                <w:rFonts w:ascii="Calibri" w:hAnsi="Calibri"/>
                <w:b w:val="0"/>
                <w:i w:val="0"/>
                <w:color w:val="333333"/>
                <w:sz w:val="17"/>
              </w:rPr>
              <w:t>Per-collector cap (Doc 1 §6.3) bounds maximum exposure; terminal blocks new collections at the cap; daily monitoring of uncollected balances; ageing alert on collectors above threshold for more than N days</w:t>
            </w:r>
          </w:p>
        </w:tc>
      </w:tr>
      <w:tr>
        <w:tc>
          <w:tcPr>
            <w:tcW w:type="dxa" w:w="3249"/>
            <w:shd w:val="clear" w:fill="F2F6FA"/>
          </w:tcPr>
          <w:p>
            <w:pPr>
              <w:spacing w:before="40" w:after="40"/>
            </w:pPr>
            <w:r>
              <w:rPr>
                <w:rFonts w:ascii="Calibri" w:hAnsi="Calibri"/>
                <w:b/>
                <w:i w:val="0"/>
                <w:color w:val="333333"/>
                <w:sz w:val="17"/>
              </w:rPr>
              <w:t>TH-4</w:t>
            </w:r>
          </w:p>
        </w:tc>
        <w:tc>
          <w:tcPr>
            <w:tcW w:type="dxa" w:w="3249"/>
            <w:shd w:val="clear" w:fill="F2F6FA"/>
          </w:tcPr>
          <w:p>
            <w:pPr>
              <w:spacing w:before="40" w:after="40"/>
            </w:pPr>
            <w:r>
              <w:rPr>
                <w:rFonts w:ascii="Calibri" w:hAnsi="Calibri"/>
                <w:b w:val="0"/>
                <w:i w:val="0"/>
                <w:color w:val="333333"/>
                <w:sz w:val="17"/>
              </w:rPr>
              <w:t>Collector declares a pay-in larger than actually deposited</w:t>
            </w:r>
          </w:p>
        </w:tc>
        <w:tc>
          <w:tcPr>
            <w:tcW w:type="dxa" w:w="3249"/>
            <w:shd w:val="clear" w:fill="F2F6FA"/>
          </w:tcPr>
          <w:p>
            <w:pPr>
              <w:spacing w:before="40" w:after="40"/>
            </w:pPr>
            <w:r>
              <w:rPr>
                <w:rFonts w:ascii="Calibri" w:hAnsi="Calibri"/>
                <w:b w:val="0"/>
                <w:i w:val="0"/>
                <w:color w:val="333333"/>
                <w:sz w:val="17"/>
              </w:rPr>
              <w:t xml:space="preserve">Pay-in is a </w:t>
            </w:r>
            <w:r>
              <w:rPr>
                <w:rFonts w:ascii="Calibri" w:hAnsi="Calibri"/>
                <w:b w:val="0"/>
                <w:i/>
                <w:color w:val="333333"/>
                <w:sz w:val="17"/>
              </w:rPr>
              <w:t>declaration</w:t>
            </w:r>
            <w:r>
              <w:rPr>
                <w:rFonts w:ascii="Calibri" w:hAnsi="Calibri"/>
                <w:b w:val="0"/>
                <w:i w:val="0"/>
                <w:color w:val="333333"/>
                <w:sz w:val="17"/>
              </w:rPr>
              <w:t>; only back-office confirmation against the bank statement or cash-office count reduces the balance; variance recorded; two-person confirmation above a configurable amount</w:t>
            </w:r>
          </w:p>
        </w:tc>
      </w:tr>
      <w:tr>
        <w:tc>
          <w:tcPr>
            <w:tcW w:type="dxa" w:w="3249"/>
          </w:tcPr>
          <w:p>
            <w:pPr>
              <w:spacing w:before="40" w:after="40"/>
            </w:pPr>
            <w:r>
              <w:rPr>
                <w:rFonts w:ascii="Calibri" w:hAnsi="Calibri"/>
                <w:b/>
                <w:i w:val="0"/>
                <w:color w:val="333333"/>
                <w:sz w:val="17"/>
              </w:rPr>
              <w:t>TH-5</w:t>
            </w:r>
          </w:p>
        </w:tc>
        <w:tc>
          <w:tcPr>
            <w:tcW w:type="dxa" w:w="3249"/>
          </w:tcPr>
          <w:p>
            <w:pPr>
              <w:spacing w:before="40" w:after="40"/>
            </w:pPr>
            <w:r>
              <w:rPr>
                <w:rFonts w:ascii="Calibri" w:hAnsi="Calibri"/>
                <w:b w:val="0"/>
                <w:i w:val="0"/>
                <w:color w:val="333333"/>
                <w:sz w:val="17"/>
              </w:rPr>
              <w:t>Terminal stolen</w:t>
            </w:r>
          </w:p>
        </w:tc>
        <w:tc>
          <w:tcPr>
            <w:tcW w:type="dxa" w:w="3249"/>
          </w:tcPr>
          <w:p>
            <w:pPr>
              <w:spacing w:before="40" w:after="40"/>
            </w:pPr>
            <w:r>
              <w:rPr>
                <w:rFonts w:ascii="Calibri" w:hAnsi="Calibri"/>
                <w:b w:val="0"/>
                <w:i w:val="0"/>
                <w:color w:val="333333"/>
                <w:sz w:val="17"/>
              </w:rPr>
              <w:t>Device locked by agent credentials and inactivity timeout; no cash on the device; local data encrypted and scoped to that agent; remote deactivation of the agent account and of the terminal from the back office; unsynchronised collections recoverable on return</w:t>
            </w:r>
          </w:p>
        </w:tc>
      </w:tr>
      <w:tr>
        <w:tc>
          <w:tcPr>
            <w:tcW w:type="dxa" w:w="3249"/>
            <w:shd w:val="clear" w:fill="F2F6FA"/>
          </w:tcPr>
          <w:p>
            <w:pPr>
              <w:spacing w:before="40" w:after="40"/>
            </w:pPr>
            <w:r>
              <w:rPr>
                <w:rFonts w:ascii="Calibri" w:hAnsi="Calibri"/>
                <w:b/>
                <w:i w:val="0"/>
                <w:color w:val="333333"/>
                <w:sz w:val="17"/>
              </w:rPr>
              <w:t>TH-6</w:t>
            </w:r>
          </w:p>
        </w:tc>
        <w:tc>
          <w:tcPr>
            <w:tcW w:type="dxa" w:w="3249"/>
            <w:shd w:val="clear" w:fill="F2F6FA"/>
          </w:tcPr>
          <w:p>
            <w:pPr>
              <w:spacing w:before="40" w:after="40"/>
            </w:pPr>
            <w:r>
              <w:rPr>
                <w:rFonts w:ascii="Calibri" w:hAnsi="Calibri"/>
                <w:b w:val="0"/>
                <w:i w:val="0"/>
                <w:color w:val="333333"/>
                <w:sz w:val="17"/>
              </w:rPr>
              <w:t>Card stolen or cloned</w:t>
            </w:r>
          </w:p>
        </w:tc>
        <w:tc>
          <w:tcPr>
            <w:tcW w:type="dxa" w:w="3249"/>
            <w:shd w:val="clear" w:fill="F2F6FA"/>
          </w:tcPr>
          <w:p>
            <w:pPr>
              <w:spacing w:before="40" w:after="40"/>
            </w:pPr>
            <w:r>
              <w:rPr>
                <w:rFonts w:ascii="Calibri" w:hAnsi="Calibri"/>
                <w:b w:val="0"/>
                <w:i w:val="0"/>
                <w:color w:val="333333"/>
                <w:sz w:val="17"/>
              </w:rPr>
              <w:t xml:space="preserve">The card holds an identifier, </w:t>
            </w:r>
            <w:r>
              <w:rPr>
                <w:rFonts w:ascii="Calibri" w:hAnsi="Calibri"/>
                <w:b/>
                <w:i w:val="0"/>
                <w:color w:val="333333"/>
                <w:sz w:val="17"/>
              </w:rPr>
              <w:t>never money and never a balance</w:t>
            </w:r>
            <w:r>
              <w:rPr>
                <w:rFonts w:ascii="Calibri" w:hAnsi="Calibri"/>
                <w:b w:val="0"/>
                <w:i w:val="0"/>
                <w:color w:val="333333"/>
                <w:sz w:val="17"/>
              </w:rPr>
              <w:t>; a card identifies, it does not authorise payment — the collector's authenticated session does; card blocked instantly in the back office; recommendation of contactless with per-card keys over clonable magnetic stripe (Doc 1 §7.2)</w:t>
            </w:r>
          </w:p>
        </w:tc>
      </w:tr>
      <w:tr>
        <w:tc>
          <w:tcPr>
            <w:tcW w:type="dxa" w:w="3249"/>
          </w:tcPr>
          <w:p>
            <w:pPr>
              <w:spacing w:before="40" w:after="40"/>
            </w:pPr>
            <w:r>
              <w:rPr>
                <w:rFonts w:ascii="Calibri" w:hAnsi="Calibri"/>
                <w:b/>
                <w:i w:val="0"/>
                <w:color w:val="333333"/>
                <w:sz w:val="17"/>
              </w:rPr>
              <w:t>TH-7</w:t>
            </w:r>
          </w:p>
        </w:tc>
        <w:tc>
          <w:tcPr>
            <w:tcW w:type="dxa" w:w="3249"/>
          </w:tcPr>
          <w:p>
            <w:pPr>
              <w:spacing w:before="40" w:after="40"/>
            </w:pPr>
            <w:r>
              <w:rPr>
                <w:rFonts w:ascii="Calibri" w:hAnsi="Calibri"/>
                <w:b w:val="0"/>
                <w:i w:val="0"/>
                <w:color w:val="333333"/>
                <w:sz w:val="17"/>
              </w:rPr>
              <w:t>Forged or replayed QR virtual card</w:t>
            </w:r>
          </w:p>
        </w:tc>
        <w:tc>
          <w:tcPr>
            <w:tcW w:type="dxa" w:w="3249"/>
          </w:tcPr>
          <w:p>
            <w:pPr>
              <w:spacing w:before="40" w:after="40"/>
            </w:pPr>
            <w:r>
              <w:rPr>
                <w:rFonts w:ascii="Calibri" w:hAnsi="Calibri"/>
                <w:b w:val="0"/>
                <w:i w:val="0"/>
                <w:color w:val="333333"/>
                <w:sz w:val="17"/>
              </w:rPr>
              <w:t>Cryptographic signature verified offline on the terminal; credential expiry; revocation list synchronised to terminals; the QR identifies but does not authorise; presenting a QR still produces a receipt in the true insured's name, so replay yields no financial gain</w:t>
            </w:r>
          </w:p>
        </w:tc>
      </w:tr>
      <w:tr>
        <w:tc>
          <w:tcPr>
            <w:tcW w:type="dxa" w:w="3249"/>
            <w:shd w:val="clear" w:fill="F2F6FA"/>
          </w:tcPr>
          <w:p>
            <w:pPr>
              <w:spacing w:before="40" w:after="40"/>
            </w:pPr>
            <w:r>
              <w:rPr>
                <w:rFonts w:ascii="Calibri" w:hAnsi="Calibri"/>
                <w:b/>
                <w:i w:val="0"/>
                <w:color w:val="333333"/>
                <w:sz w:val="17"/>
              </w:rPr>
              <w:t>TH-8</w:t>
            </w:r>
          </w:p>
        </w:tc>
        <w:tc>
          <w:tcPr>
            <w:tcW w:type="dxa" w:w="3249"/>
            <w:shd w:val="clear" w:fill="F2F6FA"/>
          </w:tcPr>
          <w:p>
            <w:pPr>
              <w:spacing w:before="40" w:after="40"/>
            </w:pPr>
            <w:r>
              <w:rPr>
                <w:rFonts w:ascii="Calibri" w:hAnsi="Calibri"/>
                <w:b w:val="0"/>
                <w:i w:val="0"/>
                <w:color w:val="333333"/>
                <w:sz w:val="17"/>
              </w:rPr>
              <w:t>Interception of POS ↔ platform traffic</w:t>
            </w:r>
          </w:p>
        </w:tc>
        <w:tc>
          <w:tcPr>
            <w:tcW w:type="dxa" w:w="3249"/>
            <w:shd w:val="clear" w:fill="F2F6FA"/>
          </w:tcPr>
          <w:p>
            <w:pPr>
              <w:spacing w:before="40" w:after="40"/>
            </w:pPr>
            <w:r>
              <w:rPr>
                <w:rFonts w:ascii="Calibri" w:hAnsi="Calibri"/>
                <w:b w:val="0"/>
                <w:i w:val="0"/>
                <w:color w:val="333333"/>
                <w:sz w:val="17"/>
              </w:rPr>
              <w:t>Mandatory TLS 1.2+; certificate pinning in the POS application; no sensitive data in URLs; rejection of plaintext HTTP</w:t>
            </w:r>
          </w:p>
        </w:tc>
      </w:tr>
      <w:tr>
        <w:tc>
          <w:tcPr>
            <w:tcW w:type="dxa" w:w="3249"/>
          </w:tcPr>
          <w:p>
            <w:pPr>
              <w:spacing w:before="40" w:after="40"/>
            </w:pPr>
            <w:r>
              <w:rPr>
                <w:rFonts w:ascii="Calibri" w:hAnsi="Calibri"/>
                <w:b/>
                <w:i w:val="0"/>
                <w:color w:val="333333"/>
                <w:sz w:val="17"/>
              </w:rPr>
              <w:t>TH-9</w:t>
            </w:r>
          </w:p>
        </w:tc>
        <w:tc>
          <w:tcPr>
            <w:tcW w:type="dxa" w:w="3249"/>
          </w:tcPr>
          <w:p>
            <w:pPr>
              <w:spacing w:before="40" w:after="40"/>
            </w:pPr>
            <w:r>
              <w:rPr>
                <w:rFonts w:ascii="Calibri" w:hAnsi="Calibri"/>
                <w:b w:val="0"/>
                <w:i w:val="0"/>
                <w:color w:val="333333"/>
                <w:sz w:val="17"/>
              </w:rPr>
              <w:t>Theft of the personal-data base</w:t>
            </w:r>
          </w:p>
        </w:tc>
        <w:tc>
          <w:tcPr>
            <w:tcW w:type="dxa" w:w="3249"/>
          </w:tcPr>
          <w:p>
            <w:pPr>
              <w:spacing w:before="40" w:after="40"/>
            </w:pPr>
            <w:r>
              <w:rPr>
                <w:rFonts w:ascii="Calibri" w:hAnsi="Calibri"/>
                <w:b w:val="0"/>
                <w:i w:val="0"/>
                <w:color w:val="333333"/>
                <w:sz w:val="17"/>
              </w:rPr>
              <w:t>Encryption at rest; database not exposed to the Internet; least-privilege database accounts; encrypted backups; access logging; alerting on abnormal export volumes</w:t>
            </w:r>
          </w:p>
        </w:tc>
      </w:tr>
      <w:tr>
        <w:tc>
          <w:tcPr>
            <w:tcW w:type="dxa" w:w="3249"/>
            <w:shd w:val="clear" w:fill="F2F6FA"/>
          </w:tcPr>
          <w:p>
            <w:pPr>
              <w:spacing w:before="40" w:after="40"/>
            </w:pPr>
            <w:r>
              <w:rPr>
                <w:rFonts w:ascii="Calibri" w:hAnsi="Calibri"/>
                <w:b/>
                <w:i w:val="0"/>
                <w:color w:val="333333"/>
                <w:sz w:val="17"/>
              </w:rPr>
              <w:t>TH-10</w:t>
            </w:r>
          </w:p>
        </w:tc>
        <w:tc>
          <w:tcPr>
            <w:tcW w:type="dxa" w:w="3249"/>
            <w:shd w:val="clear" w:fill="F2F6FA"/>
          </w:tcPr>
          <w:p>
            <w:pPr>
              <w:spacing w:before="40" w:after="40"/>
            </w:pPr>
            <w:r>
              <w:rPr>
                <w:rFonts w:ascii="Calibri" w:hAnsi="Calibri"/>
                <w:b w:val="0"/>
                <w:i w:val="0"/>
                <w:color w:val="333333"/>
                <w:sz w:val="17"/>
              </w:rPr>
              <w:t>Compromise of an API key</w:t>
            </w:r>
          </w:p>
        </w:tc>
        <w:tc>
          <w:tcPr>
            <w:tcW w:type="dxa" w:w="3249"/>
            <w:shd w:val="clear" w:fill="F2F6FA"/>
          </w:tcPr>
          <w:p>
            <w:pPr>
              <w:spacing w:before="40" w:after="40"/>
            </w:pPr>
            <w:r>
              <w:rPr>
                <w:rFonts w:ascii="Calibri" w:hAnsi="Calibri"/>
                <w:b w:val="0"/>
                <w:i w:val="0"/>
                <w:color w:val="333333"/>
                <w:sz w:val="17"/>
              </w:rPr>
              <w:t>Keys are per business unit, hashed at rest, revocable instantly, rate-limited, usage-logged with last-use timestamp; rotation procedure (§5.4)</w:t>
            </w:r>
          </w:p>
        </w:tc>
      </w:tr>
      <w:tr>
        <w:tc>
          <w:tcPr>
            <w:tcW w:type="dxa" w:w="3249"/>
          </w:tcPr>
          <w:p>
            <w:pPr>
              <w:spacing w:before="40" w:after="40"/>
            </w:pPr>
            <w:r>
              <w:rPr>
                <w:rFonts w:ascii="Calibri" w:hAnsi="Calibri"/>
                <w:b/>
                <w:i w:val="0"/>
                <w:color w:val="333333"/>
                <w:sz w:val="17"/>
              </w:rPr>
              <w:t>TH-11</w:t>
            </w:r>
          </w:p>
        </w:tc>
        <w:tc>
          <w:tcPr>
            <w:tcW w:type="dxa" w:w="3249"/>
          </w:tcPr>
          <w:p>
            <w:pPr>
              <w:spacing w:before="40" w:after="40"/>
            </w:pPr>
            <w:r>
              <w:rPr>
                <w:rFonts w:ascii="Calibri" w:hAnsi="Calibri"/>
                <w:b w:val="0"/>
                <w:i w:val="0"/>
                <w:color w:val="333333"/>
                <w:sz w:val="17"/>
              </w:rPr>
              <w:t>Back-office user exports the whole client base</w:t>
            </w:r>
          </w:p>
        </w:tc>
        <w:tc>
          <w:tcPr>
            <w:tcW w:type="dxa" w:w="3249"/>
          </w:tcPr>
          <w:p>
            <w:pPr>
              <w:spacing w:before="40" w:after="40"/>
            </w:pPr>
            <w:r>
              <w:rPr>
                <w:rFonts w:ascii="Calibri" w:hAnsi="Calibri"/>
                <w:b w:val="0"/>
                <w:i w:val="0"/>
                <w:color w:val="333333"/>
                <w:sz w:val="17"/>
              </w:rPr>
              <w:t>Export is permission-gated; every export is logged with actor, filters and row count; volumetric alerting; exports watermarked with the requesting user</w:t>
            </w:r>
          </w:p>
        </w:tc>
      </w:tr>
      <w:tr>
        <w:tc>
          <w:tcPr>
            <w:tcW w:type="dxa" w:w="3249"/>
            <w:shd w:val="clear" w:fill="F2F6FA"/>
          </w:tcPr>
          <w:p>
            <w:pPr>
              <w:spacing w:before="40" w:after="40"/>
            </w:pPr>
            <w:r>
              <w:rPr>
                <w:rFonts w:ascii="Calibri" w:hAnsi="Calibri"/>
                <w:b/>
                <w:i w:val="0"/>
                <w:color w:val="333333"/>
                <w:sz w:val="17"/>
              </w:rPr>
              <w:t>TH-12</w:t>
            </w:r>
          </w:p>
        </w:tc>
        <w:tc>
          <w:tcPr>
            <w:tcW w:type="dxa" w:w="3249"/>
            <w:shd w:val="clear" w:fill="F2F6FA"/>
          </w:tcPr>
          <w:p>
            <w:pPr>
              <w:spacing w:before="40" w:after="40"/>
            </w:pPr>
            <w:r>
              <w:rPr>
                <w:rFonts w:ascii="Calibri" w:hAnsi="Calibri"/>
                <w:b w:val="0"/>
                <w:i w:val="0"/>
                <w:color w:val="333333"/>
                <w:sz w:val="17"/>
              </w:rPr>
              <w:t>Injection / XSS / CSRF on the back office</w:t>
            </w:r>
          </w:p>
        </w:tc>
        <w:tc>
          <w:tcPr>
            <w:tcW w:type="dxa" w:w="3249"/>
            <w:shd w:val="clear" w:fill="F2F6FA"/>
          </w:tcPr>
          <w:p>
            <w:pPr>
              <w:spacing w:before="40" w:after="40"/>
            </w:pPr>
            <w:r>
              <w:rPr>
                <w:rFonts w:ascii="Calibri" w:hAnsi="Calibri"/>
                <w:b w:val="0"/>
                <w:i w:val="0"/>
                <w:color w:val="333333"/>
                <w:sz w:val="17"/>
              </w:rPr>
              <w:t>Framework-level parameterised queries, output escaping, CSRF tokens on all state-changing web requests, strict server-side validation on every endpoint</w:t>
            </w:r>
          </w:p>
        </w:tc>
      </w:tr>
      <w:tr>
        <w:tc>
          <w:tcPr>
            <w:tcW w:type="dxa" w:w="3249"/>
          </w:tcPr>
          <w:p>
            <w:pPr>
              <w:spacing w:before="40" w:after="40"/>
            </w:pPr>
            <w:r>
              <w:rPr>
                <w:rFonts w:ascii="Calibri" w:hAnsi="Calibri"/>
                <w:b/>
                <w:i w:val="0"/>
                <w:color w:val="333333"/>
                <w:sz w:val="17"/>
              </w:rPr>
              <w:t>TH-13</w:t>
            </w:r>
          </w:p>
        </w:tc>
        <w:tc>
          <w:tcPr>
            <w:tcW w:type="dxa" w:w="3249"/>
          </w:tcPr>
          <w:p>
            <w:pPr>
              <w:spacing w:before="40" w:after="40"/>
            </w:pPr>
            <w:r>
              <w:rPr>
                <w:rFonts w:ascii="Calibri" w:hAnsi="Calibri"/>
                <w:b w:val="0"/>
                <w:i w:val="0"/>
                <w:color w:val="333333"/>
                <w:sz w:val="17"/>
              </w:rPr>
              <w:t>Brute force on collector or user credentials</w:t>
            </w:r>
          </w:p>
        </w:tc>
        <w:tc>
          <w:tcPr>
            <w:tcW w:type="dxa" w:w="3249"/>
          </w:tcPr>
          <w:p>
            <w:pPr>
              <w:spacing w:before="40" w:after="40"/>
            </w:pPr>
            <w:r>
              <w:rPr>
                <w:rFonts w:ascii="Calibri" w:hAnsi="Calibri"/>
                <w:b w:val="0"/>
                <w:i w:val="0"/>
                <w:color w:val="333333"/>
                <w:sz w:val="17"/>
              </w:rPr>
              <w:t>Rate limiting and progressive lockout, credential-stuffing protection, no username enumeration in error messages, alert on repeated failures</w:t>
            </w:r>
          </w:p>
        </w:tc>
      </w:tr>
      <w:tr>
        <w:tc>
          <w:tcPr>
            <w:tcW w:type="dxa" w:w="3249"/>
            <w:shd w:val="clear" w:fill="F2F6FA"/>
          </w:tcPr>
          <w:p>
            <w:pPr>
              <w:spacing w:before="40" w:after="40"/>
            </w:pPr>
            <w:r>
              <w:rPr>
                <w:rFonts w:ascii="Calibri" w:hAnsi="Calibri"/>
                <w:b/>
                <w:i w:val="0"/>
                <w:color w:val="333333"/>
                <w:sz w:val="17"/>
              </w:rPr>
              <w:t>TH-14</w:t>
            </w:r>
          </w:p>
        </w:tc>
        <w:tc>
          <w:tcPr>
            <w:tcW w:type="dxa" w:w="3249"/>
            <w:shd w:val="clear" w:fill="F2F6FA"/>
          </w:tcPr>
          <w:p>
            <w:pPr>
              <w:spacing w:before="40" w:after="40"/>
            </w:pPr>
            <w:r>
              <w:rPr>
                <w:rFonts w:ascii="Calibri" w:hAnsi="Calibri"/>
                <w:b w:val="0"/>
                <w:i w:val="0"/>
                <w:color w:val="333333"/>
                <w:sz w:val="17"/>
              </w:rPr>
              <w:t>Malicious or negligent SUNULIFE data injection corrupting policies</w:t>
            </w:r>
          </w:p>
        </w:tc>
        <w:tc>
          <w:tcPr>
            <w:tcW w:type="dxa" w:w="3249"/>
            <w:shd w:val="clear" w:fill="F2F6FA"/>
          </w:tcPr>
          <w:p>
            <w:pPr>
              <w:spacing w:before="40" w:after="40"/>
            </w:pPr>
            <w:r>
              <w:rPr>
                <w:rFonts w:ascii="Calibri" w:hAnsi="Calibri"/>
                <w:b w:val="0"/>
                <w:i w:val="0"/>
                <w:color w:val="333333"/>
                <w:sz w:val="17"/>
              </w:rPr>
              <w:t>Strict schema validation on ingestion; a sync never deletes a local collection; anomalies quarantined in an exception queue rather than applied</w:t>
            </w:r>
          </w:p>
        </w:tc>
      </w:tr>
    </w:tbl>
    <w:p>
      <w:pPr>
        <w:spacing w:after="40"/>
      </w:pPr>
    </w:p>
    <w:p>
      <w:pPr>
        <w:pStyle w:val="Heading1"/>
        <w:pageBreakBefore/>
        <w:spacing w:before="360" w:after="80"/>
        <w:keepNext/>
        <w:pBdr>
          <w:bottom w:val="single" w:sz="8" w:space="6" w:color="1B3A5C"/>
        </w:pBdr>
      </w:pPr>
      <w:bookmarkStart w:id="112" w:name="_Toc_s011"/>
      <w:r>
        <w:rPr>
          <w:rFonts w:ascii="Calibri" w:hAnsi="Calibri"/>
          <w:b/>
          <w:color w:val="1B3A5C"/>
          <w:sz w:val="30"/>
        </w:rPr>
        <w:t>4. Defence in Depth — Layered Overview</w:t>
      </w:r>
      <w:bookmarkEnd w:id="112"/>
    </w:p>
    <w:p>
      <w:pPr>
        <w:spacing w:before="120" w:after="160" w:line="240" w:lineRule="auto"/>
        <w:ind w:left="113"/>
        <w:shd w:val="clear" w:fill="F4F5F2"/>
        <w:pBdr>
          <w:left w:val="single" w:sz="12" w:space="6" w:color="1B3A5C"/>
        </w:pBdr>
      </w:pPr>
      <w:r>
        <w:rPr>
          <w:rFonts w:ascii="Consolas" w:hAnsi="Consolas" w:cs="Consolas"/>
          <w:color w:val="333333"/>
          <w:sz w:val="15"/>
        </w:rPr>
        <w:t xml:space="preserve"> ┌───────────────────────────────────────────────────────────────────┐</w:t>
        <w:br/>
      </w:r>
      <w:r>
        <w:rPr>
          <w:rFonts w:ascii="Consolas" w:hAnsi="Consolas" w:cs="Consolas"/>
          <w:color w:val="333333"/>
          <w:sz w:val="15"/>
        </w:rPr>
        <w:t xml:space="preserve"> │ L7 GOVERNANCE   security policy · roles · training · CIL          │</w:t>
        <w:br/>
      </w:r>
      <w:r>
        <w:rPr>
          <w:rFonts w:ascii="Consolas" w:hAnsi="Consolas" w:cs="Consolas"/>
          <w:color w:val="333333"/>
          <w:sz w:val="15"/>
        </w:rPr>
        <w:t xml:space="preserve"> │                 declaration · supplier review · incident plan     │</w:t>
        <w:br/>
      </w:r>
      <w:r>
        <w:rPr>
          <w:rFonts w:ascii="Consolas" w:hAnsi="Consolas" w:cs="Consolas"/>
          <w:color w:val="333333"/>
          <w:sz w:val="15"/>
        </w:rPr>
        <w:t xml:space="preserve"> ├───────────────────────────────────────────────────────────────────┤</w:t>
        <w:br/>
      </w:r>
      <w:r>
        <w:rPr>
          <w:rFonts w:ascii="Consolas" w:hAnsi="Consolas" w:cs="Consolas"/>
          <w:color w:val="333333"/>
          <w:sz w:val="15"/>
        </w:rPr>
        <w:t xml:space="preserve"> │ L6 MONITORING   audit trail · API logs · alerting · fraud         │</w:t>
        <w:br/>
      </w:r>
      <w:r>
        <w:rPr>
          <w:rFonts w:ascii="Consolas" w:hAnsi="Consolas" w:cs="Consolas"/>
          <w:color w:val="333333"/>
          <w:sz w:val="15"/>
        </w:rPr>
        <w:t xml:space="preserve"> │                 indicators · quarterly review                     │</w:t>
        <w:br/>
      </w:r>
      <w:r>
        <w:rPr>
          <w:rFonts w:ascii="Consolas" w:hAnsi="Consolas" w:cs="Consolas"/>
          <w:color w:val="333333"/>
          <w:sz w:val="15"/>
        </w:rPr>
        <w:t xml:space="preserve"> ├───────────────────────────────────────────────────────────────────┤</w:t>
        <w:br/>
      </w:r>
      <w:r>
        <w:rPr>
          <w:rFonts w:ascii="Consolas" w:hAnsi="Consolas" w:cs="Consolas"/>
          <w:color w:val="333333"/>
          <w:sz w:val="15"/>
        </w:rPr>
        <w:t xml:space="preserve"> │ L5 DATA         encryption at rest · classification · minimisation│</w:t>
        <w:br/>
      </w:r>
      <w:r>
        <w:rPr>
          <w:rFonts w:ascii="Consolas" w:hAnsi="Consolas" w:cs="Consolas"/>
          <w:color w:val="333333"/>
          <w:sz w:val="15"/>
        </w:rPr>
        <w:t xml:space="preserve"> │                 retention · encrypted backups · restore testing   │</w:t>
        <w:br/>
      </w:r>
      <w:r>
        <w:rPr>
          <w:rFonts w:ascii="Consolas" w:hAnsi="Consolas" w:cs="Consolas"/>
          <w:color w:val="333333"/>
          <w:sz w:val="15"/>
        </w:rPr>
        <w:t xml:space="preserve"> ├───────────────────────────────────────────────────────────────────┤</w:t>
        <w:br/>
      </w:r>
      <w:r>
        <w:rPr>
          <w:rFonts w:ascii="Consolas" w:hAnsi="Consolas" w:cs="Consolas"/>
          <w:color w:val="333333"/>
          <w:sz w:val="15"/>
        </w:rPr>
        <w:t xml:space="preserve"> │ L4 APPLICATION  RBAC · input validation · idempotency ·           │</w:t>
        <w:br/>
      </w:r>
      <w:r>
        <w:rPr>
          <w:rFonts w:ascii="Consolas" w:hAnsi="Consolas" w:cs="Consolas"/>
          <w:color w:val="333333"/>
          <w:sz w:val="15"/>
        </w:rPr>
        <w:t xml:space="preserve"> │                 append-only ledger · maker-checker · caps         │</w:t>
        <w:br/>
      </w:r>
      <w:r>
        <w:rPr>
          <w:rFonts w:ascii="Consolas" w:hAnsi="Consolas" w:cs="Consolas"/>
          <w:color w:val="333333"/>
          <w:sz w:val="15"/>
        </w:rPr>
        <w:t xml:space="preserve"> ├───────────────────────────────────────────────────────────────────┤</w:t>
        <w:br/>
      </w:r>
      <w:r>
        <w:rPr>
          <w:rFonts w:ascii="Consolas" w:hAnsi="Consolas" w:cs="Consolas"/>
          <w:color w:val="333333"/>
          <w:sz w:val="15"/>
        </w:rPr>
        <w:t xml:space="preserve"> │ L3 IDENTITY     user auth · MFA for admins · agent auth ·         │</w:t>
        <w:br/>
      </w:r>
      <w:r>
        <w:rPr>
          <w:rFonts w:ascii="Consolas" w:hAnsi="Consolas" w:cs="Consolas"/>
          <w:color w:val="333333"/>
          <w:sz w:val="15"/>
        </w:rPr>
        <w:t xml:space="preserve"> │                 API keys · terminal binding · session control     │</w:t>
        <w:br/>
      </w:r>
      <w:r>
        <w:rPr>
          <w:rFonts w:ascii="Consolas" w:hAnsi="Consolas" w:cs="Consolas"/>
          <w:color w:val="333333"/>
          <w:sz w:val="15"/>
        </w:rPr>
        <w:t xml:space="preserve"> ├───────────────────────────────────────────────────────────────────┤</w:t>
        <w:br/>
      </w:r>
      <w:r>
        <w:rPr>
          <w:rFonts w:ascii="Consolas" w:hAnsi="Consolas" w:cs="Consolas"/>
          <w:color w:val="333333"/>
          <w:sz w:val="15"/>
        </w:rPr>
        <w:t xml:space="preserve"> │ L2 NETWORK      TLS 1.2+ · cert pinning · WAF · rate limiting ·   │</w:t>
        <w:br/>
      </w:r>
      <w:r>
        <w:rPr>
          <w:rFonts w:ascii="Consolas" w:hAnsi="Consolas" w:cs="Consolas"/>
          <w:color w:val="333333"/>
          <w:sz w:val="15"/>
        </w:rPr>
        <w:t xml:space="preserve"> │                 allow-listing · no public database                │</w:t>
        <w:br/>
      </w:r>
      <w:r>
        <w:rPr>
          <w:rFonts w:ascii="Consolas" w:hAnsi="Consolas" w:cs="Consolas"/>
          <w:color w:val="333333"/>
          <w:sz w:val="15"/>
        </w:rPr>
        <w:t xml:space="preserve"> ├───────────────────────────────────────────────────────────────────┤</w:t>
        <w:br/>
      </w:r>
      <w:r>
        <w:rPr>
          <w:rFonts w:ascii="Consolas" w:hAnsi="Consolas" w:cs="Consolas"/>
          <w:color w:val="333333"/>
          <w:sz w:val="15"/>
        </w:rPr>
        <w:t xml:space="preserve"> │ L1 PHYSICAL     terminal custody · card stock control ·           │</w:t>
        <w:br/>
      </w:r>
      <w:r>
        <w:rPr>
          <w:rFonts w:ascii="Consolas" w:hAnsi="Consolas" w:cs="Consolas"/>
          <w:color w:val="333333"/>
          <w:sz w:val="15"/>
        </w:rPr>
        <w:t xml:space="preserve"> │                 personalisation station · datacentre              │</w:t>
        <w:br/>
      </w:r>
      <w:r>
        <w:rPr>
          <w:rFonts w:ascii="Consolas" w:hAnsi="Consolas" w:cs="Consolas"/>
          <w:color w:val="333333"/>
          <w:sz w:val="15"/>
        </w:rPr>
        <w:t xml:space="preserve"> └───────────────────────────────────────────────────────────────────┘</w:t>
      </w:r>
    </w:p>
    <w:p>
      <w:r>
        <w:rPr>
          <w:rFonts w:ascii="Calibri" w:hAnsi="Calibri"/>
          <w:b w:val="0"/>
          <w:i w:val="0"/>
          <w:color w:val="333333"/>
          <w:sz w:val="20"/>
        </w:rPr>
        <w:t>No single control is relied upon. The cap (L4) bounds the loss that a compromised collector (L1/L3) can cause; the audit trail (L6) makes it detectable; the pay-in confirmation (L4) makes it recoverable.</w:t>
      </w:r>
    </w:p>
    <w:p>
      <w:pPr>
        <w:pStyle w:val="Heading1"/>
        <w:pageBreakBefore/>
        <w:spacing w:before="360" w:after="80"/>
        <w:keepNext/>
        <w:pBdr>
          <w:bottom w:val="single" w:sz="8" w:space="6" w:color="1B3A5C"/>
        </w:pBdr>
      </w:pPr>
      <w:bookmarkStart w:id="113" w:name="_Toc_s012"/>
      <w:r>
        <w:rPr>
          <w:rFonts w:ascii="Calibri" w:hAnsi="Calibri"/>
          <w:b/>
          <w:color w:val="1B3A5C"/>
          <w:sz w:val="30"/>
        </w:rPr>
        <w:t>5. Identity and Access Management</w:t>
      </w:r>
      <w:bookmarkEnd w:id="113"/>
    </w:p>
    <w:p>
      <w:pPr>
        <w:pStyle w:val="Heading2"/>
        <w:spacing w:before="280" w:after="80"/>
        <w:keepNext/>
      </w:pPr>
      <w:bookmarkStart w:id="114" w:name="_Toc_s013"/>
      <w:r>
        <w:rPr>
          <w:rFonts w:ascii="Calibri" w:hAnsi="Calibri"/>
          <w:b/>
          <w:color w:val="1B3A5C"/>
          <w:sz w:val="24"/>
        </w:rPr>
        <w:t>5.1 Back-office users</w:t>
      </w:r>
      <w:bookmarkEnd w:id="114"/>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4873"/>
        <w:gridCol w:w="4873"/>
      </w:tblGrid>
      <w:tr>
        <w:trPr>
          <w:tblHeader w:val="true"/>
        </w:trPr>
        <w:tc>
          <w:tcPr>
            <w:tcW w:type="dxa" w:w="4873"/>
            <w:shd w:val="clear" w:fill="1B3A5C"/>
          </w:tcPr>
          <w:p>
            <w:pPr>
              <w:spacing w:before="60" w:after="60"/>
            </w:pPr>
            <w:r>
              <w:rPr>
                <w:rFonts w:ascii="Calibri" w:hAnsi="Calibri"/>
                <w:b/>
                <w:color w:val="FFFFFF"/>
                <w:sz w:val="17"/>
              </w:rPr>
              <w:t>Control</w:t>
            </w:r>
          </w:p>
        </w:tc>
        <w:tc>
          <w:tcPr>
            <w:tcW w:type="dxa" w:w="4873"/>
            <w:shd w:val="clear" w:fill="1B3A5C"/>
          </w:tcPr>
          <w:p>
            <w:pPr>
              <w:spacing w:before="60" w:after="60"/>
            </w:pPr>
            <w:r>
              <w:rPr>
                <w:rFonts w:ascii="Calibri" w:hAnsi="Calibri"/>
                <w:b/>
                <w:color w:val="FFFFFF"/>
                <w:sz w:val="17"/>
              </w:rPr>
              <w:t>Implementation</w:t>
            </w:r>
          </w:p>
        </w:tc>
      </w:tr>
      <w:tr>
        <w:tc>
          <w:tcPr>
            <w:tcW w:type="dxa" w:w="4873"/>
          </w:tcPr>
          <w:p>
            <w:pPr>
              <w:spacing w:before="40" w:after="40"/>
            </w:pPr>
            <w:r>
              <w:rPr>
                <w:rFonts w:ascii="Calibri" w:hAnsi="Calibri"/>
                <w:b w:val="0"/>
                <w:i w:val="0"/>
                <w:color w:val="333333"/>
                <w:sz w:val="17"/>
              </w:rPr>
              <w:t>Authentication</w:t>
            </w:r>
          </w:p>
        </w:tc>
        <w:tc>
          <w:tcPr>
            <w:tcW w:type="dxa" w:w="4873"/>
          </w:tcPr>
          <w:p>
            <w:pPr>
              <w:spacing w:before="40" w:after="40"/>
            </w:pPr>
            <w:r>
              <w:rPr>
                <w:rFonts w:ascii="Calibri" w:hAnsi="Calibri"/>
                <w:b w:val="0"/>
                <w:i w:val="0"/>
                <w:color w:val="333333"/>
                <w:sz w:val="17"/>
              </w:rPr>
              <w:t>Username/e-mail + password over HTTPS</w:t>
            </w:r>
          </w:p>
        </w:tc>
      </w:tr>
      <w:tr>
        <w:tc>
          <w:tcPr>
            <w:tcW w:type="dxa" w:w="4873"/>
            <w:shd w:val="clear" w:fill="F2F6FA"/>
          </w:tcPr>
          <w:p>
            <w:pPr>
              <w:spacing w:before="40" w:after="40"/>
            </w:pPr>
            <w:r>
              <w:rPr>
                <w:rFonts w:ascii="Calibri" w:hAnsi="Calibri"/>
                <w:b w:val="0"/>
                <w:i w:val="0"/>
                <w:color w:val="333333"/>
                <w:sz w:val="17"/>
              </w:rPr>
              <w:t>Password storage</w:t>
            </w:r>
          </w:p>
        </w:tc>
        <w:tc>
          <w:tcPr>
            <w:tcW w:type="dxa" w:w="4873"/>
            <w:shd w:val="clear" w:fill="F2F6FA"/>
          </w:tcPr>
          <w:p>
            <w:pPr>
              <w:spacing w:before="40" w:after="40"/>
            </w:pPr>
            <w:r>
              <w:rPr>
                <w:rFonts w:ascii="Calibri" w:hAnsi="Calibri"/>
                <w:b w:val="0"/>
                <w:i w:val="0"/>
                <w:color w:val="333333"/>
                <w:sz w:val="17"/>
              </w:rPr>
              <w:t>bcrypt with per-password salt; never reversible, never logged</w:t>
            </w:r>
          </w:p>
        </w:tc>
      </w:tr>
      <w:tr>
        <w:tc>
          <w:tcPr>
            <w:tcW w:type="dxa" w:w="4873"/>
          </w:tcPr>
          <w:p>
            <w:pPr>
              <w:spacing w:before="40" w:after="40"/>
            </w:pPr>
            <w:r>
              <w:rPr>
                <w:rFonts w:ascii="Calibri" w:hAnsi="Calibri"/>
                <w:b w:val="0"/>
                <w:i w:val="0"/>
                <w:color w:val="333333"/>
                <w:sz w:val="17"/>
              </w:rPr>
              <w:t>Password policy</w:t>
            </w:r>
          </w:p>
        </w:tc>
        <w:tc>
          <w:tcPr>
            <w:tcW w:type="dxa" w:w="4873"/>
          </w:tcPr>
          <w:p>
            <w:pPr>
              <w:spacing w:before="40" w:after="40"/>
            </w:pPr>
            <w:r>
              <w:rPr>
                <w:rFonts w:ascii="Calibri" w:hAnsi="Calibri"/>
                <w:b w:val="0"/>
                <w:i w:val="0"/>
                <w:color w:val="333333"/>
                <w:sz w:val="17"/>
              </w:rPr>
              <w:t>Minimum 12 characters, three character classes, blocked against a common-password list, no reuse of the last 5, expiry configurable (default 90 days for privileged profiles)</w:t>
            </w:r>
          </w:p>
        </w:tc>
      </w:tr>
      <w:tr>
        <w:tc>
          <w:tcPr>
            <w:tcW w:type="dxa" w:w="4873"/>
            <w:shd w:val="clear" w:fill="F2F6FA"/>
          </w:tcPr>
          <w:p>
            <w:pPr>
              <w:spacing w:before="40" w:after="40"/>
            </w:pPr>
            <w:r>
              <w:rPr>
                <w:rFonts w:ascii="Calibri" w:hAnsi="Calibri"/>
                <w:b w:val="0"/>
                <w:i w:val="0"/>
                <w:color w:val="333333"/>
                <w:sz w:val="17"/>
              </w:rPr>
              <w:t>First login</w:t>
            </w:r>
          </w:p>
        </w:tc>
        <w:tc>
          <w:tcPr>
            <w:tcW w:type="dxa" w:w="4873"/>
            <w:shd w:val="clear" w:fill="F2F6FA"/>
          </w:tcPr>
          <w:p>
            <w:pPr>
              <w:spacing w:before="40" w:after="40"/>
            </w:pPr>
            <w:r>
              <w:rPr>
                <w:rFonts w:ascii="Calibri" w:hAnsi="Calibri"/>
                <w:b w:val="0"/>
                <w:i w:val="0"/>
                <w:color w:val="333333"/>
                <w:sz w:val="17"/>
              </w:rPr>
              <w:t>Forced password change</w:t>
            </w:r>
          </w:p>
        </w:tc>
      </w:tr>
      <w:tr>
        <w:tc>
          <w:tcPr>
            <w:tcW w:type="dxa" w:w="4873"/>
          </w:tcPr>
          <w:p>
            <w:pPr>
              <w:spacing w:before="40" w:after="40"/>
            </w:pPr>
            <w:r>
              <w:rPr>
                <w:rFonts w:ascii="Calibri" w:hAnsi="Calibri"/>
                <w:b w:val="0"/>
                <w:i w:val="0"/>
                <w:color w:val="333333"/>
                <w:sz w:val="17"/>
              </w:rPr>
              <w:t>Failed attempts</w:t>
            </w:r>
          </w:p>
        </w:tc>
        <w:tc>
          <w:tcPr>
            <w:tcW w:type="dxa" w:w="4873"/>
          </w:tcPr>
          <w:p>
            <w:pPr>
              <w:spacing w:before="40" w:after="40"/>
            </w:pPr>
            <w:r>
              <w:rPr>
                <w:rFonts w:ascii="Calibri" w:hAnsi="Calibri"/>
                <w:b w:val="0"/>
                <w:i w:val="0"/>
                <w:color w:val="333333"/>
                <w:sz w:val="17"/>
              </w:rPr>
              <w:t>Progressive delay then temporary lock; alert to the administrator</w:t>
            </w:r>
          </w:p>
        </w:tc>
      </w:tr>
      <w:tr>
        <w:tc>
          <w:tcPr>
            <w:tcW w:type="dxa" w:w="4873"/>
            <w:shd w:val="clear" w:fill="F2F6FA"/>
          </w:tcPr>
          <w:p>
            <w:pPr>
              <w:spacing w:before="40" w:after="40"/>
            </w:pPr>
            <w:r>
              <w:rPr>
                <w:rFonts w:ascii="Calibri" w:hAnsi="Calibri"/>
                <w:b/>
                <w:i w:val="0"/>
                <w:color w:val="333333"/>
                <w:sz w:val="17"/>
              </w:rPr>
              <w:t>Multi-factor authentication</w:t>
            </w:r>
          </w:p>
        </w:tc>
        <w:tc>
          <w:tcPr>
            <w:tcW w:type="dxa" w:w="4873"/>
            <w:shd w:val="clear" w:fill="F2F6FA"/>
          </w:tcPr>
          <w:p>
            <w:pPr>
              <w:spacing w:before="40" w:after="40"/>
            </w:pPr>
            <w:r>
              <w:rPr>
                <w:rFonts w:ascii="Calibri" w:hAnsi="Calibri"/>
                <w:b/>
                <w:i w:val="0"/>
                <w:color w:val="333333"/>
                <w:sz w:val="17"/>
              </w:rPr>
              <w:t>Required for Administrator and IT profiles</w:t>
            </w:r>
            <w:r>
              <w:rPr>
                <w:rFonts w:ascii="Calibri" w:hAnsi="Calibri"/>
                <w:b w:val="0"/>
                <w:i w:val="0"/>
                <w:color w:val="333333"/>
                <w:sz w:val="17"/>
              </w:rPr>
              <w:t>; TOTP application or SMS code. See §12 item H-5</w:t>
            </w:r>
          </w:p>
        </w:tc>
      </w:tr>
      <w:tr>
        <w:tc>
          <w:tcPr>
            <w:tcW w:type="dxa" w:w="4873"/>
          </w:tcPr>
          <w:p>
            <w:pPr>
              <w:spacing w:before="40" w:after="40"/>
            </w:pPr>
            <w:r>
              <w:rPr>
                <w:rFonts w:ascii="Calibri" w:hAnsi="Calibri"/>
                <w:b w:val="0"/>
                <w:i w:val="0"/>
                <w:color w:val="333333"/>
                <w:sz w:val="17"/>
              </w:rPr>
              <w:t>Session</w:t>
            </w:r>
          </w:p>
        </w:tc>
        <w:tc>
          <w:tcPr>
            <w:tcW w:type="dxa" w:w="4873"/>
          </w:tcPr>
          <w:p>
            <w:pPr>
              <w:spacing w:before="40" w:after="40"/>
            </w:pPr>
            <w:r>
              <w:rPr>
                <w:rFonts w:ascii="Calibri" w:hAnsi="Calibri"/>
                <w:b w:val="0"/>
                <w:i w:val="0"/>
                <w:color w:val="333333"/>
                <w:sz w:val="17"/>
              </w:rPr>
              <w:t>Idle timeout (default 15 min for privileged profiles, 30 min otherwise); absolute lifetime; session fixed on login; secure, HttpOnly, SameSite cookies</w:t>
            </w:r>
          </w:p>
        </w:tc>
      </w:tr>
      <w:tr>
        <w:tc>
          <w:tcPr>
            <w:tcW w:type="dxa" w:w="4873"/>
            <w:shd w:val="clear" w:fill="F2F6FA"/>
          </w:tcPr>
          <w:p>
            <w:pPr>
              <w:spacing w:before="40" w:after="40"/>
            </w:pPr>
            <w:r>
              <w:rPr>
                <w:rFonts w:ascii="Calibri" w:hAnsi="Calibri"/>
                <w:b w:val="0"/>
                <w:i w:val="0"/>
                <w:color w:val="333333"/>
                <w:sz w:val="17"/>
              </w:rPr>
              <w:t>Deactivation</w:t>
            </w:r>
          </w:p>
        </w:tc>
        <w:tc>
          <w:tcPr>
            <w:tcW w:type="dxa" w:w="4873"/>
            <w:shd w:val="clear" w:fill="F2F6FA"/>
          </w:tcPr>
          <w:p>
            <w:pPr>
              <w:spacing w:before="40" w:after="40"/>
            </w:pPr>
            <w:r>
              <w:rPr>
                <w:rFonts w:ascii="Calibri" w:hAnsi="Calibri"/>
                <w:b w:val="0"/>
                <w:i w:val="0"/>
                <w:color w:val="333333"/>
                <w:sz w:val="17"/>
              </w:rPr>
              <w:t>Immediate on departure; accounts are disabled, never deleted, to preserve the audit trail</w:t>
            </w:r>
          </w:p>
        </w:tc>
      </w:tr>
      <w:tr>
        <w:tc>
          <w:tcPr>
            <w:tcW w:type="dxa" w:w="4873"/>
          </w:tcPr>
          <w:p>
            <w:pPr>
              <w:spacing w:before="40" w:after="40"/>
            </w:pPr>
            <w:r>
              <w:rPr>
                <w:rFonts w:ascii="Calibri" w:hAnsi="Calibri"/>
                <w:b w:val="0"/>
                <w:i w:val="0"/>
                <w:color w:val="333333"/>
                <w:sz w:val="17"/>
              </w:rPr>
              <w:t>Review</w:t>
            </w:r>
          </w:p>
        </w:tc>
        <w:tc>
          <w:tcPr>
            <w:tcW w:type="dxa" w:w="4873"/>
          </w:tcPr>
          <w:p>
            <w:pPr>
              <w:spacing w:before="40" w:after="40"/>
            </w:pPr>
            <w:r>
              <w:rPr>
                <w:rFonts w:ascii="Calibri" w:hAnsi="Calibri"/>
                <w:b w:val="0"/>
                <w:i w:val="0"/>
                <w:color w:val="333333"/>
                <w:sz w:val="17"/>
              </w:rPr>
              <w:t>Quarterly review of accounts and permissions by SUNU (§14.2)</w:t>
            </w:r>
          </w:p>
        </w:tc>
      </w:tr>
    </w:tbl>
    <w:p>
      <w:pPr>
        <w:spacing w:after="40"/>
      </w:pPr>
    </w:p>
    <w:p>
      <w:pPr>
        <w:pStyle w:val="Heading2"/>
        <w:spacing w:before="280" w:after="80"/>
        <w:keepNext/>
      </w:pPr>
      <w:bookmarkStart w:id="115" w:name="_Toc_s014"/>
      <w:r>
        <w:rPr>
          <w:rFonts w:ascii="Calibri" w:hAnsi="Calibri"/>
          <w:b/>
          <w:color w:val="1B3A5C"/>
          <w:sz w:val="24"/>
        </w:rPr>
        <w:t>5.2 Role-based access control</w:t>
      </w:r>
      <w:bookmarkEnd w:id="115"/>
    </w:p>
    <w:p>
      <w:r>
        <w:rPr>
          <w:rFonts w:ascii="Calibri" w:hAnsi="Calibri"/>
          <w:b w:val="0"/>
          <w:i w:val="0"/>
          <w:color w:val="333333"/>
          <w:sz w:val="20"/>
        </w:rPr>
        <w:t>The platform implements granular permissions grouped into roles, assignable globally or per business unit. Profiles defined for SUNU:</w:t>
      </w:r>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2436"/>
        <w:gridCol w:w="2436"/>
        <w:gridCol w:w="2436"/>
        <w:gridCol w:w="2436"/>
      </w:tblGrid>
      <w:tr>
        <w:trPr>
          <w:tblHeader w:val="true"/>
        </w:trPr>
        <w:tc>
          <w:tcPr>
            <w:tcW w:type="dxa" w:w="2436"/>
            <w:shd w:val="clear" w:fill="1B3A5C"/>
          </w:tcPr>
          <w:p>
            <w:pPr>
              <w:spacing w:before="60" w:after="60"/>
            </w:pPr>
            <w:r>
              <w:rPr>
                <w:rFonts w:ascii="Calibri" w:hAnsi="Calibri"/>
                <w:b/>
                <w:color w:val="FFFFFF"/>
                <w:sz w:val="17"/>
              </w:rPr>
              <w:t>Profile</w:t>
            </w:r>
          </w:p>
        </w:tc>
        <w:tc>
          <w:tcPr>
            <w:tcW w:type="dxa" w:w="2436"/>
            <w:shd w:val="clear" w:fill="1B3A5C"/>
          </w:tcPr>
          <w:p>
            <w:pPr>
              <w:spacing w:before="60" w:after="60"/>
            </w:pPr>
            <w:r>
              <w:rPr>
                <w:rFonts w:ascii="Calibri" w:hAnsi="Calibri"/>
                <w:b/>
                <w:color w:val="FFFFFF"/>
                <w:sz w:val="17"/>
              </w:rPr>
              <w:t>Purpose</w:t>
            </w:r>
          </w:p>
        </w:tc>
        <w:tc>
          <w:tcPr>
            <w:tcW w:type="dxa" w:w="2436"/>
            <w:shd w:val="clear" w:fill="1B3A5C"/>
          </w:tcPr>
          <w:p>
            <w:pPr>
              <w:spacing w:before="60" w:after="60"/>
            </w:pPr>
            <w:r>
              <w:rPr>
                <w:rFonts w:ascii="Calibri" w:hAnsi="Calibri"/>
                <w:b/>
                <w:color w:val="FFFFFF"/>
                <w:sz w:val="17"/>
              </w:rPr>
              <w:t>Notable permissions</w:t>
            </w:r>
          </w:p>
        </w:tc>
        <w:tc>
          <w:tcPr>
            <w:tcW w:type="dxa" w:w="2436"/>
            <w:shd w:val="clear" w:fill="1B3A5C"/>
          </w:tcPr>
          <w:p>
            <w:pPr>
              <w:spacing w:before="60" w:after="60"/>
            </w:pPr>
            <w:r>
              <w:rPr>
                <w:rFonts w:ascii="Calibri" w:hAnsi="Calibri"/>
                <w:b/>
                <w:color w:val="FFFFFF"/>
                <w:sz w:val="17"/>
              </w:rPr>
              <w:t>Explicitly denied</w:t>
            </w:r>
          </w:p>
        </w:tc>
      </w:tr>
      <w:tr>
        <w:tc>
          <w:tcPr>
            <w:tcW w:type="dxa" w:w="2436"/>
          </w:tcPr>
          <w:p>
            <w:pPr>
              <w:spacing w:before="40" w:after="40"/>
            </w:pPr>
            <w:r>
              <w:rPr>
                <w:rFonts w:ascii="Calibri" w:hAnsi="Calibri"/>
                <w:b/>
                <w:i w:val="0"/>
                <w:color w:val="333333"/>
                <w:sz w:val="17"/>
              </w:rPr>
              <w:t>Collection Agent (POS)</w:t>
            </w:r>
          </w:p>
        </w:tc>
        <w:tc>
          <w:tcPr>
            <w:tcW w:type="dxa" w:w="2436"/>
          </w:tcPr>
          <w:p>
            <w:pPr>
              <w:spacing w:before="40" w:after="40"/>
            </w:pPr>
            <w:r>
              <w:rPr>
                <w:rFonts w:ascii="Calibri" w:hAnsi="Calibri"/>
                <w:b w:val="0"/>
                <w:i w:val="0"/>
                <w:color w:val="333333"/>
                <w:sz w:val="17"/>
              </w:rPr>
              <w:t>Field collection</w:t>
            </w:r>
          </w:p>
        </w:tc>
        <w:tc>
          <w:tcPr>
            <w:tcW w:type="dxa" w:w="2436"/>
          </w:tcPr>
          <w:p>
            <w:pPr>
              <w:spacing w:before="40" w:after="40"/>
            </w:pPr>
            <w:r>
              <w:rPr>
                <w:rFonts w:ascii="Calibri" w:hAnsi="Calibri"/>
                <w:b w:val="0"/>
                <w:i w:val="0"/>
                <w:color w:val="333333"/>
                <w:sz w:val="17"/>
              </w:rPr>
              <w:t>Subscribe, collect premium, declare pay-in, print/reprint own receipts, view own collections</w:t>
            </w:r>
          </w:p>
        </w:tc>
        <w:tc>
          <w:tcPr>
            <w:tcW w:type="dxa" w:w="2436"/>
          </w:tcPr>
          <w:p>
            <w:pPr>
              <w:spacing w:before="40" w:after="40"/>
            </w:pPr>
            <w:r>
              <w:rPr>
                <w:rFonts w:ascii="Calibri" w:hAnsi="Calibri"/>
                <w:b w:val="0"/>
                <w:i w:val="0"/>
                <w:color w:val="333333"/>
                <w:sz w:val="17"/>
              </w:rPr>
              <w:t>Any back-office access; viewing other agents' data; confirming a pay-in; modifying a collection</w:t>
            </w:r>
          </w:p>
        </w:tc>
      </w:tr>
      <w:tr>
        <w:tc>
          <w:tcPr>
            <w:tcW w:type="dxa" w:w="2436"/>
            <w:shd w:val="clear" w:fill="F2F6FA"/>
          </w:tcPr>
          <w:p>
            <w:pPr>
              <w:spacing w:before="40" w:after="40"/>
            </w:pPr>
            <w:r>
              <w:rPr>
                <w:rFonts w:ascii="Calibri" w:hAnsi="Calibri"/>
                <w:b/>
                <w:i w:val="0"/>
                <w:color w:val="333333"/>
                <w:sz w:val="17"/>
              </w:rPr>
              <w:t>Back-Office Agent</w:t>
            </w:r>
          </w:p>
        </w:tc>
        <w:tc>
          <w:tcPr>
            <w:tcW w:type="dxa" w:w="2436"/>
            <w:shd w:val="clear" w:fill="F2F6FA"/>
          </w:tcPr>
          <w:p>
            <w:pPr>
              <w:spacing w:before="40" w:after="40"/>
            </w:pPr>
            <w:r>
              <w:rPr>
                <w:rFonts w:ascii="Calibri" w:hAnsi="Calibri"/>
                <w:b w:val="0"/>
                <w:i w:val="0"/>
                <w:color w:val="333333"/>
                <w:sz w:val="17"/>
              </w:rPr>
              <w:t>Daily processing</w:t>
            </w:r>
          </w:p>
        </w:tc>
        <w:tc>
          <w:tcPr>
            <w:tcW w:type="dxa" w:w="2436"/>
            <w:shd w:val="clear" w:fill="F2F6FA"/>
          </w:tcPr>
          <w:p>
            <w:pPr>
              <w:spacing w:before="40" w:after="40"/>
            </w:pPr>
            <w:r>
              <w:rPr>
                <w:rFonts w:ascii="Calibri" w:hAnsi="Calibri"/>
                <w:b w:val="0"/>
                <w:i w:val="0"/>
                <w:color w:val="333333"/>
                <w:sz w:val="17"/>
              </w:rPr>
              <w:t>Review proposals, view all collections, generate and download exports, manage insured records</w:t>
            </w:r>
          </w:p>
        </w:tc>
        <w:tc>
          <w:tcPr>
            <w:tcW w:type="dxa" w:w="2436"/>
            <w:shd w:val="clear" w:fill="F2F6FA"/>
          </w:tcPr>
          <w:p>
            <w:pPr>
              <w:spacing w:before="40" w:after="40"/>
            </w:pPr>
            <w:r>
              <w:rPr>
                <w:rFonts w:ascii="Calibri" w:hAnsi="Calibri"/>
                <w:b w:val="0"/>
                <w:i w:val="0"/>
                <w:color w:val="333333"/>
                <w:sz w:val="17"/>
              </w:rPr>
              <w:t>Confirming pay-ins; user management; changing caps or fees</w:t>
            </w:r>
          </w:p>
        </w:tc>
      </w:tr>
      <w:tr>
        <w:tc>
          <w:tcPr>
            <w:tcW w:type="dxa" w:w="2436"/>
          </w:tcPr>
          <w:p>
            <w:pPr>
              <w:spacing w:before="40" w:after="40"/>
            </w:pPr>
            <w:r>
              <w:rPr>
                <w:rFonts w:ascii="Calibri" w:hAnsi="Calibri"/>
                <w:b/>
                <w:i w:val="0"/>
                <w:color w:val="333333"/>
                <w:sz w:val="17"/>
              </w:rPr>
              <w:t>Supervisor / Controller</w:t>
            </w:r>
          </w:p>
        </w:tc>
        <w:tc>
          <w:tcPr>
            <w:tcW w:type="dxa" w:w="2436"/>
          </w:tcPr>
          <w:p>
            <w:pPr>
              <w:spacing w:before="40" w:after="40"/>
            </w:pPr>
            <w:r>
              <w:rPr>
                <w:rFonts w:ascii="Calibri" w:hAnsi="Calibri"/>
                <w:b w:val="0"/>
                <w:i w:val="0"/>
                <w:color w:val="333333"/>
                <w:sz w:val="17"/>
              </w:rPr>
              <w:t>Financial control</w:t>
            </w:r>
          </w:p>
        </w:tc>
        <w:tc>
          <w:tcPr>
            <w:tcW w:type="dxa" w:w="2436"/>
          </w:tcPr>
          <w:p>
            <w:pPr>
              <w:spacing w:before="40" w:after="40"/>
            </w:pPr>
            <w:r>
              <w:rPr>
                <w:rFonts w:ascii="Calibri" w:hAnsi="Calibri"/>
                <w:b w:val="0"/>
                <w:i w:val="0"/>
                <w:color w:val="333333"/>
                <w:sz w:val="17"/>
              </w:rPr>
              <w:t>Confirm pay-ins, view caps and balances, handle exception queues, run reconciliation</w:t>
            </w:r>
          </w:p>
        </w:tc>
        <w:tc>
          <w:tcPr>
            <w:tcW w:type="dxa" w:w="2436"/>
          </w:tcPr>
          <w:p>
            <w:pPr>
              <w:spacing w:before="40" w:after="40"/>
            </w:pPr>
            <w:r>
              <w:rPr>
                <w:rFonts w:ascii="Calibri" w:hAnsi="Calibri"/>
                <w:b w:val="0"/>
                <w:i w:val="0"/>
                <w:color w:val="333333"/>
                <w:sz w:val="17"/>
              </w:rPr>
              <w:t>User management; changing system configuration</w:t>
            </w:r>
          </w:p>
        </w:tc>
      </w:tr>
      <w:tr>
        <w:tc>
          <w:tcPr>
            <w:tcW w:type="dxa" w:w="2436"/>
            <w:shd w:val="clear" w:fill="F2F6FA"/>
          </w:tcPr>
          <w:p>
            <w:pPr>
              <w:spacing w:before="40" w:after="40"/>
            </w:pPr>
            <w:r>
              <w:rPr>
                <w:rFonts w:ascii="Calibri" w:hAnsi="Calibri"/>
                <w:b/>
                <w:i w:val="0"/>
                <w:color w:val="333333"/>
                <w:sz w:val="17"/>
              </w:rPr>
              <w:t>Card Issuance Officer</w:t>
            </w:r>
          </w:p>
        </w:tc>
        <w:tc>
          <w:tcPr>
            <w:tcW w:type="dxa" w:w="2436"/>
            <w:shd w:val="clear" w:fill="F2F6FA"/>
          </w:tcPr>
          <w:p>
            <w:pPr>
              <w:spacing w:before="40" w:after="40"/>
            </w:pPr>
            <w:r>
              <w:rPr>
                <w:rFonts w:ascii="Calibri" w:hAnsi="Calibri"/>
                <w:b w:val="0"/>
                <w:i w:val="0"/>
                <w:color w:val="333333"/>
                <w:sz w:val="17"/>
              </w:rPr>
              <w:t>Card chain</w:t>
            </w:r>
          </w:p>
        </w:tc>
        <w:tc>
          <w:tcPr>
            <w:tcW w:type="dxa" w:w="2436"/>
            <w:shd w:val="clear" w:fill="F2F6FA"/>
          </w:tcPr>
          <w:p>
            <w:pPr>
              <w:spacing w:before="40" w:after="40"/>
            </w:pPr>
            <w:r>
              <w:rPr>
                <w:rFonts w:ascii="Calibri" w:hAnsi="Calibri"/>
                <w:b w:val="0"/>
                <w:i w:val="0"/>
                <w:color w:val="333333"/>
                <w:sz w:val="17"/>
              </w:rPr>
              <w:t>Allocate cards, generate personalisation files, mark cards as written, block/replace cards</w:t>
            </w:r>
          </w:p>
        </w:tc>
        <w:tc>
          <w:tcPr>
            <w:tcW w:type="dxa" w:w="2436"/>
            <w:shd w:val="clear" w:fill="F2F6FA"/>
          </w:tcPr>
          <w:p>
            <w:pPr>
              <w:spacing w:before="40" w:after="40"/>
            </w:pPr>
            <w:r>
              <w:rPr>
                <w:rFonts w:ascii="Calibri" w:hAnsi="Calibri"/>
                <w:b w:val="0"/>
                <w:i w:val="0"/>
                <w:color w:val="333333"/>
                <w:sz w:val="17"/>
              </w:rPr>
              <w:t>Financial operations; user management</w:t>
            </w:r>
          </w:p>
        </w:tc>
      </w:tr>
      <w:tr>
        <w:tc>
          <w:tcPr>
            <w:tcW w:type="dxa" w:w="2436"/>
          </w:tcPr>
          <w:p>
            <w:pPr>
              <w:spacing w:before="40" w:after="40"/>
            </w:pPr>
            <w:r>
              <w:rPr>
                <w:rFonts w:ascii="Calibri" w:hAnsi="Calibri"/>
                <w:b/>
                <w:i w:val="0"/>
                <w:color w:val="333333"/>
                <w:sz w:val="17"/>
              </w:rPr>
              <w:t>Administrator (SUNU)</w:t>
            </w:r>
          </w:p>
        </w:tc>
        <w:tc>
          <w:tcPr>
            <w:tcW w:type="dxa" w:w="2436"/>
          </w:tcPr>
          <w:p>
            <w:pPr>
              <w:spacing w:before="40" w:after="40"/>
            </w:pPr>
            <w:r>
              <w:rPr>
                <w:rFonts w:ascii="Calibri" w:hAnsi="Calibri"/>
                <w:b w:val="0"/>
                <w:i w:val="0"/>
                <w:color w:val="333333"/>
                <w:sz w:val="17"/>
              </w:rPr>
              <w:t>Configuration</w:t>
            </w:r>
          </w:p>
        </w:tc>
        <w:tc>
          <w:tcPr>
            <w:tcW w:type="dxa" w:w="2436"/>
          </w:tcPr>
          <w:p>
            <w:pPr>
              <w:spacing w:before="40" w:after="40"/>
            </w:pPr>
            <w:r>
              <w:rPr>
                <w:rFonts w:ascii="Calibri" w:hAnsi="Calibri"/>
                <w:b w:val="0"/>
                <w:i w:val="0"/>
                <w:color w:val="333333"/>
                <w:sz w:val="17"/>
              </w:rPr>
              <w:t>Manage users, roles, agents, terminals, products, caps, fees</w:t>
            </w:r>
          </w:p>
        </w:tc>
        <w:tc>
          <w:tcPr>
            <w:tcW w:type="dxa" w:w="2436"/>
          </w:tcPr>
          <w:p>
            <w:pPr>
              <w:spacing w:before="40" w:after="40"/>
            </w:pPr>
            <w:r>
              <w:rPr>
                <w:rFonts w:ascii="Calibri" w:hAnsi="Calibri"/>
                <w:b w:val="0"/>
                <w:i w:val="0"/>
                <w:color w:val="333333"/>
                <w:sz w:val="17"/>
              </w:rPr>
              <w:t>Direct database access; deleting audit records</w:t>
            </w:r>
          </w:p>
        </w:tc>
      </w:tr>
      <w:tr>
        <w:tc>
          <w:tcPr>
            <w:tcW w:type="dxa" w:w="2436"/>
            <w:shd w:val="clear" w:fill="F2F6FA"/>
          </w:tcPr>
          <w:p>
            <w:pPr>
              <w:spacing w:before="40" w:after="40"/>
            </w:pPr>
            <w:r>
              <w:rPr>
                <w:rFonts w:ascii="Calibri" w:hAnsi="Calibri"/>
                <w:b/>
                <w:i w:val="0"/>
                <w:color w:val="333333"/>
                <w:sz w:val="17"/>
              </w:rPr>
              <w:t>IT / Super Admin</w:t>
            </w:r>
          </w:p>
        </w:tc>
        <w:tc>
          <w:tcPr>
            <w:tcW w:type="dxa" w:w="2436"/>
            <w:shd w:val="clear" w:fill="F2F6FA"/>
          </w:tcPr>
          <w:p>
            <w:pPr>
              <w:spacing w:before="40" w:after="40"/>
            </w:pPr>
            <w:r>
              <w:rPr>
                <w:rFonts w:ascii="Calibri" w:hAnsi="Calibri"/>
                <w:b w:val="0"/>
                <w:i w:val="0"/>
                <w:color w:val="333333"/>
                <w:sz w:val="17"/>
              </w:rPr>
              <w:t>Technical</w:t>
            </w:r>
          </w:p>
        </w:tc>
        <w:tc>
          <w:tcPr>
            <w:tcW w:type="dxa" w:w="2436"/>
            <w:shd w:val="clear" w:fill="F2F6FA"/>
          </w:tcPr>
          <w:p>
            <w:pPr>
              <w:spacing w:before="40" w:after="40"/>
            </w:pPr>
            <w:r>
              <w:rPr>
                <w:rFonts w:ascii="Calibri" w:hAnsi="Calibri"/>
                <w:b w:val="0"/>
                <w:i w:val="0"/>
                <w:color w:val="333333"/>
                <w:sz w:val="17"/>
              </w:rPr>
              <w:t>Environment configuration, integrations, credentials, technical monitoring</w:t>
            </w:r>
          </w:p>
        </w:tc>
        <w:tc>
          <w:tcPr>
            <w:tcW w:type="dxa" w:w="2436"/>
            <w:shd w:val="clear" w:fill="F2F6FA"/>
          </w:tcPr>
          <w:p>
            <w:pPr>
              <w:spacing w:before="40" w:after="40"/>
            </w:pPr>
            <w:r>
              <w:rPr>
                <w:rFonts w:ascii="Calibri" w:hAnsi="Calibri"/>
                <w:b w:val="0"/>
                <w:i/>
                <w:color w:val="333333"/>
                <w:sz w:val="17"/>
              </w:rPr>
              <w:t>Configured with no permission to confirm pay-ins</w:t>
            </w:r>
            <w:r>
              <w:rPr>
                <w:rFonts w:ascii="Calibri" w:hAnsi="Calibri"/>
                <w:b w:val="0"/>
                <w:i w:val="0"/>
                <w:color w:val="333333"/>
                <w:sz w:val="17"/>
              </w:rPr>
              <w:t xml:space="preserve"> — technical power must not equal financial power</w:t>
            </w:r>
          </w:p>
        </w:tc>
      </w:tr>
    </w:tbl>
    <w:p>
      <w:pPr>
        <w:spacing w:after="40"/>
      </w:pPr>
    </w:p>
    <w:p>
      <w:r>
        <w:rPr>
          <w:rFonts w:ascii="Calibri" w:hAnsi="Calibri"/>
          <w:b/>
          <w:i w:val="0"/>
          <w:color w:val="333333"/>
          <w:sz w:val="20"/>
        </w:rPr>
        <w:t>Principle applied throughout: separation of the person who collects, the person who confirms and the person who configures.</w:t>
      </w:r>
      <w:r>
        <w:rPr>
          <w:rFonts w:ascii="Calibri" w:hAnsi="Calibri"/>
          <w:b w:val="0"/>
          <w:i w:val="0"/>
          <w:color w:val="333333"/>
          <w:sz w:val="20"/>
        </w:rPr>
        <w:t xml:space="preserve"> No profile holds all three.</w:t>
      </w:r>
    </w:p>
    <w:p>
      <w:pPr>
        <w:pStyle w:val="Heading2"/>
        <w:spacing w:before="280" w:after="80"/>
        <w:keepNext/>
      </w:pPr>
      <w:bookmarkStart w:id="116" w:name="_Toc_s015"/>
      <w:r>
        <w:rPr>
          <w:rFonts w:ascii="Calibri" w:hAnsi="Calibri"/>
          <w:b/>
          <w:color w:val="1B3A5C"/>
          <w:sz w:val="24"/>
        </w:rPr>
        <w:t>5.3 Collector authentication on the POS</w:t>
      </w:r>
      <w:bookmarkEnd w:id="116"/>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4873"/>
        <w:gridCol w:w="4873"/>
      </w:tblGrid>
      <w:tr>
        <w:trPr>
          <w:tblHeader w:val="true"/>
        </w:trPr>
        <w:tc>
          <w:tcPr>
            <w:tcW w:type="dxa" w:w="4873"/>
            <w:shd w:val="clear" w:fill="1B3A5C"/>
          </w:tcPr>
          <w:p>
            <w:pPr>
              <w:spacing w:before="60" w:after="60"/>
            </w:pPr>
            <w:r>
              <w:rPr>
                <w:rFonts w:ascii="Calibri" w:hAnsi="Calibri"/>
                <w:b/>
                <w:color w:val="FFFFFF"/>
                <w:sz w:val="17"/>
              </w:rPr>
              <w:t>Control</w:t>
            </w:r>
          </w:p>
        </w:tc>
        <w:tc>
          <w:tcPr>
            <w:tcW w:type="dxa" w:w="4873"/>
            <w:shd w:val="clear" w:fill="1B3A5C"/>
          </w:tcPr>
          <w:p>
            <w:pPr>
              <w:spacing w:before="60" w:after="60"/>
            </w:pPr>
            <w:r>
              <w:rPr>
                <w:rFonts w:ascii="Calibri" w:hAnsi="Calibri"/>
                <w:b/>
                <w:color w:val="FFFFFF"/>
                <w:sz w:val="17"/>
              </w:rPr>
              <w:t>Implementation</w:t>
            </w:r>
          </w:p>
        </w:tc>
      </w:tr>
      <w:tr>
        <w:tc>
          <w:tcPr>
            <w:tcW w:type="dxa" w:w="4873"/>
          </w:tcPr>
          <w:p>
            <w:pPr>
              <w:spacing w:before="40" w:after="40"/>
            </w:pPr>
            <w:r>
              <w:rPr>
                <w:rFonts w:ascii="Calibri" w:hAnsi="Calibri"/>
                <w:b w:val="0"/>
                <w:i w:val="0"/>
                <w:color w:val="333333"/>
                <w:sz w:val="17"/>
              </w:rPr>
              <w:t>Credential</w:t>
            </w:r>
          </w:p>
        </w:tc>
        <w:tc>
          <w:tcPr>
            <w:tcW w:type="dxa" w:w="4873"/>
          </w:tcPr>
          <w:p>
            <w:pPr>
              <w:spacing w:before="40" w:after="40"/>
            </w:pPr>
            <w:r>
              <w:rPr>
                <w:rFonts w:ascii="Calibri" w:hAnsi="Calibri"/>
                <w:b w:val="0"/>
                <w:i w:val="0"/>
                <w:color w:val="333333"/>
                <w:sz w:val="17"/>
              </w:rPr>
              <w:t>Individual username + password/PIN, verified server-side against the bcrypt hash</w:t>
            </w:r>
          </w:p>
        </w:tc>
      </w:tr>
      <w:tr>
        <w:tc>
          <w:tcPr>
            <w:tcW w:type="dxa" w:w="4873"/>
            <w:shd w:val="clear" w:fill="F2F6FA"/>
          </w:tcPr>
          <w:p>
            <w:pPr>
              <w:spacing w:before="40" w:after="40"/>
            </w:pPr>
            <w:r>
              <w:rPr>
                <w:rFonts w:ascii="Calibri" w:hAnsi="Calibri"/>
                <w:b w:val="0"/>
                <w:i w:val="0"/>
                <w:color w:val="333333"/>
                <w:sz w:val="17"/>
              </w:rPr>
              <w:t>First use</w:t>
            </w:r>
          </w:p>
        </w:tc>
        <w:tc>
          <w:tcPr>
            <w:tcW w:type="dxa" w:w="4873"/>
            <w:shd w:val="clear" w:fill="F2F6FA"/>
          </w:tcPr>
          <w:p>
            <w:pPr>
              <w:spacing w:before="40" w:after="40"/>
            </w:pPr>
            <w:r>
              <w:rPr>
                <w:rFonts w:ascii="Calibri" w:hAnsi="Calibri"/>
                <w:b w:val="0"/>
                <w:i w:val="0"/>
                <w:color w:val="333333"/>
                <w:sz w:val="17"/>
              </w:rPr>
              <w:t>Forced PIN change on first login</w:t>
            </w:r>
          </w:p>
        </w:tc>
      </w:tr>
      <w:tr>
        <w:tc>
          <w:tcPr>
            <w:tcW w:type="dxa" w:w="4873"/>
          </w:tcPr>
          <w:p>
            <w:pPr>
              <w:spacing w:before="40" w:after="40"/>
            </w:pPr>
            <w:r>
              <w:rPr>
                <w:rFonts w:ascii="Calibri" w:hAnsi="Calibri"/>
                <w:b w:val="0"/>
                <w:i w:val="0"/>
                <w:color w:val="333333"/>
                <w:sz w:val="17"/>
              </w:rPr>
              <w:t>Session token</w:t>
            </w:r>
          </w:p>
        </w:tc>
        <w:tc>
          <w:tcPr>
            <w:tcW w:type="dxa" w:w="4873"/>
          </w:tcPr>
          <w:p>
            <w:pPr>
              <w:spacing w:before="40" w:after="40"/>
            </w:pPr>
            <w:r>
              <w:rPr>
                <w:rFonts w:ascii="Calibri" w:hAnsi="Calibri"/>
                <w:b w:val="0"/>
                <w:i w:val="0"/>
                <w:color w:val="333333"/>
                <w:sz w:val="17"/>
              </w:rPr>
              <w:t>Short-lived signed token issued at login, renewed on activity, invalid after the inactivity timeout. See §12 item H-2</w:t>
            </w:r>
          </w:p>
        </w:tc>
      </w:tr>
      <w:tr>
        <w:tc>
          <w:tcPr>
            <w:tcW w:type="dxa" w:w="4873"/>
            <w:shd w:val="clear" w:fill="F2F6FA"/>
          </w:tcPr>
          <w:p>
            <w:pPr>
              <w:spacing w:before="40" w:after="40"/>
            </w:pPr>
            <w:r>
              <w:rPr>
                <w:rFonts w:ascii="Calibri" w:hAnsi="Calibri"/>
                <w:b w:val="0"/>
                <w:i w:val="0"/>
                <w:color w:val="333333"/>
                <w:sz w:val="17"/>
              </w:rPr>
              <w:t>Offline authentication</w:t>
            </w:r>
          </w:p>
        </w:tc>
        <w:tc>
          <w:tcPr>
            <w:tcW w:type="dxa" w:w="4873"/>
            <w:shd w:val="clear" w:fill="F2F6FA"/>
          </w:tcPr>
          <w:p>
            <w:pPr>
              <w:spacing w:before="40" w:after="40"/>
            </w:pPr>
            <w:r>
              <w:rPr>
                <w:rFonts w:ascii="Calibri" w:hAnsi="Calibri"/>
                <w:b w:val="0"/>
                <w:i w:val="0"/>
                <w:color w:val="333333"/>
                <w:sz w:val="17"/>
              </w:rPr>
              <w:t>Offline unlock permitted for a bounded period using a locally stored verifier; beyond that period the terminal requires an online re-authentication before further collection</w:t>
            </w:r>
          </w:p>
        </w:tc>
      </w:tr>
      <w:tr>
        <w:tc>
          <w:tcPr>
            <w:tcW w:type="dxa" w:w="4873"/>
          </w:tcPr>
          <w:p>
            <w:pPr>
              <w:spacing w:before="40" w:after="40"/>
            </w:pPr>
            <w:r>
              <w:rPr>
                <w:rFonts w:ascii="Calibri" w:hAnsi="Calibri"/>
                <w:b w:val="0"/>
                <w:i w:val="0"/>
                <w:color w:val="333333"/>
                <w:sz w:val="17"/>
              </w:rPr>
              <w:t>Terminal binding</w:t>
            </w:r>
          </w:p>
        </w:tc>
        <w:tc>
          <w:tcPr>
            <w:tcW w:type="dxa" w:w="4873"/>
          </w:tcPr>
          <w:p>
            <w:pPr>
              <w:spacing w:before="40" w:after="40"/>
            </w:pPr>
            <w:r>
              <w:rPr>
                <w:rFonts w:ascii="Calibri" w:hAnsi="Calibri"/>
                <w:b w:val="0"/>
                <w:i w:val="0"/>
                <w:color w:val="333333"/>
                <w:sz w:val="17"/>
              </w:rPr>
              <w:t>The agent is assigned to a specific terminal in the back office; a login from an unassigned terminal is refused and alerted. Terminal identity = registered serial number</w:t>
            </w:r>
          </w:p>
        </w:tc>
      </w:tr>
      <w:tr>
        <w:tc>
          <w:tcPr>
            <w:tcW w:type="dxa" w:w="4873"/>
            <w:shd w:val="clear" w:fill="F2F6FA"/>
          </w:tcPr>
          <w:p>
            <w:pPr>
              <w:spacing w:before="40" w:after="40"/>
            </w:pPr>
            <w:r>
              <w:rPr>
                <w:rFonts w:ascii="Calibri" w:hAnsi="Calibri"/>
                <w:b w:val="0"/>
                <w:i w:val="0"/>
                <w:color w:val="333333"/>
                <w:sz w:val="17"/>
              </w:rPr>
              <w:t>Revocation</w:t>
            </w:r>
          </w:p>
        </w:tc>
        <w:tc>
          <w:tcPr>
            <w:tcW w:type="dxa" w:w="4873"/>
            <w:shd w:val="clear" w:fill="F2F6FA"/>
          </w:tcPr>
          <w:p>
            <w:pPr>
              <w:spacing w:before="40" w:after="40"/>
            </w:pPr>
            <w:r>
              <w:rPr>
                <w:rFonts w:ascii="Calibri" w:hAnsi="Calibri"/>
                <w:b w:val="0"/>
                <w:i w:val="0"/>
                <w:color w:val="333333"/>
                <w:sz w:val="17"/>
              </w:rPr>
              <w:t>Disabling the agent in the back office denies the next authentication and refuses that agent's synchronisations</w:t>
            </w:r>
          </w:p>
        </w:tc>
      </w:tr>
      <w:tr>
        <w:tc>
          <w:tcPr>
            <w:tcW w:type="dxa" w:w="4873"/>
          </w:tcPr>
          <w:p>
            <w:pPr>
              <w:spacing w:before="40" w:after="40"/>
            </w:pPr>
            <w:r>
              <w:rPr>
                <w:rFonts w:ascii="Calibri" w:hAnsi="Calibri"/>
                <w:b w:val="0"/>
                <w:i w:val="0"/>
                <w:color w:val="333333"/>
                <w:sz w:val="17"/>
              </w:rPr>
              <w:t>Inactivity</w:t>
            </w:r>
          </w:p>
        </w:tc>
        <w:tc>
          <w:tcPr>
            <w:tcW w:type="dxa" w:w="4873"/>
          </w:tcPr>
          <w:p>
            <w:pPr>
              <w:spacing w:before="40" w:after="40"/>
            </w:pPr>
            <w:r>
              <w:rPr>
                <w:rFonts w:ascii="Calibri" w:hAnsi="Calibri"/>
                <w:b w:val="0"/>
                <w:i w:val="0"/>
                <w:color w:val="333333"/>
                <w:sz w:val="17"/>
              </w:rPr>
              <w:t>Automatic lock; re-entry of the PIN required</w:t>
            </w:r>
          </w:p>
        </w:tc>
      </w:tr>
    </w:tbl>
    <w:p>
      <w:pPr>
        <w:spacing w:after="40"/>
      </w:pPr>
    </w:p>
    <w:p>
      <w:pPr>
        <w:pStyle w:val="Heading2"/>
        <w:spacing w:before="280" w:after="80"/>
        <w:keepNext/>
      </w:pPr>
      <w:bookmarkStart w:id="117" w:name="_Toc_s016"/>
      <w:r>
        <w:rPr>
          <w:rFonts w:ascii="Calibri" w:hAnsi="Calibri"/>
          <w:b/>
          <w:color w:val="1B3A5C"/>
          <w:sz w:val="24"/>
        </w:rPr>
        <w:t>5.4 Machine-to-machine credentials (API keys)</w:t>
      </w:r>
      <w:bookmarkEnd w:id="117"/>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4873"/>
        <w:gridCol w:w="4873"/>
      </w:tblGrid>
      <w:tr>
        <w:trPr>
          <w:tblHeader w:val="true"/>
        </w:trPr>
        <w:tc>
          <w:tcPr>
            <w:tcW w:type="dxa" w:w="4873"/>
            <w:shd w:val="clear" w:fill="1B3A5C"/>
          </w:tcPr>
          <w:p>
            <w:pPr>
              <w:spacing w:before="60" w:after="60"/>
            </w:pPr>
            <w:r>
              <w:rPr>
                <w:rFonts w:ascii="Calibri" w:hAnsi="Calibri"/>
                <w:b/>
                <w:color w:val="FFFFFF"/>
                <w:sz w:val="17"/>
              </w:rPr>
              <w:t>Control</w:t>
            </w:r>
          </w:p>
        </w:tc>
        <w:tc>
          <w:tcPr>
            <w:tcW w:type="dxa" w:w="4873"/>
            <w:shd w:val="clear" w:fill="1B3A5C"/>
          </w:tcPr>
          <w:p>
            <w:pPr>
              <w:spacing w:before="60" w:after="60"/>
            </w:pPr>
            <w:r>
              <w:rPr>
                <w:rFonts w:ascii="Calibri" w:hAnsi="Calibri"/>
                <w:b/>
                <w:color w:val="FFFFFF"/>
                <w:sz w:val="17"/>
              </w:rPr>
              <w:t>Implementation</w:t>
            </w:r>
          </w:p>
        </w:tc>
      </w:tr>
      <w:tr>
        <w:tc>
          <w:tcPr>
            <w:tcW w:type="dxa" w:w="4873"/>
          </w:tcPr>
          <w:p>
            <w:pPr>
              <w:spacing w:before="40" w:after="40"/>
            </w:pPr>
            <w:r>
              <w:rPr>
                <w:rFonts w:ascii="Calibri" w:hAnsi="Calibri"/>
                <w:b w:val="0"/>
                <w:i w:val="0"/>
                <w:color w:val="333333"/>
                <w:sz w:val="17"/>
              </w:rPr>
              <w:t>Scope</w:t>
            </w:r>
          </w:p>
        </w:tc>
        <w:tc>
          <w:tcPr>
            <w:tcW w:type="dxa" w:w="4873"/>
          </w:tcPr>
          <w:p>
            <w:pPr>
              <w:spacing w:before="40" w:after="40"/>
            </w:pPr>
            <w:r>
              <w:rPr>
                <w:rFonts w:ascii="Calibri" w:hAnsi="Calibri"/>
                <w:b w:val="0"/>
                <w:i w:val="0"/>
                <w:color w:val="333333"/>
                <w:sz w:val="17"/>
              </w:rPr>
              <w:t>One key per business unit, transmitted in a dedicated header</w:t>
            </w:r>
          </w:p>
        </w:tc>
      </w:tr>
      <w:tr>
        <w:tc>
          <w:tcPr>
            <w:tcW w:type="dxa" w:w="4873"/>
            <w:shd w:val="clear" w:fill="F2F6FA"/>
          </w:tcPr>
          <w:p>
            <w:pPr>
              <w:spacing w:before="40" w:after="40"/>
            </w:pPr>
            <w:r>
              <w:rPr>
                <w:rFonts w:ascii="Calibri" w:hAnsi="Calibri"/>
                <w:b w:val="0"/>
                <w:i w:val="0"/>
                <w:color w:val="333333"/>
                <w:sz w:val="17"/>
              </w:rPr>
              <w:t>Storage</w:t>
            </w:r>
          </w:p>
        </w:tc>
        <w:tc>
          <w:tcPr>
            <w:tcW w:type="dxa" w:w="4873"/>
            <w:shd w:val="clear" w:fill="F2F6FA"/>
          </w:tcPr>
          <w:p>
            <w:pPr>
              <w:spacing w:before="40" w:after="40"/>
            </w:pPr>
            <w:r>
              <w:rPr>
                <w:rFonts w:ascii="Calibri" w:hAnsi="Calibri"/>
                <w:b w:val="0"/>
                <w:i w:val="0"/>
                <w:color w:val="333333"/>
                <w:sz w:val="17"/>
              </w:rPr>
              <w:t>Hashed at rest; the plaintext value is displayed once at creation and never retrievable afterwards</w:t>
            </w:r>
          </w:p>
        </w:tc>
      </w:tr>
      <w:tr>
        <w:tc>
          <w:tcPr>
            <w:tcW w:type="dxa" w:w="4873"/>
          </w:tcPr>
          <w:p>
            <w:pPr>
              <w:spacing w:before="40" w:after="40"/>
            </w:pPr>
            <w:r>
              <w:rPr>
                <w:rFonts w:ascii="Calibri" w:hAnsi="Calibri"/>
                <w:b w:val="0"/>
                <w:i w:val="0"/>
                <w:color w:val="333333"/>
                <w:sz w:val="17"/>
              </w:rPr>
              <w:t>Lifecycle</w:t>
            </w:r>
          </w:p>
        </w:tc>
        <w:tc>
          <w:tcPr>
            <w:tcW w:type="dxa" w:w="4873"/>
          </w:tcPr>
          <w:p>
            <w:pPr>
              <w:spacing w:before="40" w:after="40"/>
            </w:pPr>
            <w:r>
              <w:rPr>
                <w:rFonts w:ascii="Calibri" w:hAnsi="Calibri"/>
                <w:b w:val="0"/>
                <w:i w:val="0"/>
                <w:color w:val="333333"/>
                <w:sz w:val="17"/>
              </w:rPr>
              <w:t>Activation flag allowing instant revocation; last-use timestamp recorded; usage logged per request</w:t>
            </w:r>
          </w:p>
        </w:tc>
      </w:tr>
      <w:tr>
        <w:tc>
          <w:tcPr>
            <w:tcW w:type="dxa" w:w="4873"/>
            <w:shd w:val="clear" w:fill="F2F6FA"/>
          </w:tcPr>
          <w:p>
            <w:pPr>
              <w:spacing w:before="40" w:after="40"/>
            </w:pPr>
            <w:r>
              <w:rPr>
                <w:rFonts w:ascii="Calibri" w:hAnsi="Calibri"/>
                <w:b w:val="0"/>
                <w:i w:val="0"/>
                <w:color w:val="333333"/>
                <w:sz w:val="17"/>
              </w:rPr>
              <w:t>Rotation</w:t>
            </w:r>
          </w:p>
        </w:tc>
        <w:tc>
          <w:tcPr>
            <w:tcW w:type="dxa" w:w="4873"/>
            <w:shd w:val="clear" w:fill="F2F6FA"/>
          </w:tcPr>
          <w:p>
            <w:pPr>
              <w:spacing w:before="40" w:after="40"/>
            </w:pPr>
            <w:r>
              <w:rPr>
                <w:rFonts w:ascii="Calibri" w:hAnsi="Calibri"/>
                <w:b w:val="0"/>
                <w:i w:val="0"/>
                <w:color w:val="333333"/>
                <w:sz w:val="17"/>
              </w:rPr>
              <w:t>Documented procedure: create the new key → configure the terminals → verify traffic on the new key → revoke the old. Rotation at least annually and immediately on suspicion of compromise</w:t>
            </w:r>
          </w:p>
        </w:tc>
      </w:tr>
      <w:tr>
        <w:tc>
          <w:tcPr>
            <w:tcW w:type="dxa" w:w="4873"/>
          </w:tcPr>
          <w:p>
            <w:pPr>
              <w:spacing w:before="40" w:after="40"/>
            </w:pPr>
            <w:r>
              <w:rPr>
                <w:rFonts w:ascii="Calibri" w:hAnsi="Calibri"/>
                <w:b w:val="0"/>
                <w:i w:val="0"/>
                <w:color w:val="333333"/>
                <w:sz w:val="17"/>
              </w:rPr>
              <w:t>Rate limiting</w:t>
            </w:r>
          </w:p>
        </w:tc>
        <w:tc>
          <w:tcPr>
            <w:tcW w:type="dxa" w:w="4873"/>
          </w:tcPr>
          <w:p>
            <w:pPr>
              <w:spacing w:before="40" w:after="40"/>
            </w:pPr>
            <w:r>
              <w:rPr>
                <w:rFonts w:ascii="Calibri" w:hAnsi="Calibri"/>
                <w:b w:val="0"/>
                <w:i w:val="0"/>
                <w:color w:val="333333"/>
                <w:sz w:val="17"/>
              </w:rPr>
              <w:t>Per key and per IP. See §12 item H-3</w:t>
            </w:r>
          </w:p>
        </w:tc>
      </w:tr>
    </w:tbl>
    <w:p>
      <w:pPr>
        <w:spacing w:after="40"/>
      </w:pPr>
    </w:p>
    <w:p>
      <w:pPr>
        <w:pStyle w:val="Heading2"/>
        <w:spacing w:before="280" w:after="80"/>
        <w:keepNext/>
      </w:pPr>
      <w:bookmarkStart w:id="118" w:name="_Toc_s017"/>
      <w:r>
        <w:rPr>
          <w:rFonts w:ascii="Calibri" w:hAnsi="Calibri"/>
          <w:b/>
          <w:color w:val="1B3A5C"/>
          <w:sz w:val="24"/>
        </w:rPr>
        <w:t>5.5 Third-party integration credentials</w:t>
      </w:r>
      <w:bookmarkEnd w:id="118"/>
    </w:p>
    <w:p>
      <w:r>
        <w:rPr>
          <w:rFonts w:ascii="Calibri" w:hAnsi="Calibri"/>
          <w:b w:val="0"/>
          <w:i w:val="0"/>
          <w:color w:val="333333"/>
          <w:sz w:val="20"/>
        </w:rPr>
        <w:t>SUNULIFE, Mobile Money and SMS credentials are held per business unit in a dedicated credential store, separate from the integration definitions, encrypted at rest with the application key, never written to logs, and never displayed after entry. Only the IT profile may modify them, and every modification is audited.</w:t>
      </w:r>
    </w:p>
    <w:p>
      <w:pPr>
        <w:pStyle w:val="Heading1"/>
        <w:pageBreakBefore/>
        <w:spacing w:before="360" w:after="80"/>
        <w:keepNext/>
        <w:pBdr>
          <w:bottom w:val="single" w:sz="8" w:space="6" w:color="1B3A5C"/>
        </w:pBdr>
      </w:pPr>
      <w:bookmarkStart w:id="119" w:name="_Toc_s018"/>
      <w:r>
        <w:rPr>
          <w:rFonts w:ascii="Calibri" w:hAnsi="Calibri"/>
          <w:b/>
          <w:color w:val="1B3A5C"/>
          <w:sz w:val="30"/>
        </w:rPr>
        <w:t>6. Data Protection</w:t>
      </w:r>
      <w:bookmarkEnd w:id="119"/>
    </w:p>
    <w:p>
      <w:pPr>
        <w:pStyle w:val="Heading2"/>
        <w:spacing w:before="280" w:after="80"/>
        <w:keepNext/>
      </w:pPr>
      <w:bookmarkStart w:id="120" w:name="_Toc_s019"/>
      <w:r>
        <w:rPr>
          <w:rFonts w:ascii="Calibri" w:hAnsi="Calibri"/>
          <w:b/>
          <w:color w:val="1B3A5C"/>
          <w:sz w:val="24"/>
        </w:rPr>
        <w:t>6.1 Classification</w:t>
      </w:r>
      <w:bookmarkEnd w:id="120"/>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3249"/>
        <w:gridCol w:w="3249"/>
        <w:gridCol w:w="3249"/>
      </w:tblGrid>
      <w:tr>
        <w:trPr>
          <w:tblHeader w:val="true"/>
        </w:trPr>
        <w:tc>
          <w:tcPr>
            <w:tcW w:type="dxa" w:w="3249"/>
            <w:shd w:val="clear" w:fill="1B3A5C"/>
          </w:tcPr>
          <w:p>
            <w:pPr>
              <w:spacing w:before="60" w:after="60"/>
            </w:pPr>
            <w:r>
              <w:rPr>
                <w:rFonts w:ascii="Calibri" w:hAnsi="Calibri"/>
                <w:b/>
                <w:color w:val="FFFFFF"/>
                <w:sz w:val="17"/>
              </w:rPr>
              <w:t>Class</w:t>
            </w:r>
          </w:p>
        </w:tc>
        <w:tc>
          <w:tcPr>
            <w:tcW w:type="dxa" w:w="3249"/>
            <w:shd w:val="clear" w:fill="1B3A5C"/>
          </w:tcPr>
          <w:p>
            <w:pPr>
              <w:spacing w:before="60" w:after="60"/>
            </w:pPr>
            <w:r>
              <w:rPr>
                <w:rFonts w:ascii="Calibri" w:hAnsi="Calibri"/>
                <w:b/>
                <w:color w:val="FFFFFF"/>
                <w:sz w:val="17"/>
              </w:rPr>
              <w:t>Examples</w:t>
            </w:r>
          </w:p>
        </w:tc>
        <w:tc>
          <w:tcPr>
            <w:tcW w:type="dxa" w:w="3249"/>
            <w:shd w:val="clear" w:fill="1B3A5C"/>
          </w:tcPr>
          <w:p>
            <w:pPr>
              <w:spacing w:before="60" w:after="60"/>
            </w:pPr>
            <w:r>
              <w:rPr>
                <w:rFonts w:ascii="Calibri" w:hAnsi="Calibri"/>
                <w:b/>
                <w:color w:val="FFFFFF"/>
                <w:sz w:val="17"/>
              </w:rPr>
              <w:t>Handling</w:t>
            </w:r>
          </w:p>
        </w:tc>
      </w:tr>
      <w:tr>
        <w:tc>
          <w:tcPr>
            <w:tcW w:type="dxa" w:w="3249"/>
          </w:tcPr>
          <w:p>
            <w:pPr>
              <w:spacing w:before="40" w:after="40"/>
            </w:pPr>
            <w:r>
              <w:rPr>
                <w:rFonts w:ascii="Calibri" w:hAnsi="Calibri"/>
                <w:b/>
                <w:i w:val="0"/>
                <w:color w:val="333333"/>
                <w:sz w:val="17"/>
              </w:rPr>
              <w:t>C4 — Critical</w:t>
            </w:r>
          </w:p>
        </w:tc>
        <w:tc>
          <w:tcPr>
            <w:tcW w:type="dxa" w:w="3249"/>
          </w:tcPr>
          <w:p>
            <w:pPr>
              <w:spacing w:before="40" w:after="40"/>
            </w:pPr>
            <w:r>
              <w:rPr>
                <w:rFonts w:ascii="Calibri" w:hAnsi="Calibri"/>
                <w:b w:val="0"/>
                <w:i w:val="0"/>
                <w:color w:val="333333"/>
                <w:sz w:val="17"/>
              </w:rPr>
              <w:t>Passwords, PINs, signing keys, integration credentials, biometric templates</w:t>
            </w:r>
          </w:p>
        </w:tc>
        <w:tc>
          <w:tcPr>
            <w:tcW w:type="dxa" w:w="3249"/>
          </w:tcPr>
          <w:p>
            <w:pPr>
              <w:spacing w:before="40" w:after="40"/>
            </w:pPr>
            <w:r>
              <w:rPr>
                <w:rFonts w:ascii="Calibri" w:hAnsi="Calibri"/>
                <w:b w:val="0"/>
                <w:i w:val="0"/>
                <w:color w:val="333333"/>
                <w:sz w:val="17"/>
              </w:rPr>
              <w:t>Encrypted or hashed; never logged; never exported; no display</w:t>
            </w:r>
          </w:p>
        </w:tc>
      </w:tr>
      <w:tr>
        <w:tc>
          <w:tcPr>
            <w:tcW w:type="dxa" w:w="3249"/>
            <w:shd w:val="clear" w:fill="F2F6FA"/>
          </w:tcPr>
          <w:p>
            <w:pPr>
              <w:spacing w:before="40" w:after="40"/>
            </w:pPr>
            <w:r>
              <w:rPr>
                <w:rFonts w:ascii="Calibri" w:hAnsi="Calibri"/>
                <w:b/>
                <w:i w:val="0"/>
                <w:color w:val="333333"/>
                <w:sz w:val="17"/>
              </w:rPr>
              <w:t>C3 — Confidential</w:t>
            </w:r>
          </w:p>
        </w:tc>
        <w:tc>
          <w:tcPr>
            <w:tcW w:type="dxa" w:w="3249"/>
            <w:shd w:val="clear" w:fill="F2F6FA"/>
          </w:tcPr>
          <w:p>
            <w:pPr>
              <w:spacing w:before="40" w:after="40"/>
            </w:pPr>
            <w:r>
              <w:rPr>
                <w:rFonts w:ascii="Calibri" w:hAnsi="Calibri"/>
                <w:b w:val="0"/>
                <w:i w:val="0"/>
                <w:color w:val="333333"/>
                <w:sz w:val="17"/>
              </w:rPr>
              <w:t>CNIB numbers, identity images, insured personal data, policy data</w:t>
            </w:r>
          </w:p>
        </w:tc>
        <w:tc>
          <w:tcPr>
            <w:tcW w:type="dxa" w:w="3249"/>
            <w:shd w:val="clear" w:fill="F2F6FA"/>
          </w:tcPr>
          <w:p>
            <w:pPr>
              <w:spacing w:before="40" w:after="40"/>
            </w:pPr>
            <w:r>
              <w:rPr>
                <w:rFonts w:ascii="Calibri" w:hAnsi="Calibri"/>
                <w:b w:val="0"/>
                <w:i w:val="0"/>
                <w:color w:val="333333"/>
                <w:sz w:val="17"/>
              </w:rPr>
              <w:t>Encrypted at rest and in transit; permission-gated access; access logged; masked in listings</w:t>
            </w:r>
          </w:p>
        </w:tc>
      </w:tr>
      <w:tr>
        <w:tc>
          <w:tcPr>
            <w:tcW w:type="dxa" w:w="3249"/>
          </w:tcPr>
          <w:p>
            <w:pPr>
              <w:spacing w:before="40" w:after="40"/>
            </w:pPr>
            <w:r>
              <w:rPr>
                <w:rFonts w:ascii="Calibri" w:hAnsi="Calibri"/>
                <w:b/>
                <w:i w:val="0"/>
                <w:color w:val="333333"/>
                <w:sz w:val="17"/>
              </w:rPr>
              <w:t>C2 — Internal</w:t>
            </w:r>
          </w:p>
        </w:tc>
        <w:tc>
          <w:tcPr>
            <w:tcW w:type="dxa" w:w="3249"/>
          </w:tcPr>
          <w:p>
            <w:pPr>
              <w:spacing w:before="40" w:after="40"/>
            </w:pPr>
            <w:r>
              <w:rPr>
                <w:rFonts w:ascii="Calibri" w:hAnsi="Calibri"/>
                <w:b w:val="0"/>
                <w:i w:val="0"/>
                <w:color w:val="333333"/>
                <w:sz w:val="17"/>
              </w:rPr>
              <w:t>Collections, transactions, caps, reports</w:t>
            </w:r>
          </w:p>
        </w:tc>
        <w:tc>
          <w:tcPr>
            <w:tcW w:type="dxa" w:w="3249"/>
          </w:tcPr>
          <w:p>
            <w:pPr>
              <w:spacing w:before="40" w:after="40"/>
            </w:pPr>
            <w:r>
              <w:rPr>
                <w:rFonts w:ascii="Calibri" w:hAnsi="Calibri"/>
                <w:b w:val="0"/>
                <w:i w:val="0"/>
                <w:color w:val="333333"/>
                <w:sz w:val="17"/>
              </w:rPr>
              <w:t>Access by profile; audited; exportable by authorised profiles only</w:t>
            </w:r>
          </w:p>
        </w:tc>
      </w:tr>
      <w:tr>
        <w:tc>
          <w:tcPr>
            <w:tcW w:type="dxa" w:w="3249"/>
            <w:shd w:val="clear" w:fill="F2F6FA"/>
          </w:tcPr>
          <w:p>
            <w:pPr>
              <w:spacing w:before="40" w:after="40"/>
            </w:pPr>
            <w:r>
              <w:rPr>
                <w:rFonts w:ascii="Calibri" w:hAnsi="Calibri"/>
                <w:b/>
                <w:i w:val="0"/>
                <w:color w:val="333333"/>
                <w:sz w:val="17"/>
              </w:rPr>
              <w:t>C1 — Public</w:t>
            </w:r>
          </w:p>
        </w:tc>
        <w:tc>
          <w:tcPr>
            <w:tcW w:type="dxa" w:w="3249"/>
            <w:shd w:val="clear" w:fill="F2F6FA"/>
          </w:tcPr>
          <w:p>
            <w:pPr>
              <w:spacing w:before="40" w:after="40"/>
            </w:pPr>
            <w:r>
              <w:rPr>
                <w:rFonts w:ascii="Calibri" w:hAnsi="Calibri"/>
                <w:b w:val="0"/>
                <w:i w:val="0"/>
                <w:color w:val="333333"/>
                <w:sz w:val="17"/>
              </w:rPr>
              <w:t>Product names, general documentation</w:t>
            </w:r>
          </w:p>
        </w:tc>
        <w:tc>
          <w:tcPr>
            <w:tcW w:type="dxa" w:w="3249"/>
            <w:shd w:val="clear" w:fill="F2F6FA"/>
          </w:tcPr>
          <w:p>
            <w:pPr>
              <w:spacing w:before="40" w:after="40"/>
            </w:pPr>
            <w:r>
              <w:rPr>
                <w:rFonts w:ascii="Calibri" w:hAnsi="Calibri"/>
                <w:b w:val="0"/>
                <w:i w:val="0"/>
                <w:color w:val="333333"/>
                <w:sz w:val="17"/>
              </w:rPr>
              <w:t>No restriction</w:t>
            </w:r>
          </w:p>
        </w:tc>
      </w:tr>
    </w:tbl>
    <w:p>
      <w:pPr>
        <w:spacing w:after="40"/>
      </w:pPr>
    </w:p>
    <w:p>
      <w:pPr>
        <w:pStyle w:val="Heading2"/>
        <w:spacing w:before="280" w:after="80"/>
        <w:keepNext/>
      </w:pPr>
      <w:bookmarkStart w:id="121" w:name="_Toc_s020"/>
      <w:r>
        <w:rPr>
          <w:rFonts w:ascii="Calibri" w:hAnsi="Calibri"/>
          <w:b/>
          <w:color w:val="1B3A5C"/>
          <w:sz w:val="24"/>
        </w:rPr>
        <w:t>6.2 Encryption in transit</w:t>
      </w:r>
      <w:bookmarkEnd w:id="121"/>
    </w:p>
    <w:p>
      <w:pPr>
        <w:spacing w:after="40"/>
        <w:ind w:left="312" w:hanging="198"/>
      </w:pPr>
      <w:r>
        <w:rPr>
          <w:rFonts w:ascii="Calibri" w:hAnsi="Calibri"/>
          <w:b w:val="0"/>
          <w:color w:val="2C5F8A"/>
          <w:sz w:val="20"/>
        </w:rPr>
        <w:t xml:space="preserve">•  </w:t>
      </w:r>
      <w:r>
        <w:rPr>
          <w:rFonts w:ascii="Calibri" w:hAnsi="Calibri"/>
          <w:b/>
          <w:i w:val="0"/>
          <w:color w:val="333333"/>
          <w:sz w:val="20"/>
        </w:rPr>
        <w:t>HTTPS/TLS 1.2 minimum, TLS 1.3 preferred</w:t>
      </w:r>
      <w:r>
        <w:rPr>
          <w:rFonts w:ascii="Calibri" w:hAnsi="Calibri"/>
          <w:b w:val="0"/>
          <w:i w:val="0"/>
          <w:color w:val="333333"/>
          <w:sz w:val="20"/>
        </w:rPr>
        <w:t>, on every channel: POS ↔ platform, browser ↔ platform, platform ↔ SUNULIFE, platform ↔ Mobile Money.</w:t>
      </w:r>
    </w:p>
    <w:p>
      <w:pPr>
        <w:spacing w:after="40"/>
        <w:ind w:left="312" w:hanging="198"/>
      </w:pPr>
      <w:r>
        <w:rPr>
          <w:rFonts w:ascii="Calibri" w:hAnsi="Calibri"/>
          <w:b w:val="0"/>
          <w:color w:val="2C5F8A"/>
          <w:sz w:val="20"/>
        </w:rPr>
        <w:t xml:space="preserve">•  </w:t>
      </w:r>
      <w:r>
        <w:rPr>
          <w:rFonts w:ascii="Calibri" w:hAnsi="Calibri"/>
          <w:b w:val="0"/>
          <w:i w:val="0"/>
          <w:color w:val="333333"/>
          <w:sz w:val="20"/>
        </w:rPr>
        <w:t>Modern cipher suites only; SSLv3, TLS 1.0 and 1.1 disabled; HSTS enabled.</w:t>
      </w:r>
    </w:p>
    <w:p>
      <w:pPr>
        <w:spacing w:after="40"/>
        <w:ind w:left="312" w:hanging="198"/>
      </w:pPr>
      <w:r>
        <w:rPr>
          <w:rFonts w:ascii="Calibri" w:hAnsi="Calibri"/>
          <w:b w:val="0"/>
          <w:color w:val="2C5F8A"/>
          <w:sz w:val="20"/>
        </w:rPr>
        <w:t xml:space="preserve">•  </w:t>
      </w:r>
      <w:r>
        <w:rPr>
          <w:rFonts w:ascii="Calibri" w:hAnsi="Calibri"/>
          <w:b/>
          <w:i w:val="0"/>
          <w:color w:val="333333"/>
          <w:sz w:val="20"/>
        </w:rPr>
        <w:t>Certificate pinning in the POS application</w:t>
      </w:r>
      <w:r>
        <w:rPr>
          <w:rFonts w:ascii="Calibri" w:hAnsi="Calibri"/>
          <w:b w:val="0"/>
          <w:i w:val="0"/>
          <w:color w:val="333333"/>
          <w:sz w:val="20"/>
        </w:rPr>
        <w:t>, defeating interception by a rogue proxy on a hostile mobile network.</w:t>
      </w:r>
    </w:p>
    <w:p>
      <w:pPr>
        <w:spacing w:after="40"/>
        <w:ind w:left="312" w:hanging="198"/>
      </w:pPr>
      <w:r>
        <w:rPr>
          <w:rFonts w:ascii="Calibri" w:hAnsi="Calibri"/>
          <w:b w:val="0"/>
          <w:color w:val="2C5F8A"/>
          <w:sz w:val="20"/>
        </w:rPr>
        <w:t xml:space="preserve">•  </w:t>
      </w:r>
      <w:r>
        <w:rPr>
          <w:rFonts w:ascii="Calibri" w:hAnsi="Calibri"/>
          <w:b w:val="0"/>
          <w:i w:val="0"/>
          <w:color w:val="333333"/>
          <w:sz w:val="20"/>
        </w:rPr>
        <w:t>Plaintext HTTP refused, not redirected, on API endpoints. See §12 item H-1.</w:t>
      </w:r>
    </w:p>
    <w:p>
      <w:pPr>
        <w:pStyle w:val="Heading2"/>
        <w:spacing w:before="280" w:after="80"/>
        <w:keepNext/>
      </w:pPr>
      <w:bookmarkStart w:id="122" w:name="_Toc_s021"/>
      <w:r>
        <w:rPr>
          <w:rFonts w:ascii="Calibri" w:hAnsi="Calibri"/>
          <w:b/>
          <w:color w:val="1B3A5C"/>
          <w:sz w:val="24"/>
        </w:rPr>
        <w:t>6.3 Encryption at rest</w:t>
      </w:r>
      <w:bookmarkEnd w:id="122"/>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4873"/>
        <w:gridCol w:w="4873"/>
      </w:tblGrid>
      <w:tr>
        <w:trPr>
          <w:tblHeader w:val="true"/>
        </w:trPr>
        <w:tc>
          <w:tcPr>
            <w:tcW w:type="dxa" w:w="4873"/>
            <w:shd w:val="clear" w:fill="1B3A5C"/>
          </w:tcPr>
          <w:p>
            <w:pPr>
              <w:spacing w:before="60" w:after="60"/>
            </w:pPr>
            <w:r>
              <w:rPr>
                <w:rFonts w:ascii="Calibri" w:hAnsi="Calibri"/>
                <w:b/>
                <w:color w:val="FFFFFF"/>
                <w:sz w:val="17"/>
              </w:rPr>
              <w:t>Data</w:t>
            </w:r>
          </w:p>
        </w:tc>
        <w:tc>
          <w:tcPr>
            <w:tcW w:type="dxa" w:w="4873"/>
            <w:shd w:val="clear" w:fill="1B3A5C"/>
          </w:tcPr>
          <w:p>
            <w:pPr>
              <w:spacing w:before="60" w:after="60"/>
            </w:pPr>
            <w:r>
              <w:rPr>
                <w:rFonts w:ascii="Calibri" w:hAnsi="Calibri"/>
                <w:b/>
                <w:color w:val="FFFFFF"/>
                <w:sz w:val="17"/>
              </w:rPr>
              <w:t>Protection</w:t>
            </w:r>
          </w:p>
        </w:tc>
      </w:tr>
      <w:tr>
        <w:tc>
          <w:tcPr>
            <w:tcW w:type="dxa" w:w="4873"/>
          </w:tcPr>
          <w:p>
            <w:pPr>
              <w:spacing w:before="40" w:after="40"/>
            </w:pPr>
            <w:r>
              <w:rPr>
                <w:rFonts w:ascii="Calibri" w:hAnsi="Calibri"/>
                <w:b w:val="0"/>
                <w:i w:val="0"/>
                <w:color w:val="333333"/>
                <w:sz w:val="17"/>
              </w:rPr>
              <w:t>Passwords and PINs</w:t>
            </w:r>
          </w:p>
        </w:tc>
        <w:tc>
          <w:tcPr>
            <w:tcW w:type="dxa" w:w="4873"/>
          </w:tcPr>
          <w:p>
            <w:pPr>
              <w:spacing w:before="40" w:after="40"/>
            </w:pPr>
            <w:r>
              <w:rPr>
                <w:rFonts w:ascii="Calibri" w:hAnsi="Calibri"/>
                <w:b w:val="0"/>
                <w:i w:val="0"/>
                <w:color w:val="333333"/>
                <w:sz w:val="17"/>
              </w:rPr>
              <w:t>bcrypt hash, never encrypted (irreversible by design)</w:t>
            </w:r>
          </w:p>
        </w:tc>
      </w:tr>
      <w:tr>
        <w:tc>
          <w:tcPr>
            <w:tcW w:type="dxa" w:w="4873"/>
            <w:shd w:val="clear" w:fill="F2F6FA"/>
          </w:tcPr>
          <w:p>
            <w:pPr>
              <w:spacing w:before="40" w:after="40"/>
            </w:pPr>
            <w:r>
              <w:rPr>
                <w:rFonts w:ascii="Calibri" w:hAnsi="Calibri"/>
                <w:b w:val="0"/>
                <w:i w:val="0"/>
                <w:color w:val="333333"/>
                <w:sz w:val="17"/>
              </w:rPr>
              <w:t>Integration credentials</w:t>
            </w:r>
          </w:p>
        </w:tc>
        <w:tc>
          <w:tcPr>
            <w:tcW w:type="dxa" w:w="4873"/>
            <w:shd w:val="clear" w:fill="F2F6FA"/>
          </w:tcPr>
          <w:p>
            <w:pPr>
              <w:spacing w:before="40" w:after="40"/>
            </w:pPr>
            <w:r>
              <w:rPr>
                <w:rFonts w:ascii="Calibri" w:hAnsi="Calibri"/>
                <w:b w:val="0"/>
                <w:i w:val="0"/>
                <w:color w:val="333333"/>
                <w:sz w:val="17"/>
              </w:rPr>
              <w:t>Symmetric encryption with the application key, held outside the code repository</w:t>
            </w:r>
          </w:p>
        </w:tc>
      </w:tr>
      <w:tr>
        <w:tc>
          <w:tcPr>
            <w:tcW w:type="dxa" w:w="4873"/>
          </w:tcPr>
          <w:p>
            <w:pPr>
              <w:spacing w:before="40" w:after="40"/>
            </w:pPr>
            <w:r>
              <w:rPr>
                <w:rFonts w:ascii="Calibri" w:hAnsi="Calibri"/>
                <w:b w:val="0"/>
                <w:i w:val="0"/>
                <w:color w:val="333333"/>
                <w:sz w:val="17"/>
              </w:rPr>
              <w:t>Identity images (proposal, CNIB)</w:t>
            </w:r>
          </w:p>
        </w:tc>
        <w:tc>
          <w:tcPr>
            <w:tcW w:type="dxa" w:w="4873"/>
          </w:tcPr>
          <w:p>
            <w:pPr>
              <w:spacing w:before="40" w:after="40"/>
            </w:pPr>
            <w:r>
              <w:rPr>
                <w:rFonts w:ascii="Calibri" w:hAnsi="Calibri"/>
                <w:b w:val="0"/>
                <w:i w:val="0"/>
                <w:color w:val="333333"/>
                <w:sz w:val="17"/>
              </w:rPr>
              <w:t>Encrypted storage volume; non-guessable file names; served only through an authenticated, permission-checked, time-limited link — never a public URL</w:t>
            </w:r>
          </w:p>
        </w:tc>
      </w:tr>
      <w:tr>
        <w:tc>
          <w:tcPr>
            <w:tcW w:type="dxa" w:w="4873"/>
            <w:shd w:val="clear" w:fill="F2F6FA"/>
          </w:tcPr>
          <w:p>
            <w:pPr>
              <w:spacing w:before="40" w:after="40"/>
            </w:pPr>
            <w:r>
              <w:rPr>
                <w:rFonts w:ascii="Calibri" w:hAnsi="Calibri"/>
                <w:b w:val="0"/>
                <w:i w:val="0"/>
                <w:color w:val="333333"/>
                <w:sz w:val="17"/>
              </w:rPr>
              <w:t>Database</w:t>
            </w:r>
          </w:p>
        </w:tc>
        <w:tc>
          <w:tcPr>
            <w:tcW w:type="dxa" w:w="4873"/>
            <w:shd w:val="clear" w:fill="F2F6FA"/>
          </w:tcPr>
          <w:p>
            <w:pPr>
              <w:spacing w:before="40" w:after="40"/>
            </w:pPr>
            <w:r>
              <w:rPr>
                <w:rFonts w:ascii="Calibri" w:hAnsi="Calibri"/>
                <w:b w:val="0"/>
                <w:i w:val="0"/>
                <w:color w:val="333333"/>
                <w:sz w:val="17"/>
              </w:rPr>
              <w:t>Encryption at rest at the volume level; column-level encryption for the most sensitive fields</w:t>
            </w:r>
          </w:p>
        </w:tc>
      </w:tr>
      <w:tr>
        <w:tc>
          <w:tcPr>
            <w:tcW w:type="dxa" w:w="4873"/>
          </w:tcPr>
          <w:p>
            <w:pPr>
              <w:spacing w:before="40" w:after="40"/>
            </w:pPr>
            <w:r>
              <w:rPr>
                <w:rFonts w:ascii="Calibri" w:hAnsi="Calibri"/>
                <w:b w:val="0"/>
                <w:i w:val="0"/>
                <w:color w:val="333333"/>
                <w:sz w:val="17"/>
              </w:rPr>
              <w:t>Backups</w:t>
            </w:r>
          </w:p>
        </w:tc>
        <w:tc>
          <w:tcPr>
            <w:tcW w:type="dxa" w:w="4873"/>
          </w:tcPr>
          <w:p>
            <w:pPr>
              <w:spacing w:before="40" w:after="40"/>
            </w:pPr>
            <w:r>
              <w:rPr>
                <w:rFonts w:ascii="Calibri" w:hAnsi="Calibri"/>
                <w:b w:val="0"/>
                <w:i w:val="0"/>
                <w:color w:val="333333"/>
                <w:sz w:val="17"/>
              </w:rPr>
              <w:t>Encrypted before leaving the server; key held separately from the backups</w:t>
            </w:r>
          </w:p>
        </w:tc>
      </w:tr>
      <w:tr>
        <w:tc>
          <w:tcPr>
            <w:tcW w:type="dxa" w:w="4873"/>
            <w:shd w:val="clear" w:fill="F2F6FA"/>
          </w:tcPr>
          <w:p>
            <w:pPr>
              <w:spacing w:before="40" w:after="40"/>
            </w:pPr>
            <w:r>
              <w:rPr>
                <w:rFonts w:ascii="Calibri" w:hAnsi="Calibri"/>
                <w:b w:val="0"/>
                <w:i w:val="0"/>
                <w:color w:val="333333"/>
                <w:sz w:val="17"/>
              </w:rPr>
              <w:t>POS local database</w:t>
            </w:r>
          </w:p>
        </w:tc>
        <w:tc>
          <w:tcPr>
            <w:tcW w:type="dxa" w:w="4873"/>
            <w:shd w:val="clear" w:fill="F2F6FA"/>
          </w:tcPr>
          <w:p>
            <w:pPr>
              <w:spacing w:before="40" w:after="40"/>
            </w:pPr>
            <w:r>
              <w:rPr>
                <w:rFonts w:ascii="Calibri" w:hAnsi="Calibri"/>
                <w:b w:val="0"/>
                <w:i w:val="0"/>
                <w:color w:val="333333"/>
                <w:sz w:val="17"/>
              </w:rPr>
              <w:t>Application-private storage, encrypted; cleared on logout of the assigned agent; no export path exposed to the device user</w:t>
            </w:r>
          </w:p>
        </w:tc>
      </w:tr>
    </w:tbl>
    <w:p>
      <w:pPr>
        <w:spacing w:after="40"/>
      </w:pPr>
    </w:p>
    <w:p>
      <w:pPr>
        <w:pStyle w:val="Heading2"/>
        <w:spacing w:before="280" w:after="80"/>
        <w:keepNext/>
      </w:pPr>
      <w:bookmarkStart w:id="123" w:name="_Toc_s022"/>
      <w:r>
        <w:rPr>
          <w:rFonts w:ascii="Calibri" w:hAnsi="Calibri"/>
          <w:b/>
          <w:color w:val="1B3A5C"/>
          <w:sz w:val="24"/>
        </w:rPr>
        <w:t>6.4 Data minimisation</w:t>
      </w:r>
      <w:bookmarkEnd w:id="123"/>
    </w:p>
    <w:p>
      <w:pPr>
        <w:spacing w:after="40"/>
        <w:ind w:left="312" w:hanging="198"/>
      </w:pPr>
      <w:r>
        <w:rPr>
          <w:rFonts w:ascii="Calibri" w:hAnsi="Calibri"/>
          <w:b w:val="0"/>
          <w:color w:val="2C5F8A"/>
          <w:sz w:val="20"/>
        </w:rPr>
        <w:t xml:space="preserve">•  </w:t>
      </w:r>
      <w:r>
        <w:rPr>
          <w:rFonts w:ascii="Calibri" w:hAnsi="Calibri"/>
          <w:b w:val="0"/>
          <w:i w:val="0"/>
          <w:color w:val="333333"/>
          <w:sz w:val="20"/>
        </w:rPr>
        <w:t xml:space="preserve">The POS holds only what the assigned collector needs: his/her own clients and collections, and the policy cache required for offline work. </w:t>
      </w:r>
      <w:r>
        <w:rPr>
          <w:rFonts w:ascii="Calibri" w:hAnsi="Calibri"/>
          <w:b/>
          <w:i w:val="0"/>
          <w:color w:val="333333"/>
          <w:sz w:val="20"/>
        </w:rPr>
        <w:t>No terminal ever holds the full customer base.</w:t>
      </w:r>
    </w:p>
    <w:p>
      <w:pPr>
        <w:spacing w:after="40"/>
        <w:ind w:left="312" w:hanging="198"/>
      </w:pPr>
      <w:r>
        <w:rPr>
          <w:rFonts w:ascii="Calibri" w:hAnsi="Calibri"/>
          <w:b w:val="0"/>
          <w:color w:val="2C5F8A"/>
          <w:sz w:val="20"/>
        </w:rPr>
        <w:t xml:space="preserve">•  </w:t>
      </w:r>
      <w:r>
        <w:rPr>
          <w:rFonts w:ascii="Calibri" w:hAnsi="Calibri"/>
          <w:b w:val="0"/>
          <w:i w:val="0"/>
          <w:color w:val="333333"/>
          <w:sz w:val="20"/>
        </w:rPr>
        <w:t>Identity images are uploaded and then removed from the device once acknowledged by the server.</w:t>
      </w:r>
    </w:p>
    <w:p>
      <w:pPr>
        <w:spacing w:after="40"/>
        <w:ind w:left="312" w:hanging="198"/>
      </w:pPr>
      <w:r>
        <w:rPr>
          <w:rFonts w:ascii="Calibri" w:hAnsi="Calibri"/>
          <w:b w:val="0"/>
          <w:color w:val="2C5F8A"/>
          <w:sz w:val="20"/>
        </w:rPr>
        <w:t xml:space="preserve">•  </w:t>
      </w:r>
      <w:r>
        <w:rPr>
          <w:rFonts w:ascii="Calibri" w:hAnsi="Calibri"/>
          <w:b w:val="0"/>
          <w:i w:val="0"/>
          <w:color w:val="333333"/>
          <w:sz w:val="20"/>
        </w:rPr>
        <w:t>Exports contain only the columns required by the report's purpose.</w:t>
      </w:r>
    </w:p>
    <w:p>
      <w:pPr>
        <w:spacing w:after="40"/>
        <w:ind w:left="312" w:hanging="198"/>
      </w:pPr>
      <w:r>
        <w:rPr>
          <w:rFonts w:ascii="Calibri" w:hAnsi="Calibri"/>
          <w:b w:val="0"/>
          <w:color w:val="2C5F8A"/>
          <w:sz w:val="20"/>
        </w:rPr>
        <w:t xml:space="preserve">•  </w:t>
      </w:r>
      <w:r>
        <w:rPr>
          <w:rFonts w:ascii="Calibri" w:hAnsi="Calibri"/>
          <w:b w:val="0"/>
          <w:i w:val="0"/>
          <w:color w:val="333333"/>
          <w:sz w:val="20"/>
        </w:rPr>
        <w:t>Listings mask sensitive identifiers (e.g. CNIB shown partially); full display is a distinct, logged action.</w:t>
      </w:r>
    </w:p>
    <w:p>
      <w:pPr>
        <w:pStyle w:val="Heading2"/>
        <w:spacing w:before="280" w:after="80"/>
        <w:keepNext/>
      </w:pPr>
      <w:bookmarkStart w:id="124" w:name="_Toc_s023"/>
      <w:r>
        <w:rPr>
          <w:rFonts w:ascii="Calibri" w:hAnsi="Calibri"/>
          <w:b/>
          <w:color w:val="1B3A5C"/>
          <w:sz w:val="24"/>
        </w:rPr>
        <w:t>6.5 Personal data and Burkina Faso law</w:t>
      </w:r>
      <w:bookmarkEnd w:id="124"/>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4873"/>
        <w:gridCol w:w="4873"/>
      </w:tblGrid>
      <w:tr>
        <w:trPr>
          <w:tblHeader w:val="true"/>
        </w:trPr>
        <w:tc>
          <w:tcPr>
            <w:tcW w:type="dxa" w:w="4873"/>
            <w:shd w:val="clear" w:fill="1B3A5C"/>
          </w:tcPr>
          <w:p>
            <w:pPr>
              <w:spacing w:before="60" w:after="60"/>
            </w:pPr>
            <w:r>
              <w:rPr>
                <w:rFonts w:ascii="Calibri" w:hAnsi="Calibri"/>
                <w:b/>
                <w:color w:val="FFFFFF"/>
                <w:sz w:val="17"/>
              </w:rPr>
              <w:t>Obligation</w:t>
            </w:r>
          </w:p>
        </w:tc>
        <w:tc>
          <w:tcPr>
            <w:tcW w:type="dxa" w:w="4873"/>
            <w:shd w:val="clear" w:fill="1B3A5C"/>
          </w:tcPr>
          <w:p>
            <w:pPr>
              <w:spacing w:before="60" w:after="60"/>
            </w:pPr>
            <w:r>
              <w:rPr>
                <w:rFonts w:ascii="Calibri" w:hAnsi="Calibri"/>
                <w:b/>
                <w:color w:val="FFFFFF"/>
                <w:sz w:val="17"/>
              </w:rPr>
              <w:t>Response</w:t>
            </w:r>
          </w:p>
        </w:tc>
      </w:tr>
      <w:tr>
        <w:tc>
          <w:tcPr>
            <w:tcW w:type="dxa" w:w="4873"/>
          </w:tcPr>
          <w:p>
            <w:pPr>
              <w:spacing w:before="40" w:after="40"/>
            </w:pPr>
            <w:r>
              <w:rPr>
                <w:rFonts w:ascii="Calibri" w:hAnsi="Calibri"/>
                <w:b w:val="0"/>
                <w:i w:val="0"/>
                <w:color w:val="333333"/>
                <w:sz w:val="17"/>
              </w:rPr>
              <w:t>Declaration of processing to the CIL</w:t>
            </w:r>
          </w:p>
        </w:tc>
        <w:tc>
          <w:tcPr>
            <w:tcW w:type="dxa" w:w="4873"/>
          </w:tcPr>
          <w:p>
            <w:pPr>
              <w:spacing w:before="40" w:after="40"/>
            </w:pPr>
            <w:r>
              <w:rPr>
                <w:rFonts w:ascii="Calibri" w:hAnsi="Calibri"/>
                <w:b/>
                <w:i w:val="0"/>
                <w:color w:val="333333"/>
                <w:sz w:val="17"/>
              </w:rPr>
              <w:t>SUNU is the data controller</w:t>
            </w:r>
            <w:r>
              <w:rPr>
                <w:rFonts w:ascii="Calibri" w:hAnsi="Calibri"/>
                <w:b w:val="0"/>
                <w:i w:val="0"/>
                <w:color w:val="333333"/>
                <w:sz w:val="17"/>
              </w:rPr>
              <w:t xml:space="preserve"> and files the declaration; DBS acts as processor and provides the technical description required</w:t>
            </w:r>
          </w:p>
        </w:tc>
      </w:tr>
      <w:tr>
        <w:tc>
          <w:tcPr>
            <w:tcW w:type="dxa" w:w="4873"/>
            <w:shd w:val="clear" w:fill="F2F6FA"/>
          </w:tcPr>
          <w:p>
            <w:pPr>
              <w:spacing w:before="40" w:after="40"/>
            </w:pPr>
            <w:r>
              <w:rPr>
                <w:rFonts w:ascii="Calibri" w:hAnsi="Calibri"/>
                <w:b w:val="0"/>
                <w:i w:val="0"/>
                <w:color w:val="333333"/>
                <w:sz w:val="17"/>
              </w:rPr>
              <w:t>Lawful basis</w:t>
            </w:r>
          </w:p>
        </w:tc>
        <w:tc>
          <w:tcPr>
            <w:tcW w:type="dxa" w:w="4873"/>
            <w:shd w:val="clear" w:fill="F2F6FA"/>
          </w:tcPr>
          <w:p>
            <w:pPr>
              <w:spacing w:before="40" w:after="40"/>
            </w:pPr>
            <w:r>
              <w:rPr>
                <w:rFonts w:ascii="Calibri" w:hAnsi="Calibri"/>
                <w:b w:val="0"/>
                <w:i w:val="0"/>
                <w:color w:val="333333"/>
                <w:sz w:val="17"/>
              </w:rPr>
              <w:t>Performance of the insurance contract and pre-contractual steps</w:t>
            </w:r>
          </w:p>
        </w:tc>
      </w:tr>
      <w:tr>
        <w:tc>
          <w:tcPr>
            <w:tcW w:type="dxa" w:w="4873"/>
          </w:tcPr>
          <w:p>
            <w:pPr>
              <w:spacing w:before="40" w:after="40"/>
            </w:pPr>
            <w:r>
              <w:rPr>
                <w:rFonts w:ascii="Calibri" w:hAnsi="Calibri"/>
                <w:b w:val="0"/>
                <w:i w:val="0"/>
                <w:color w:val="333333"/>
                <w:sz w:val="17"/>
              </w:rPr>
              <w:t>Information of the data subject</w:t>
            </w:r>
          </w:p>
        </w:tc>
        <w:tc>
          <w:tcPr>
            <w:tcW w:type="dxa" w:w="4873"/>
          </w:tcPr>
          <w:p>
            <w:pPr>
              <w:spacing w:before="40" w:after="40"/>
            </w:pPr>
            <w:r>
              <w:rPr>
                <w:rFonts w:ascii="Calibri" w:hAnsi="Calibri"/>
                <w:b w:val="0"/>
                <w:i w:val="0"/>
                <w:color w:val="333333"/>
                <w:sz w:val="17"/>
              </w:rPr>
              <w:t>Notice on the proposal form and a summary mention on the receipt</w:t>
            </w:r>
          </w:p>
        </w:tc>
      </w:tr>
      <w:tr>
        <w:tc>
          <w:tcPr>
            <w:tcW w:type="dxa" w:w="4873"/>
            <w:shd w:val="clear" w:fill="F2F6FA"/>
          </w:tcPr>
          <w:p>
            <w:pPr>
              <w:spacing w:before="40" w:after="40"/>
            </w:pPr>
            <w:r>
              <w:rPr>
                <w:rFonts w:ascii="Calibri" w:hAnsi="Calibri"/>
                <w:b w:val="0"/>
                <w:i w:val="0"/>
                <w:color w:val="333333"/>
                <w:sz w:val="17"/>
              </w:rPr>
              <w:t>Rights of access, rectification, erasure</w:t>
            </w:r>
          </w:p>
        </w:tc>
        <w:tc>
          <w:tcPr>
            <w:tcW w:type="dxa" w:w="4873"/>
            <w:shd w:val="clear" w:fill="F2F6FA"/>
          </w:tcPr>
          <w:p>
            <w:pPr>
              <w:spacing w:before="40" w:after="40"/>
            </w:pPr>
            <w:r>
              <w:rPr>
                <w:rFonts w:ascii="Calibri" w:hAnsi="Calibri"/>
                <w:b w:val="0"/>
                <w:i w:val="0"/>
                <w:color w:val="333333"/>
                <w:sz w:val="17"/>
              </w:rPr>
              <w:t>Back-office procedure documented in Document 3; requests tracked and answered within the legal period</w:t>
            </w:r>
          </w:p>
        </w:tc>
      </w:tr>
      <w:tr>
        <w:tc>
          <w:tcPr>
            <w:tcW w:type="dxa" w:w="4873"/>
          </w:tcPr>
          <w:p>
            <w:pPr>
              <w:spacing w:before="40" w:after="40"/>
            </w:pPr>
            <w:r>
              <w:rPr>
                <w:rFonts w:ascii="Calibri" w:hAnsi="Calibri"/>
                <w:b w:val="0"/>
                <w:i w:val="0"/>
                <w:color w:val="333333"/>
                <w:sz w:val="17"/>
              </w:rPr>
              <w:t>Retention limits</w:t>
            </w:r>
          </w:p>
        </w:tc>
        <w:tc>
          <w:tcPr>
            <w:tcW w:type="dxa" w:w="4873"/>
          </w:tcPr>
          <w:p>
            <w:pPr>
              <w:spacing w:before="40" w:after="40"/>
            </w:pPr>
            <w:r>
              <w:rPr>
                <w:rFonts w:ascii="Calibri" w:hAnsi="Calibri"/>
                <w:b w:val="0"/>
                <w:i w:val="0"/>
                <w:color w:val="333333"/>
                <w:sz w:val="17"/>
              </w:rPr>
              <w:t>Enforced per Document 1 §5.4; automated archival and purge jobs</w:t>
            </w:r>
          </w:p>
        </w:tc>
      </w:tr>
      <w:tr>
        <w:tc>
          <w:tcPr>
            <w:tcW w:type="dxa" w:w="4873"/>
            <w:shd w:val="clear" w:fill="F2F6FA"/>
          </w:tcPr>
          <w:p>
            <w:pPr>
              <w:spacing w:before="40" w:after="40"/>
            </w:pPr>
            <w:r>
              <w:rPr>
                <w:rFonts w:ascii="Calibri" w:hAnsi="Calibri"/>
                <w:b w:val="0"/>
                <w:i w:val="0"/>
                <w:color w:val="333333"/>
                <w:sz w:val="17"/>
              </w:rPr>
              <w:t>Processor obligations</w:t>
            </w:r>
          </w:p>
        </w:tc>
        <w:tc>
          <w:tcPr>
            <w:tcW w:type="dxa" w:w="4873"/>
            <w:shd w:val="clear" w:fill="F2F6FA"/>
          </w:tcPr>
          <w:p>
            <w:pPr>
              <w:spacing w:before="40" w:after="40"/>
            </w:pPr>
            <w:r>
              <w:rPr>
                <w:rFonts w:ascii="Calibri" w:hAnsi="Calibri"/>
                <w:b w:val="0"/>
                <w:i w:val="0"/>
                <w:color w:val="333333"/>
                <w:sz w:val="17"/>
              </w:rPr>
              <w:t>Data-processing agreement between SUNU and DBS covering confidentiality, sub-processors, breach notification, return/destruction on termination</w:t>
            </w:r>
          </w:p>
        </w:tc>
      </w:tr>
      <w:tr>
        <w:tc>
          <w:tcPr>
            <w:tcW w:type="dxa" w:w="4873"/>
          </w:tcPr>
          <w:p>
            <w:pPr>
              <w:spacing w:before="40" w:after="40"/>
            </w:pPr>
            <w:r>
              <w:rPr>
                <w:rFonts w:ascii="Calibri" w:hAnsi="Calibri"/>
                <w:b w:val="0"/>
                <w:i w:val="0"/>
                <w:color w:val="333333"/>
                <w:sz w:val="17"/>
              </w:rPr>
              <w:t>Cross-border transfer</w:t>
            </w:r>
          </w:p>
        </w:tc>
        <w:tc>
          <w:tcPr>
            <w:tcW w:type="dxa" w:w="4873"/>
          </w:tcPr>
          <w:p>
            <w:pPr>
              <w:spacing w:before="40" w:after="40"/>
            </w:pPr>
            <w:r>
              <w:rPr>
                <w:rFonts w:ascii="Calibri" w:hAnsi="Calibri"/>
                <w:b w:val="0"/>
                <w:i w:val="0"/>
                <w:color w:val="333333"/>
                <w:sz w:val="17"/>
              </w:rPr>
              <w:t>Depends on the hosting decision (Doc 1, OP-5). If hosting is outside Burkina Faso, the transfer must be covered in the CIL declaration and by contractual clauses</w:t>
            </w:r>
          </w:p>
        </w:tc>
      </w:tr>
    </w:tbl>
    <w:p>
      <w:pPr>
        <w:spacing w:after="40"/>
      </w:pPr>
    </w:p>
    <w:p>
      <w:pPr>
        <w:pStyle w:val="Heading2"/>
        <w:spacing w:before="280" w:after="80"/>
        <w:keepNext/>
      </w:pPr>
      <w:bookmarkStart w:id="125" w:name="_Toc_s024"/>
      <w:r>
        <w:rPr>
          <w:rFonts w:ascii="Calibri" w:hAnsi="Calibri"/>
          <w:b/>
          <w:color w:val="1B3A5C"/>
          <w:sz w:val="24"/>
        </w:rPr>
        <w:t>6.6 Biometric data (optional capability)</w:t>
      </w:r>
      <w:bookmarkEnd w:id="125"/>
    </w:p>
    <w:p>
      <w:r>
        <w:rPr>
          <w:rFonts w:ascii="Calibri" w:hAnsi="Calibri"/>
          <w:b w:val="0"/>
          <w:i w:val="0"/>
          <w:color w:val="333333"/>
          <w:sz w:val="20"/>
        </w:rPr>
        <w:t xml:space="preserve">The platform supports fingerprint capture and verification. </w:t>
      </w:r>
      <w:r>
        <w:rPr>
          <w:rFonts w:ascii="Calibri" w:hAnsi="Calibri"/>
          <w:b/>
          <w:i w:val="0"/>
          <w:color w:val="333333"/>
          <w:sz w:val="20"/>
        </w:rPr>
        <w:t>For SUNU this is an option, not a default.</w:t>
      </w:r>
      <w:r>
        <w:rPr>
          <w:rFonts w:ascii="Calibri" w:hAnsi="Calibri"/>
          <w:b w:val="0"/>
          <w:i w:val="0"/>
          <w:color w:val="333333"/>
          <w:sz w:val="20"/>
        </w:rPr>
        <w:t xml:space="preserve"> If SUNU activates it:</w:t>
      </w:r>
    </w:p>
    <w:p>
      <w:pPr>
        <w:spacing w:after="40"/>
        <w:ind w:left="312" w:hanging="198"/>
      </w:pPr>
      <w:r>
        <w:rPr>
          <w:rFonts w:ascii="Calibri" w:hAnsi="Calibri"/>
          <w:b w:val="0"/>
          <w:color w:val="2C5F8A"/>
          <w:sz w:val="20"/>
        </w:rPr>
        <w:t xml:space="preserve">•  </w:t>
      </w:r>
      <w:r>
        <w:rPr>
          <w:rFonts w:ascii="Calibri" w:hAnsi="Calibri"/>
          <w:b w:val="0"/>
          <w:i w:val="0"/>
          <w:color w:val="333333"/>
          <w:sz w:val="20"/>
        </w:rPr>
        <w:t xml:space="preserve">Only a </w:t>
      </w:r>
      <w:r>
        <w:rPr>
          <w:rFonts w:ascii="Calibri" w:hAnsi="Calibri"/>
          <w:b/>
          <w:i w:val="0"/>
          <w:color w:val="333333"/>
          <w:sz w:val="20"/>
        </w:rPr>
        <w:t>mathematical template</w:t>
      </w:r>
      <w:r>
        <w:rPr>
          <w:rFonts w:ascii="Calibri" w:hAnsi="Calibri"/>
          <w:b w:val="0"/>
          <w:i w:val="0"/>
          <w:color w:val="333333"/>
          <w:sz w:val="20"/>
        </w:rPr>
        <w:t xml:space="preserve"> is stored, never a fingerprint image; the template is not reversible into an image.</w:t>
      </w:r>
    </w:p>
    <w:p>
      <w:pPr>
        <w:spacing w:after="40"/>
        <w:ind w:left="312" w:hanging="198"/>
      </w:pPr>
      <w:r>
        <w:rPr>
          <w:rFonts w:ascii="Calibri" w:hAnsi="Calibri"/>
          <w:b w:val="0"/>
          <w:color w:val="2C5F8A"/>
          <w:sz w:val="20"/>
        </w:rPr>
        <w:t xml:space="preserve">•  </w:t>
      </w:r>
      <w:r>
        <w:rPr>
          <w:rFonts w:ascii="Calibri" w:hAnsi="Calibri"/>
          <w:b w:val="0"/>
          <w:i w:val="0"/>
          <w:color w:val="333333"/>
          <w:sz w:val="20"/>
        </w:rPr>
        <w:t>The template is C4 data: encrypted, never exported, never displayed, never transmitted to third parties including SUNULIFE.</w:t>
      </w:r>
    </w:p>
    <w:p>
      <w:pPr>
        <w:spacing w:after="40"/>
        <w:ind w:left="312" w:hanging="198"/>
      </w:pPr>
      <w:r>
        <w:rPr>
          <w:rFonts w:ascii="Calibri" w:hAnsi="Calibri"/>
          <w:b w:val="0"/>
          <w:color w:val="2C5F8A"/>
          <w:sz w:val="20"/>
        </w:rPr>
        <w:t xml:space="preserve">•  </w:t>
      </w:r>
      <w:r>
        <w:rPr>
          <w:rFonts w:ascii="Calibri" w:hAnsi="Calibri"/>
          <w:b w:val="0"/>
          <w:i w:val="0"/>
          <w:color w:val="333333"/>
          <w:sz w:val="20"/>
        </w:rPr>
        <w:t>Explicit, informed, written consent from the insured is required, with a non-biometric alternative always available.</w:t>
      </w:r>
    </w:p>
    <w:p>
      <w:pPr>
        <w:spacing w:after="40"/>
        <w:ind w:left="312" w:hanging="198"/>
      </w:pPr>
      <w:r>
        <w:rPr>
          <w:rFonts w:ascii="Calibri" w:hAnsi="Calibri"/>
          <w:b w:val="0"/>
          <w:color w:val="2C5F8A"/>
          <w:sz w:val="20"/>
        </w:rPr>
        <w:t xml:space="preserve">•  </w:t>
      </w:r>
      <w:r>
        <w:rPr>
          <w:rFonts w:ascii="Calibri" w:hAnsi="Calibri"/>
          <w:b w:val="0"/>
          <w:i w:val="0"/>
          <w:color w:val="333333"/>
          <w:sz w:val="20"/>
        </w:rPr>
        <w:t>It requires a specific CIL declaration by SUNU, biometric data being a sensitive category.</w:t>
      </w:r>
    </w:p>
    <w:p>
      <w:pPr>
        <w:spacing w:after="40"/>
        <w:ind w:left="312" w:hanging="198"/>
      </w:pPr>
      <w:r>
        <w:rPr>
          <w:rFonts w:ascii="Calibri" w:hAnsi="Calibri"/>
          <w:b w:val="0"/>
          <w:color w:val="2C5F8A"/>
          <w:sz w:val="20"/>
        </w:rPr>
        <w:t xml:space="preserve">•  </w:t>
      </w:r>
      <w:r>
        <w:rPr>
          <w:rFonts w:ascii="Calibri" w:hAnsi="Calibri"/>
          <w:b w:val="0"/>
          <w:i w:val="0"/>
          <w:color w:val="333333"/>
          <w:sz w:val="20"/>
        </w:rPr>
        <w:t xml:space="preserve">Recommendation: </w:t>
      </w:r>
      <w:r>
        <w:rPr>
          <w:rFonts w:ascii="Calibri" w:hAnsi="Calibri"/>
          <w:b/>
          <w:i w:val="0"/>
          <w:color w:val="333333"/>
          <w:sz w:val="20"/>
        </w:rPr>
        <w:t>do not enable biometrics for the pilot.</w:t>
      </w:r>
      <w:r>
        <w:rPr>
          <w:rFonts w:ascii="Calibri" w:hAnsi="Calibri"/>
          <w:b w:val="0"/>
          <w:i w:val="0"/>
          <w:color w:val="333333"/>
          <w:sz w:val="20"/>
        </w:rPr>
        <w:t xml:space="preserve"> It adds legal and consent complexity for no gain over card + QR at this stage. Revisit once the solution is in production.</w:t>
      </w:r>
    </w:p>
    <w:p>
      <w:pPr>
        <w:pStyle w:val="Heading1"/>
        <w:pageBreakBefore/>
        <w:spacing w:before="360" w:after="80"/>
        <w:keepNext/>
        <w:pBdr>
          <w:bottom w:val="single" w:sz="8" w:space="6" w:color="1B3A5C"/>
        </w:pBdr>
      </w:pPr>
      <w:bookmarkStart w:id="126" w:name="_Toc_s025"/>
      <w:r>
        <w:rPr>
          <w:rFonts w:ascii="Calibri" w:hAnsi="Calibri"/>
          <w:b/>
          <w:color w:val="1B3A5C"/>
          <w:sz w:val="30"/>
        </w:rPr>
        <w:t>7. Card and Virtual Card Security</w:t>
      </w:r>
      <w:bookmarkEnd w:id="126"/>
    </w:p>
    <w:p>
      <w:pPr>
        <w:pStyle w:val="Heading2"/>
        <w:spacing w:before="280" w:after="80"/>
        <w:keepNext/>
      </w:pPr>
      <w:bookmarkStart w:id="127" w:name="_Toc_s026"/>
      <w:r>
        <w:rPr>
          <w:rFonts w:ascii="Calibri" w:hAnsi="Calibri"/>
          <w:b/>
          <w:color w:val="1B3A5C"/>
          <w:sz w:val="24"/>
        </w:rPr>
        <w:t>7.1 Core security property</w:t>
      </w:r>
      <w:bookmarkEnd w:id="127"/>
    </w:p>
    <w:p>
      <w:r>
        <w:rPr>
          <w:rFonts w:ascii="Calibri" w:hAnsi="Calibri"/>
          <w:b/>
          <w:i w:val="0"/>
          <w:color w:val="333333"/>
          <w:sz w:val="20"/>
        </w:rPr>
        <w:t>A SUNU card is an identity token, not a payment instrument.</w:t>
      </w:r>
      <w:r>
        <w:rPr>
          <w:rFonts w:ascii="Calibri" w:hAnsi="Calibri"/>
          <w:b w:val="0"/>
          <w:i w:val="0"/>
          <w:color w:val="333333"/>
          <w:sz w:val="20"/>
        </w:rPr>
        <w:t xml:space="preserve"> It carries no balance, stores no money, holds no bank credential, and cannot by itself authorise any debit. Presenting a card causes the terminal to </w:t>
      </w:r>
      <w:r>
        <w:rPr>
          <w:rFonts w:ascii="Calibri" w:hAnsi="Calibri"/>
          <w:b w:val="0"/>
          <w:i/>
          <w:color w:val="333333"/>
          <w:sz w:val="20"/>
        </w:rPr>
        <w:t>look up</w:t>
      </w:r>
      <w:r>
        <w:rPr>
          <w:rFonts w:ascii="Calibri" w:hAnsi="Calibri"/>
          <w:b w:val="0"/>
          <w:i w:val="0"/>
          <w:color w:val="333333"/>
          <w:sz w:val="20"/>
        </w:rPr>
        <w:t xml:space="preserve"> an insured and display their policies. Money only moves when an authenticated collector records a collection. This single design choice removes the entire class of "stolen card = stolen money" risk.</w:t>
      </w:r>
    </w:p>
    <w:p>
      <w:pPr>
        <w:pStyle w:val="Heading2"/>
        <w:spacing w:before="280" w:after="80"/>
        <w:keepNext/>
      </w:pPr>
      <w:bookmarkStart w:id="128" w:name="_Toc_s027"/>
      <w:r>
        <w:rPr>
          <w:rFonts w:ascii="Calibri" w:hAnsi="Calibri"/>
          <w:b/>
          <w:color w:val="1B3A5C"/>
          <w:sz w:val="24"/>
        </w:rPr>
        <w:t>7.2 Physical card controls</w:t>
      </w:r>
      <w:bookmarkEnd w:id="128"/>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4873"/>
        <w:gridCol w:w="4873"/>
      </w:tblGrid>
      <w:tr>
        <w:trPr>
          <w:tblHeader w:val="true"/>
        </w:trPr>
        <w:tc>
          <w:tcPr>
            <w:tcW w:type="dxa" w:w="4873"/>
            <w:shd w:val="clear" w:fill="1B3A5C"/>
          </w:tcPr>
          <w:p>
            <w:pPr>
              <w:spacing w:before="60" w:after="60"/>
            </w:pPr>
            <w:r>
              <w:rPr>
                <w:rFonts w:ascii="Calibri" w:hAnsi="Calibri"/>
                <w:b/>
                <w:color w:val="FFFFFF"/>
                <w:sz w:val="17"/>
              </w:rPr>
              <w:t>Control</w:t>
            </w:r>
          </w:p>
        </w:tc>
        <w:tc>
          <w:tcPr>
            <w:tcW w:type="dxa" w:w="4873"/>
            <w:shd w:val="clear" w:fill="1B3A5C"/>
          </w:tcPr>
          <w:p>
            <w:pPr>
              <w:spacing w:before="60" w:after="60"/>
            </w:pPr>
            <w:r>
              <w:rPr>
                <w:rFonts w:ascii="Calibri" w:hAnsi="Calibri"/>
                <w:b/>
                <w:color w:val="FFFFFF"/>
                <w:sz w:val="17"/>
              </w:rPr>
              <w:t>Implementation</w:t>
            </w:r>
          </w:p>
        </w:tc>
      </w:tr>
      <w:tr>
        <w:tc>
          <w:tcPr>
            <w:tcW w:type="dxa" w:w="4873"/>
          </w:tcPr>
          <w:p>
            <w:pPr>
              <w:spacing w:before="40" w:after="40"/>
            </w:pPr>
            <w:r>
              <w:rPr>
                <w:rFonts w:ascii="Calibri" w:hAnsi="Calibri"/>
                <w:b w:val="0"/>
                <w:i w:val="0"/>
                <w:color w:val="333333"/>
                <w:sz w:val="17"/>
              </w:rPr>
              <w:t>Content written</w:t>
            </w:r>
          </w:p>
        </w:tc>
        <w:tc>
          <w:tcPr>
            <w:tcW w:type="dxa" w:w="4873"/>
          </w:tcPr>
          <w:p>
            <w:pPr>
              <w:spacing w:before="40" w:after="40"/>
            </w:pPr>
            <w:r>
              <w:rPr>
                <w:rFonts w:ascii="Calibri" w:hAnsi="Calibri"/>
                <w:b w:val="0"/>
                <w:i w:val="0"/>
                <w:color w:val="333333"/>
                <w:sz w:val="17"/>
              </w:rPr>
              <w:t xml:space="preserve">Card identifier, insured reference, policy slots. </w:t>
            </w:r>
            <w:r>
              <w:rPr>
                <w:rFonts w:ascii="Calibri" w:hAnsi="Calibri"/>
                <w:b/>
                <w:i w:val="0"/>
                <w:color w:val="333333"/>
                <w:sz w:val="17"/>
              </w:rPr>
              <w:t>No CNIB, no address, no amounts, no PIN</w:t>
            </w:r>
          </w:p>
        </w:tc>
      </w:tr>
      <w:tr>
        <w:tc>
          <w:tcPr>
            <w:tcW w:type="dxa" w:w="4873"/>
            <w:shd w:val="clear" w:fill="F2F6FA"/>
          </w:tcPr>
          <w:p>
            <w:pPr>
              <w:spacing w:before="40" w:after="40"/>
            </w:pPr>
            <w:r>
              <w:rPr>
                <w:rFonts w:ascii="Calibri" w:hAnsi="Calibri"/>
                <w:b w:val="0"/>
                <w:i w:val="0"/>
                <w:color w:val="333333"/>
                <w:sz w:val="17"/>
              </w:rPr>
              <w:t>Printed content</w:t>
            </w:r>
          </w:p>
        </w:tc>
        <w:tc>
          <w:tcPr>
            <w:tcW w:type="dxa" w:w="4873"/>
            <w:shd w:val="clear" w:fill="F2F6FA"/>
          </w:tcPr>
          <w:p>
            <w:pPr>
              <w:spacing w:before="40" w:after="40"/>
            </w:pPr>
            <w:r>
              <w:rPr>
                <w:rFonts w:ascii="Calibri" w:hAnsi="Calibri"/>
                <w:b w:val="0"/>
                <w:i w:val="0"/>
                <w:color w:val="333333"/>
                <w:sz w:val="17"/>
              </w:rPr>
              <w:t>SUNU branding, insured's last and first name, card number, expiry — as required by the TdR</w:t>
            </w:r>
          </w:p>
        </w:tc>
      </w:tr>
      <w:tr>
        <w:tc>
          <w:tcPr>
            <w:tcW w:type="dxa" w:w="4873"/>
          </w:tcPr>
          <w:p>
            <w:pPr>
              <w:spacing w:before="40" w:after="40"/>
            </w:pPr>
            <w:r>
              <w:rPr>
                <w:rFonts w:ascii="Calibri" w:hAnsi="Calibri"/>
                <w:b w:val="0"/>
                <w:i w:val="0"/>
                <w:color w:val="333333"/>
                <w:sz w:val="17"/>
              </w:rPr>
              <w:t>Clone resistance</w:t>
            </w:r>
          </w:p>
        </w:tc>
        <w:tc>
          <w:tcPr>
            <w:tcW w:type="dxa" w:w="4873"/>
          </w:tcPr>
          <w:p>
            <w:pPr>
              <w:spacing w:before="40" w:after="40"/>
            </w:pPr>
            <w:r>
              <w:rPr>
                <w:rFonts w:ascii="Calibri" w:hAnsi="Calibri"/>
                <w:b w:val="0"/>
                <w:i w:val="0"/>
                <w:color w:val="333333"/>
                <w:sz w:val="17"/>
              </w:rPr>
              <w:t>Contactless cards with per-card keys strongly recommended over magnetic stripe, which is trivially cloneable (Doc 1 §7.2, open point OP-3)</w:t>
            </w:r>
          </w:p>
        </w:tc>
      </w:tr>
      <w:tr>
        <w:tc>
          <w:tcPr>
            <w:tcW w:type="dxa" w:w="4873"/>
            <w:shd w:val="clear" w:fill="F2F6FA"/>
          </w:tcPr>
          <w:p>
            <w:pPr>
              <w:spacing w:before="40" w:after="40"/>
            </w:pPr>
            <w:r>
              <w:rPr>
                <w:rFonts w:ascii="Calibri" w:hAnsi="Calibri"/>
                <w:b w:val="0"/>
                <w:i w:val="0"/>
                <w:color w:val="333333"/>
                <w:sz w:val="17"/>
              </w:rPr>
              <w:t>Lifecycle</w:t>
            </w:r>
          </w:p>
        </w:tc>
        <w:tc>
          <w:tcPr>
            <w:tcW w:type="dxa" w:w="4873"/>
            <w:shd w:val="clear" w:fill="F2F6FA"/>
          </w:tcPr>
          <w:p>
            <w:pPr>
              <w:spacing w:before="40" w:after="40"/>
            </w:pPr>
            <w:r>
              <w:rPr>
                <w:rFonts w:ascii="Calibri" w:hAnsi="Calibri"/>
                <w:b w:val="0"/>
                <w:i w:val="0"/>
                <w:color w:val="333333"/>
                <w:sz w:val="17"/>
              </w:rPr>
              <w:t>Full status model with blocking reason, timestamps, and replacement chain; a replaced card is permanently unusable</w:t>
            </w:r>
          </w:p>
        </w:tc>
      </w:tr>
      <w:tr>
        <w:tc>
          <w:tcPr>
            <w:tcW w:type="dxa" w:w="4873"/>
          </w:tcPr>
          <w:p>
            <w:pPr>
              <w:spacing w:before="40" w:after="40"/>
            </w:pPr>
            <w:r>
              <w:rPr>
                <w:rFonts w:ascii="Calibri" w:hAnsi="Calibri"/>
                <w:b w:val="0"/>
                <w:i w:val="0"/>
                <w:color w:val="333333"/>
                <w:sz w:val="17"/>
              </w:rPr>
              <w:t>Blocking</w:t>
            </w:r>
          </w:p>
        </w:tc>
        <w:tc>
          <w:tcPr>
            <w:tcW w:type="dxa" w:w="4873"/>
          </w:tcPr>
          <w:p>
            <w:pPr>
              <w:spacing w:before="40" w:after="40"/>
            </w:pPr>
            <w:r>
              <w:rPr>
                <w:rFonts w:ascii="Calibri" w:hAnsi="Calibri"/>
                <w:b w:val="0"/>
                <w:i w:val="0"/>
                <w:color w:val="333333"/>
                <w:sz w:val="17"/>
              </w:rPr>
              <w:t>Immediate in the back office; propagated to terminals on the next sync and enforced server-side at once</w:t>
            </w:r>
          </w:p>
        </w:tc>
      </w:tr>
      <w:tr>
        <w:tc>
          <w:tcPr>
            <w:tcW w:type="dxa" w:w="4873"/>
            <w:shd w:val="clear" w:fill="F2F6FA"/>
          </w:tcPr>
          <w:p>
            <w:pPr>
              <w:spacing w:before="40" w:after="40"/>
            </w:pPr>
            <w:r>
              <w:rPr>
                <w:rFonts w:ascii="Calibri" w:hAnsi="Calibri"/>
                <w:b w:val="0"/>
                <w:i w:val="0"/>
                <w:color w:val="333333"/>
                <w:sz w:val="17"/>
              </w:rPr>
              <w:t>Stock control</w:t>
            </w:r>
          </w:p>
        </w:tc>
        <w:tc>
          <w:tcPr>
            <w:tcW w:type="dxa" w:w="4873"/>
            <w:shd w:val="clear" w:fill="F2F6FA"/>
          </w:tcPr>
          <w:p>
            <w:pPr>
              <w:spacing w:before="40" w:after="40"/>
            </w:pPr>
            <w:r>
              <w:rPr>
                <w:rFonts w:ascii="Calibri" w:hAnsi="Calibri"/>
                <w:b w:val="0"/>
                <w:i w:val="0"/>
                <w:color w:val="333333"/>
                <w:sz w:val="17"/>
              </w:rPr>
              <w:t>Blank cards are inventoried; each card number is traceable from stock to insured; periodic stock count reconciled against issuance records</w:t>
            </w:r>
          </w:p>
        </w:tc>
      </w:tr>
      <w:tr>
        <w:tc>
          <w:tcPr>
            <w:tcW w:type="dxa" w:w="4873"/>
          </w:tcPr>
          <w:p>
            <w:pPr>
              <w:spacing w:before="40" w:after="40"/>
            </w:pPr>
            <w:r>
              <w:rPr>
                <w:rFonts w:ascii="Calibri" w:hAnsi="Calibri"/>
                <w:b w:val="0"/>
                <w:i w:val="0"/>
                <w:color w:val="333333"/>
                <w:sz w:val="17"/>
              </w:rPr>
              <w:t>Personalisation station</w:t>
            </w:r>
          </w:p>
        </w:tc>
        <w:tc>
          <w:tcPr>
            <w:tcW w:type="dxa" w:w="4873"/>
          </w:tcPr>
          <w:p>
            <w:pPr>
              <w:spacing w:before="40" w:after="40"/>
            </w:pPr>
            <w:r>
              <w:rPr>
                <w:rFonts w:ascii="Calibri" w:hAnsi="Calibri"/>
                <w:b w:val="0"/>
                <w:i w:val="0"/>
                <w:color w:val="333333"/>
                <w:sz w:val="17"/>
              </w:rPr>
              <w:t>Physically secured, access-controlled, in a SUNU-controlled room; personalisation files are generated per batch, transferred over an internal channel, and deleted after use</w:t>
            </w:r>
          </w:p>
        </w:tc>
      </w:tr>
    </w:tbl>
    <w:p>
      <w:pPr>
        <w:spacing w:after="40"/>
      </w:pPr>
    </w:p>
    <w:p>
      <w:pPr>
        <w:pStyle w:val="Heading2"/>
        <w:spacing w:before="280" w:after="80"/>
        <w:keepNext/>
      </w:pPr>
      <w:bookmarkStart w:id="129" w:name="_Toc_s028"/>
      <w:r>
        <w:rPr>
          <w:rFonts w:ascii="Calibri" w:hAnsi="Calibri"/>
          <w:b/>
          <w:color w:val="1B3A5C"/>
          <w:sz w:val="24"/>
        </w:rPr>
        <w:t>7.3 Virtual card (QR) controls</w:t>
      </w:r>
      <w:bookmarkEnd w:id="129"/>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4873"/>
        <w:gridCol w:w="4873"/>
      </w:tblGrid>
      <w:tr>
        <w:trPr>
          <w:tblHeader w:val="true"/>
        </w:trPr>
        <w:tc>
          <w:tcPr>
            <w:tcW w:type="dxa" w:w="4873"/>
            <w:shd w:val="clear" w:fill="1B3A5C"/>
          </w:tcPr>
          <w:p>
            <w:pPr>
              <w:spacing w:before="60" w:after="60"/>
            </w:pPr>
            <w:r>
              <w:rPr>
                <w:rFonts w:ascii="Calibri" w:hAnsi="Calibri"/>
                <w:b/>
                <w:color w:val="FFFFFF"/>
                <w:sz w:val="17"/>
              </w:rPr>
              <w:t>Control</w:t>
            </w:r>
          </w:p>
        </w:tc>
        <w:tc>
          <w:tcPr>
            <w:tcW w:type="dxa" w:w="4873"/>
            <w:shd w:val="clear" w:fill="1B3A5C"/>
          </w:tcPr>
          <w:p>
            <w:pPr>
              <w:spacing w:before="60" w:after="60"/>
            </w:pPr>
            <w:r>
              <w:rPr>
                <w:rFonts w:ascii="Calibri" w:hAnsi="Calibri"/>
                <w:b/>
                <w:color w:val="FFFFFF"/>
                <w:sz w:val="17"/>
              </w:rPr>
              <w:t>Implementation</w:t>
            </w:r>
          </w:p>
        </w:tc>
      </w:tr>
      <w:tr>
        <w:tc>
          <w:tcPr>
            <w:tcW w:type="dxa" w:w="4873"/>
          </w:tcPr>
          <w:p>
            <w:pPr>
              <w:spacing w:before="40" w:after="40"/>
            </w:pPr>
            <w:r>
              <w:rPr>
                <w:rFonts w:ascii="Calibri" w:hAnsi="Calibri"/>
                <w:b w:val="0"/>
                <w:i w:val="0"/>
                <w:color w:val="333333"/>
                <w:sz w:val="17"/>
              </w:rPr>
              <w:t>Integrity</w:t>
            </w:r>
          </w:p>
        </w:tc>
        <w:tc>
          <w:tcPr>
            <w:tcW w:type="dxa" w:w="4873"/>
          </w:tcPr>
          <w:p>
            <w:pPr>
              <w:spacing w:before="40" w:after="40"/>
            </w:pPr>
            <w:r>
              <w:rPr>
                <w:rFonts w:ascii="Calibri" w:hAnsi="Calibri"/>
                <w:b w:val="0"/>
                <w:i w:val="0"/>
                <w:color w:val="333333"/>
                <w:sz w:val="17"/>
              </w:rPr>
              <w:t>Cryptographically signed payload (HMAC-SHA256 or ECDSA P-256); any alteration invalidates the signature</w:t>
            </w:r>
          </w:p>
        </w:tc>
      </w:tr>
      <w:tr>
        <w:tc>
          <w:tcPr>
            <w:tcW w:type="dxa" w:w="4873"/>
            <w:shd w:val="clear" w:fill="F2F6FA"/>
          </w:tcPr>
          <w:p>
            <w:pPr>
              <w:spacing w:before="40" w:after="40"/>
            </w:pPr>
            <w:r>
              <w:rPr>
                <w:rFonts w:ascii="Calibri" w:hAnsi="Calibri"/>
                <w:b w:val="0"/>
                <w:i w:val="0"/>
                <w:color w:val="333333"/>
                <w:sz w:val="17"/>
              </w:rPr>
              <w:t>Offline verification</w:t>
            </w:r>
          </w:p>
        </w:tc>
        <w:tc>
          <w:tcPr>
            <w:tcW w:type="dxa" w:w="4873"/>
            <w:shd w:val="clear" w:fill="F2F6FA"/>
          </w:tcPr>
          <w:p>
            <w:pPr>
              <w:spacing w:before="40" w:after="40"/>
            </w:pPr>
            <w:r>
              <w:rPr>
                <w:rFonts w:ascii="Calibri" w:hAnsi="Calibri"/>
                <w:b w:val="0"/>
                <w:i w:val="0"/>
                <w:color w:val="333333"/>
                <w:sz w:val="17"/>
              </w:rPr>
              <w:t>The terminal verifies the signature without network access; a forged QR is rejected on the device</w:t>
            </w:r>
          </w:p>
        </w:tc>
      </w:tr>
      <w:tr>
        <w:tc>
          <w:tcPr>
            <w:tcW w:type="dxa" w:w="4873"/>
          </w:tcPr>
          <w:p>
            <w:pPr>
              <w:spacing w:before="40" w:after="40"/>
            </w:pPr>
            <w:r>
              <w:rPr>
                <w:rFonts w:ascii="Calibri" w:hAnsi="Calibri"/>
                <w:b w:val="0"/>
                <w:i w:val="0"/>
                <w:color w:val="333333"/>
                <w:sz w:val="17"/>
              </w:rPr>
              <w:t>Key management</w:t>
            </w:r>
          </w:p>
        </w:tc>
        <w:tc>
          <w:tcPr>
            <w:tcW w:type="dxa" w:w="4873"/>
          </w:tcPr>
          <w:p>
            <w:pPr>
              <w:spacing w:before="40" w:after="40"/>
            </w:pPr>
            <w:r>
              <w:rPr>
                <w:rFonts w:ascii="Calibri" w:hAnsi="Calibri"/>
                <w:b w:val="0"/>
                <w:i w:val="0"/>
                <w:color w:val="333333"/>
                <w:sz w:val="17"/>
              </w:rPr>
              <w:t>Versioned signing key (</w:t>
            </w:r>
            <w:r>
              <w:rPr>
                <w:rFonts w:ascii="Consolas" w:hAnsi="Consolas"/>
                <w:b w:val="0"/>
                <w:i w:val="0"/>
                <w:color w:val="1B3A5C"/>
                <w:sz w:val="16"/>
              </w:rPr>
              <w:t>kid</w:t>
            </w:r>
            <w:r>
              <w:rPr>
                <w:rFonts w:ascii="Calibri" w:hAnsi="Calibri"/>
                <w:b w:val="0"/>
                <w:i w:val="0"/>
                <w:color w:val="333333"/>
                <w:sz w:val="17"/>
              </w:rPr>
              <w:t xml:space="preserve"> in the payload); private/HMAC key held server-side in the credential store; the terminal holds only what it needs to verify; annual rotation, with overlapping validity so cards in circulation keep working</w:t>
            </w:r>
          </w:p>
        </w:tc>
      </w:tr>
      <w:tr>
        <w:tc>
          <w:tcPr>
            <w:tcW w:type="dxa" w:w="4873"/>
            <w:shd w:val="clear" w:fill="F2F6FA"/>
          </w:tcPr>
          <w:p>
            <w:pPr>
              <w:spacing w:before="40" w:after="40"/>
            </w:pPr>
            <w:r>
              <w:rPr>
                <w:rFonts w:ascii="Calibri" w:hAnsi="Calibri"/>
                <w:b w:val="0"/>
                <w:i w:val="0"/>
                <w:color w:val="333333"/>
                <w:sz w:val="17"/>
              </w:rPr>
              <w:t>Expiry</w:t>
            </w:r>
          </w:p>
        </w:tc>
        <w:tc>
          <w:tcPr>
            <w:tcW w:type="dxa" w:w="4873"/>
            <w:shd w:val="clear" w:fill="F2F6FA"/>
          </w:tcPr>
          <w:p>
            <w:pPr>
              <w:spacing w:before="40" w:after="40"/>
            </w:pPr>
            <w:r>
              <w:rPr>
                <w:rFonts w:ascii="Calibri" w:hAnsi="Calibri"/>
                <w:b w:val="0"/>
                <w:i w:val="0"/>
                <w:color w:val="333333"/>
                <w:sz w:val="17"/>
              </w:rPr>
              <w:t>Every credential carries an issue and expiry date; expired QRs are refused</w:t>
            </w:r>
          </w:p>
        </w:tc>
      </w:tr>
      <w:tr>
        <w:tc>
          <w:tcPr>
            <w:tcW w:type="dxa" w:w="4873"/>
          </w:tcPr>
          <w:p>
            <w:pPr>
              <w:spacing w:before="40" w:after="40"/>
            </w:pPr>
            <w:r>
              <w:rPr>
                <w:rFonts w:ascii="Calibri" w:hAnsi="Calibri"/>
                <w:b w:val="0"/>
                <w:i w:val="0"/>
                <w:color w:val="333333"/>
                <w:sz w:val="17"/>
              </w:rPr>
              <w:t>Revocation</w:t>
            </w:r>
          </w:p>
        </w:tc>
        <w:tc>
          <w:tcPr>
            <w:tcW w:type="dxa" w:w="4873"/>
          </w:tcPr>
          <w:p>
            <w:pPr>
              <w:spacing w:before="40" w:after="40"/>
            </w:pPr>
            <w:r>
              <w:rPr>
                <w:rFonts w:ascii="Calibri" w:hAnsi="Calibri"/>
                <w:b w:val="0"/>
                <w:i w:val="0"/>
                <w:color w:val="333333"/>
                <w:sz w:val="17"/>
              </w:rPr>
              <w:t>Revocation list synchronised to terminals at each sync; server-side rejection is immediate</w:t>
            </w:r>
          </w:p>
        </w:tc>
      </w:tr>
      <w:tr>
        <w:tc>
          <w:tcPr>
            <w:tcW w:type="dxa" w:w="4873"/>
            <w:shd w:val="clear" w:fill="F2F6FA"/>
          </w:tcPr>
          <w:p>
            <w:pPr>
              <w:spacing w:before="40" w:after="40"/>
            </w:pPr>
            <w:r>
              <w:rPr>
                <w:rFonts w:ascii="Calibri" w:hAnsi="Calibri"/>
                <w:b w:val="0"/>
                <w:i w:val="0"/>
                <w:color w:val="333333"/>
                <w:sz w:val="17"/>
              </w:rPr>
              <w:t>Anti-replay</w:t>
            </w:r>
          </w:p>
        </w:tc>
        <w:tc>
          <w:tcPr>
            <w:tcW w:type="dxa" w:w="4873"/>
            <w:shd w:val="clear" w:fill="F2F6FA"/>
          </w:tcPr>
          <w:p>
            <w:pPr>
              <w:spacing w:before="40" w:after="40"/>
            </w:pPr>
            <w:r>
              <w:rPr>
                <w:rFonts w:ascii="Calibri" w:hAnsi="Calibri"/>
                <w:b w:val="0"/>
                <w:i w:val="0"/>
                <w:color w:val="333333"/>
                <w:sz w:val="17"/>
              </w:rPr>
              <w:t xml:space="preserve">A QR identifies but never authorises. Even a perfectly copied QR only produces a collection recorded </w:t>
            </w:r>
            <w:r>
              <w:rPr>
                <w:rFonts w:ascii="Calibri" w:hAnsi="Calibri"/>
                <w:b/>
                <w:i w:val="0"/>
                <w:color w:val="333333"/>
                <w:sz w:val="17"/>
              </w:rPr>
              <w:t>in the true insured's name against the true insured's policy</w:t>
            </w:r>
            <w:r>
              <w:rPr>
                <w:rFonts w:ascii="Calibri" w:hAnsi="Calibri"/>
                <w:b w:val="0"/>
                <w:i w:val="0"/>
                <w:color w:val="333333"/>
                <w:sz w:val="17"/>
              </w:rPr>
              <w:t xml:space="preserve"> — there is no fraudulent gain</w:t>
            </w:r>
          </w:p>
        </w:tc>
      </w:tr>
      <w:tr>
        <w:tc>
          <w:tcPr>
            <w:tcW w:type="dxa" w:w="4873"/>
          </w:tcPr>
          <w:p>
            <w:pPr>
              <w:spacing w:before="40" w:after="40"/>
            </w:pPr>
            <w:r>
              <w:rPr>
                <w:rFonts w:ascii="Calibri" w:hAnsi="Calibri"/>
                <w:b w:val="0"/>
                <w:i w:val="0"/>
                <w:color w:val="333333"/>
                <w:sz w:val="17"/>
              </w:rPr>
              <w:t>Distribution</w:t>
            </w:r>
          </w:p>
        </w:tc>
        <w:tc>
          <w:tcPr>
            <w:tcW w:type="dxa" w:w="4873"/>
          </w:tcPr>
          <w:p>
            <w:pPr>
              <w:spacing w:before="40" w:after="40"/>
            </w:pPr>
            <w:r>
              <w:rPr>
                <w:rFonts w:ascii="Calibri" w:hAnsi="Calibri"/>
                <w:b w:val="0"/>
                <w:i w:val="0"/>
                <w:color w:val="333333"/>
                <w:sz w:val="17"/>
              </w:rPr>
              <w:t>Printed on the policy schedule or sent by SMS link; never sent with any secret</w:t>
            </w:r>
          </w:p>
        </w:tc>
      </w:tr>
      <w:tr>
        <w:tc>
          <w:tcPr>
            <w:tcW w:type="dxa" w:w="4873"/>
            <w:shd w:val="clear" w:fill="F2F6FA"/>
          </w:tcPr>
          <w:p>
            <w:pPr>
              <w:spacing w:before="40" w:after="40"/>
            </w:pPr>
            <w:r>
              <w:rPr>
                <w:rFonts w:ascii="Calibri" w:hAnsi="Calibri"/>
                <w:b w:val="0"/>
                <w:i w:val="0"/>
                <w:color w:val="333333"/>
                <w:sz w:val="17"/>
              </w:rPr>
              <w:t>Privacy</w:t>
            </w:r>
          </w:p>
        </w:tc>
        <w:tc>
          <w:tcPr>
            <w:tcW w:type="dxa" w:w="4873"/>
            <w:shd w:val="clear" w:fill="F2F6FA"/>
          </w:tcPr>
          <w:p>
            <w:pPr>
              <w:spacing w:before="40" w:after="40"/>
            </w:pPr>
            <w:r>
              <w:rPr>
                <w:rFonts w:ascii="Calibri" w:hAnsi="Calibri"/>
                <w:b w:val="0"/>
                <w:i w:val="0"/>
                <w:color w:val="333333"/>
                <w:sz w:val="17"/>
              </w:rPr>
              <w:t>The payload contains a reference and a display name — no CNIB, no address, no amount</w:t>
            </w:r>
          </w:p>
        </w:tc>
      </w:tr>
    </w:tbl>
    <w:p>
      <w:pPr>
        <w:spacing w:after="40"/>
      </w:pPr>
    </w:p>
    <w:p>
      <w:pPr>
        <w:pStyle w:val="Heading1"/>
        <w:pageBreakBefore/>
        <w:spacing w:before="360" w:after="80"/>
        <w:keepNext/>
        <w:pBdr>
          <w:bottom w:val="single" w:sz="8" w:space="6" w:color="1B3A5C"/>
        </w:pBdr>
      </w:pPr>
      <w:bookmarkStart w:id="130" w:name="_Toc_s029"/>
      <w:r>
        <w:rPr>
          <w:rFonts w:ascii="Calibri" w:hAnsi="Calibri"/>
          <w:b/>
          <w:color w:val="1B3A5C"/>
          <w:sz w:val="30"/>
        </w:rPr>
        <w:t>8. Financial and Anti-Fraud Controls</w:t>
      </w:r>
      <w:bookmarkEnd w:id="130"/>
    </w:p>
    <w:p>
      <w:r>
        <w:rPr>
          <w:rFonts w:ascii="Calibri" w:hAnsi="Calibri"/>
          <w:b w:val="0"/>
          <w:i w:val="0"/>
          <w:color w:val="333333"/>
          <w:sz w:val="20"/>
        </w:rPr>
        <w:t>This section addresses the highest-priority threat: the dishonest collector (T1).</w:t>
      </w:r>
    </w:p>
    <w:p>
      <w:pPr>
        <w:pStyle w:val="Heading2"/>
        <w:spacing w:before="280" w:after="80"/>
        <w:keepNext/>
      </w:pPr>
      <w:bookmarkStart w:id="131" w:name="_Toc_s030"/>
      <w:r>
        <w:rPr>
          <w:rFonts w:ascii="Calibri" w:hAnsi="Calibri"/>
          <w:b/>
          <w:color w:val="1B3A5C"/>
          <w:sz w:val="24"/>
        </w:rPr>
        <w:t>8.1 Append-only collection ledger</w:t>
      </w:r>
      <w:bookmarkEnd w:id="131"/>
    </w:p>
    <w:p>
      <w:r>
        <w:rPr>
          <w:rFonts w:ascii="Calibri" w:hAnsi="Calibri"/>
          <w:b w:val="0"/>
          <w:i w:val="0"/>
          <w:color w:val="333333"/>
          <w:sz w:val="20"/>
        </w:rPr>
        <w:t xml:space="preserve">Collections and transactions are </w:t>
      </w:r>
      <w:r>
        <w:rPr>
          <w:rFonts w:ascii="Calibri" w:hAnsi="Calibri"/>
          <w:b/>
          <w:i w:val="0"/>
          <w:color w:val="333333"/>
          <w:sz w:val="20"/>
        </w:rPr>
        <w:t>never physically deleted or overwritten</w:t>
      </w:r>
      <w:r>
        <w:rPr>
          <w:rFonts w:ascii="Calibri" w:hAnsi="Calibri"/>
          <w:b w:val="0"/>
          <w:i w:val="0"/>
          <w:color w:val="333333"/>
          <w:sz w:val="20"/>
        </w:rPr>
        <w:t>. A correction is a new, opposite entry, requiring an explicit permission, a mandatory reason, and generating an audit record. Every entry carries a unique reference and a link to its terminal, agent, timestamp and, where available, GPS position.</w:t>
      </w:r>
    </w:p>
    <w:p>
      <w:pPr>
        <w:pStyle w:val="Heading2"/>
        <w:spacing w:before="280" w:after="80"/>
        <w:keepNext/>
      </w:pPr>
      <w:bookmarkStart w:id="132" w:name="_Toc_s031"/>
      <w:r>
        <w:rPr>
          <w:rFonts w:ascii="Calibri" w:hAnsi="Calibri"/>
          <w:b/>
          <w:color w:val="1B3A5C"/>
          <w:sz w:val="24"/>
        </w:rPr>
        <w:t>8.2 Cap and pay-in as a loss ceiling</w:t>
      </w:r>
      <w:bookmarkEnd w:id="132"/>
    </w:p>
    <w:p>
      <w:r>
        <w:rPr>
          <w:rFonts w:ascii="Calibri" w:hAnsi="Calibri"/>
          <w:b w:val="0"/>
          <w:i w:val="0"/>
          <w:color w:val="333333"/>
          <w:sz w:val="20"/>
        </w:rPr>
        <w:t xml:space="preserve">The collector cap (Doc 1 §6.3) is the primary financial control: it </w:t>
      </w:r>
      <w:r>
        <w:rPr>
          <w:rFonts w:ascii="Calibri" w:hAnsi="Calibri"/>
          <w:b/>
          <w:i w:val="0"/>
          <w:color w:val="333333"/>
          <w:sz w:val="20"/>
        </w:rPr>
        <w:t>bounds the maximum amount any single collector can be holding at any moment</w:t>
      </w:r>
      <w:r>
        <w:rPr>
          <w:rFonts w:ascii="Calibri" w:hAnsi="Calibri"/>
          <w:b w:val="0"/>
          <w:i w:val="0"/>
          <w:color w:val="333333"/>
          <w:sz w:val="20"/>
        </w:rPr>
        <w:t>. The terminal enforces it — at the cap, new collections are refused until a pay-in is confirmed. This converts an unbounded fraud exposure into a known, configurable, per-collector limit.</w:t>
      </w:r>
    </w:p>
    <w:p>
      <w:pPr>
        <w:pStyle w:val="Heading2"/>
        <w:spacing w:before="280" w:after="80"/>
        <w:keepNext/>
      </w:pPr>
      <w:bookmarkStart w:id="133" w:name="_Toc_s032"/>
      <w:r>
        <w:rPr>
          <w:rFonts w:ascii="Calibri" w:hAnsi="Calibri"/>
          <w:b/>
          <w:color w:val="1B3A5C"/>
          <w:sz w:val="24"/>
        </w:rPr>
        <w:t>8.3 Segregation of duties on pay-in</w:t>
      </w:r>
      <w:bookmarkEnd w:id="133"/>
    </w:p>
    <w:p>
      <w:pPr>
        <w:spacing w:before="120" w:after="160" w:line="240" w:lineRule="auto"/>
        <w:ind w:left="113"/>
        <w:shd w:val="clear" w:fill="F4F5F2"/>
        <w:pBdr>
          <w:left w:val="single" w:sz="12" w:space="6" w:color="1B3A5C"/>
        </w:pBdr>
      </w:pPr>
      <w:r>
        <w:rPr>
          <w:rFonts w:ascii="Consolas" w:hAnsi="Consolas" w:cs="Consolas"/>
          <w:color w:val="333333"/>
          <w:sz w:val="15"/>
        </w:rPr>
        <w:t xml:space="preserve">   collects  ─────►  COLLECTOR        (may declare, may not confirm)</w:t>
        <w:br/>
      </w:r>
      <w:r>
        <w:rPr>
          <w:rFonts w:ascii="Consolas" w:hAnsi="Consolas" w:cs="Consolas"/>
          <w:color w:val="333333"/>
          <w:sz w:val="15"/>
        </w:rPr>
        <w:t xml:space="preserve">   confirms  ─────►  SUPERVISOR       (may confirm, may not collect)</w:t>
        <w:br/>
      </w:r>
      <w:r>
        <w:rPr>
          <w:rFonts w:ascii="Consolas" w:hAnsi="Consolas" w:cs="Consolas"/>
          <w:color w:val="333333"/>
          <w:sz w:val="15"/>
        </w:rPr>
        <w:t xml:space="preserve">   configures ────►  ADMINISTRATOR    (may set the cap, may do neither)</w:t>
        <w:br/>
      </w:r>
      <w:r>
        <w:rPr>
          <w:rFonts w:ascii="Consolas" w:hAnsi="Consolas" w:cs="Consolas"/>
          <w:color w:val="333333"/>
          <w:sz w:val="15"/>
        </w:rPr>
        <w:t xml:space="preserve">   above threshold ► SECOND APPROVER  (maker-checker, configurable amount)</w:t>
      </w:r>
    </w:p>
    <w:p>
      <w:r>
        <w:rPr>
          <w:rFonts w:ascii="Calibri" w:hAnsi="Calibri"/>
          <w:b w:val="0"/>
          <w:i w:val="0"/>
          <w:color w:val="333333"/>
          <w:sz w:val="20"/>
        </w:rPr>
        <w:t>Confirmation requires evidence: bank reference or deposit-slip image for a bank deposit, cash-office counting record for a cash hand-over. Any variance between declared and confirmed amounts is recorded, attributed and reported — it is never silently absorbed.</w:t>
      </w:r>
    </w:p>
    <w:p>
      <w:pPr>
        <w:pStyle w:val="Heading2"/>
        <w:spacing w:before="280" w:after="80"/>
        <w:keepNext/>
      </w:pPr>
      <w:bookmarkStart w:id="134" w:name="_Toc_s033"/>
      <w:r>
        <w:rPr>
          <w:rFonts w:ascii="Calibri" w:hAnsi="Calibri"/>
          <w:b/>
          <w:color w:val="1B3A5C"/>
          <w:sz w:val="24"/>
        </w:rPr>
        <w:t>8.4 Detection controls</w:t>
      </w:r>
      <w:bookmarkEnd w:id="134"/>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4873"/>
        <w:gridCol w:w="4873"/>
      </w:tblGrid>
      <w:tr>
        <w:trPr>
          <w:tblHeader w:val="true"/>
        </w:trPr>
        <w:tc>
          <w:tcPr>
            <w:tcW w:type="dxa" w:w="4873"/>
            <w:shd w:val="clear" w:fill="1B3A5C"/>
          </w:tcPr>
          <w:p>
            <w:pPr>
              <w:spacing w:before="60" w:after="60"/>
            </w:pPr>
            <w:r>
              <w:rPr>
                <w:rFonts w:ascii="Calibri" w:hAnsi="Calibri"/>
                <w:b/>
                <w:color w:val="FFFFFF"/>
                <w:sz w:val="17"/>
              </w:rPr>
              <w:t>Control</w:t>
            </w:r>
          </w:p>
        </w:tc>
        <w:tc>
          <w:tcPr>
            <w:tcW w:type="dxa" w:w="4873"/>
            <w:shd w:val="clear" w:fill="1B3A5C"/>
          </w:tcPr>
          <w:p>
            <w:pPr>
              <w:spacing w:before="60" w:after="60"/>
            </w:pPr>
            <w:r>
              <w:rPr>
                <w:rFonts w:ascii="Calibri" w:hAnsi="Calibri"/>
                <w:b/>
                <w:color w:val="FFFFFF"/>
                <w:sz w:val="17"/>
              </w:rPr>
              <w:t>Purpose</w:t>
            </w:r>
          </w:p>
        </w:tc>
      </w:tr>
      <w:tr>
        <w:tc>
          <w:tcPr>
            <w:tcW w:type="dxa" w:w="4873"/>
          </w:tcPr>
          <w:p>
            <w:pPr>
              <w:spacing w:before="40" w:after="40"/>
            </w:pPr>
            <w:r>
              <w:rPr>
                <w:rFonts w:ascii="Calibri" w:hAnsi="Calibri"/>
                <w:b w:val="0"/>
                <w:i w:val="0"/>
                <w:color w:val="333333"/>
                <w:sz w:val="17"/>
              </w:rPr>
              <w:t>Sequential receipt numbering per terminal, with automatic gap detection</w:t>
            </w:r>
          </w:p>
        </w:tc>
        <w:tc>
          <w:tcPr>
            <w:tcW w:type="dxa" w:w="4873"/>
          </w:tcPr>
          <w:p>
            <w:pPr>
              <w:spacing w:before="40" w:after="40"/>
            </w:pPr>
            <w:r>
              <w:rPr>
                <w:rFonts w:ascii="Calibri" w:hAnsi="Calibri"/>
                <w:b w:val="0"/>
                <w:i w:val="0"/>
                <w:color w:val="333333"/>
                <w:sz w:val="17"/>
              </w:rPr>
              <w:t>Detects suppressed or destroyed receipts</w:t>
            </w:r>
          </w:p>
        </w:tc>
      </w:tr>
      <w:tr>
        <w:tc>
          <w:tcPr>
            <w:tcW w:type="dxa" w:w="4873"/>
            <w:shd w:val="clear" w:fill="F2F6FA"/>
          </w:tcPr>
          <w:p>
            <w:pPr>
              <w:spacing w:before="40" w:after="40"/>
            </w:pPr>
            <w:r>
              <w:rPr>
                <w:rFonts w:ascii="Calibri" w:hAnsi="Calibri"/>
                <w:b w:val="0"/>
                <w:i w:val="0"/>
                <w:color w:val="333333"/>
                <w:sz w:val="17"/>
              </w:rPr>
              <w:t>SMS confirmation of the collection to the insured's phone</w:t>
            </w:r>
          </w:p>
        </w:tc>
        <w:tc>
          <w:tcPr>
            <w:tcW w:type="dxa" w:w="4873"/>
            <w:shd w:val="clear" w:fill="F2F6FA"/>
          </w:tcPr>
          <w:p>
            <w:pPr>
              <w:spacing w:before="40" w:after="40"/>
            </w:pPr>
            <w:r>
              <w:rPr>
                <w:rFonts w:ascii="Calibri" w:hAnsi="Calibri"/>
                <w:b w:val="0"/>
                <w:i w:val="0"/>
                <w:color w:val="333333"/>
                <w:sz w:val="17"/>
              </w:rPr>
              <w:t>The insured becomes an independent witness to every collection — the strongest single control against TH-1</w:t>
            </w:r>
          </w:p>
        </w:tc>
      </w:tr>
      <w:tr>
        <w:tc>
          <w:tcPr>
            <w:tcW w:type="dxa" w:w="4873"/>
          </w:tcPr>
          <w:p>
            <w:pPr>
              <w:spacing w:before="40" w:after="40"/>
            </w:pPr>
            <w:r>
              <w:rPr>
                <w:rFonts w:ascii="Calibri" w:hAnsi="Calibri"/>
                <w:b w:val="0"/>
                <w:i w:val="0"/>
                <w:color w:val="333333"/>
                <w:sz w:val="17"/>
              </w:rPr>
              <w:t>GPS position on each collection</w:t>
            </w:r>
          </w:p>
        </w:tc>
        <w:tc>
          <w:tcPr>
            <w:tcW w:type="dxa" w:w="4873"/>
          </w:tcPr>
          <w:p>
            <w:pPr>
              <w:spacing w:before="40" w:after="40"/>
            </w:pPr>
            <w:r>
              <w:rPr>
                <w:rFonts w:ascii="Calibri" w:hAnsi="Calibri"/>
                <w:b w:val="0"/>
                <w:i w:val="0"/>
                <w:color w:val="333333"/>
                <w:sz w:val="17"/>
              </w:rPr>
              <w:t>Detects collections recorded far from any plausible client location, or clustered at the collector's home</w:t>
            </w:r>
          </w:p>
        </w:tc>
      </w:tr>
      <w:tr>
        <w:tc>
          <w:tcPr>
            <w:tcW w:type="dxa" w:w="4873"/>
            <w:shd w:val="clear" w:fill="F2F6FA"/>
          </w:tcPr>
          <w:p>
            <w:pPr>
              <w:spacing w:before="40" w:after="40"/>
            </w:pPr>
            <w:r>
              <w:rPr>
                <w:rFonts w:ascii="Calibri" w:hAnsi="Calibri"/>
                <w:b w:val="0"/>
                <w:i w:val="0"/>
                <w:color w:val="333333"/>
                <w:sz w:val="17"/>
              </w:rPr>
              <w:t>Timing analysis</w:t>
            </w:r>
          </w:p>
        </w:tc>
        <w:tc>
          <w:tcPr>
            <w:tcW w:type="dxa" w:w="4873"/>
            <w:shd w:val="clear" w:fill="F2F6FA"/>
          </w:tcPr>
          <w:p>
            <w:pPr>
              <w:spacing w:before="40" w:after="40"/>
            </w:pPr>
            <w:r>
              <w:rPr>
                <w:rFonts w:ascii="Calibri" w:hAnsi="Calibri"/>
                <w:b w:val="0"/>
                <w:i w:val="0"/>
                <w:color w:val="333333"/>
                <w:sz w:val="17"/>
              </w:rPr>
              <w:t>Flags improbable sequences (many collections in seconds, activity at implausible hours)</w:t>
            </w:r>
          </w:p>
        </w:tc>
      </w:tr>
      <w:tr>
        <w:tc>
          <w:tcPr>
            <w:tcW w:type="dxa" w:w="4873"/>
          </w:tcPr>
          <w:p>
            <w:pPr>
              <w:spacing w:before="40" w:after="40"/>
            </w:pPr>
            <w:r>
              <w:rPr>
                <w:rFonts w:ascii="Calibri" w:hAnsi="Calibri"/>
                <w:b w:val="0"/>
                <w:i w:val="0"/>
                <w:color w:val="333333"/>
                <w:sz w:val="17"/>
              </w:rPr>
              <w:t>Ageing of uncollected balances</w:t>
            </w:r>
          </w:p>
        </w:tc>
        <w:tc>
          <w:tcPr>
            <w:tcW w:type="dxa" w:w="4873"/>
          </w:tcPr>
          <w:p>
            <w:pPr>
              <w:spacing w:before="40" w:after="40"/>
            </w:pPr>
            <w:r>
              <w:rPr>
                <w:rFonts w:ascii="Calibri" w:hAnsi="Calibri"/>
                <w:b w:val="0"/>
                <w:i w:val="0"/>
                <w:color w:val="333333"/>
                <w:sz w:val="17"/>
              </w:rPr>
              <w:t>Flags collectors who hold cash longer than the policy allows</w:t>
            </w:r>
          </w:p>
        </w:tc>
      </w:tr>
      <w:tr>
        <w:tc>
          <w:tcPr>
            <w:tcW w:type="dxa" w:w="4873"/>
            <w:shd w:val="clear" w:fill="F2F6FA"/>
          </w:tcPr>
          <w:p>
            <w:pPr>
              <w:spacing w:before="40" w:after="40"/>
            </w:pPr>
            <w:r>
              <w:rPr>
                <w:rFonts w:ascii="Calibri" w:hAnsi="Calibri"/>
                <w:b w:val="0"/>
                <w:i w:val="0"/>
                <w:color w:val="333333"/>
                <w:sz w:val="17"/>
              </w:rPr>
              <w:t>Reconciliation: collections − confirmed pay-ins = uncollected balance</w:t>
            </w:r>
          </w:p>
        </w:tc>
        <w:tc>
          <w:tcPr>
            <w:tcW w:type="dxa" w:w="4873"/>
            <w:shd w:val="clear" w:fill="F2F6FA"/>
          </w:tcPr>
          <w:p>
            <w:pPr>
              <w:spacing w:before="40" w:after="40"/>
            </w:pPr>
            <w:r>
              <w:rPr>
                <w:rFonts w:ascii="Calibri" w:hAnsi="Calibri"/>
                <w:b w:val="0"/>
                <w:i w:val="0"/>
                <w:color w:val="333333"/>
                <w:sz w:val="17"/>
              </w:rPr>
              <w:t>Continuous three-way check</w:t>
            </w:r>
          </w:p>
        </w:tc>
      </w:tr>
      <w:tr>
        <w:tc>
          <w:tcPr>
            <w:tcW w:type="dxa" w:w="4873"/>
          </w:tcPr>
          <w:p>
            <w:pPr>
              <w:spacing w:before="40" w:after="40"/>
            </w:pPr>
            <w:r>
              <w:rPr>
                <w:rFonts w:ascii="Calibri" w:hAnsi="Calibri"/>
                <w:b w:val="0"/>
                <w:i w:val="0"/>
                <w:color w:val="333333"/>
                <w:sz w:val="17"/>
              </w:rPr>
              <w:t>Mobile Money settlement reconciliation</w:t>
            </w:r>
          </w:p>
        </w:tc>
        <w:tc>
          <w:tcPr>
            <w:tcW w:type="dxa" w:w="4873"/>
          </w:tcPr>
          <w:p>
            <w:pPr>
              <w:spacing w:before="40" w:after="40"/>
            </w:pPr>
            <w:r>
              <w:rPr>
                <w:rFonts w:ascii="Calibri" w:hAnsi="Calibri"/>
                <w:b w:val="0"/>
                <w:i w:val="0"/>
                <w:color w:val="333333"/>
                <w:sz w:val="17"/>
              </w:rPr>
              <w:t>No MoMo collection is final until it appears in the provider's settlement file</w:t>
            </w:r>
          </w:p>
        </w:tc>
      </w:tr>
      <w:tr>
        <w:tc>
          <w:tcPr>
            <w:tcW w:type="dxa" w:w="4873"/>
            <w:shd w:val="clear" w:fill="F2F6FA"/>
          </w:tcPr>
          <w:p>
            <w:pPr>
              <w:spacing w:before="40" w:after="40"/>
            </w:pPr>
            <w:r>
              <w:rPr>
                <w:rFonts w:ascii="Calibri" w:hAnsi="Calibri"/>
                <w:b w:val="0"/>
                <w:i w:val="0"/>
                <w:color w:val="333333"/>
                <w:sz w:val="17"/>
              </w:rPr>
              <w:t>Duplicate-reference rejection at database level</w:t>
            </w:r>
          </w:p>
        </w:tc>
        <w:tc>
          <w:tcPr>
            <w:tcW w:type="dxa" w:w="4873"/>
            <w:shd w:val="clear" w:fill="F2F6FA"/>
          </w:tcPr>
          <w:p>
            <w:pPr>
              <w:spacing w:before="40" w:after="40"/>
            </w:pPr>
            <w:r>
              <w:rPr>
                <w:rFonts w:ascii="Calibri" w:hAnsi="Calibri"/>
                <w:b w:val="0"/>
                <w:i w:val="0"/>
                <w:color w:val="333333"/>
                <w:sz w:val="17"/>
              </w:rPr>
              <w:t>Makes double-posting structurally impossible, even under retry</w:t>
            </w:r>
          </w:p>
        </w:tc>
      </w:tr>
      <w:tr>
        <w:tc>
          <w:tcPr>
            <w:tcW w:type="dxa" w:w="4873"/>
          </w:tcPr>
          <w:p>
            <w:pPr>
              <w:spacing w:before="40" w:after="40"/>
            </w:pPr>
            <w:r>
              <w:rPr>
                <w:rFonts w:ascii="Calibri" w:hAnsi="Calibri"/>
                <w:b w:val="0"/>
                <w:i w:val="0"/>
                <w:color w:val="333333"/>
                <w:sz w:val="17"/>
              </w:rPr>
              <w:t>Volumetric alerting on exports and on sensitive lookups</w:t>
            </w:r>
          </w:p>
        </w:tc>
        <w:tc>
          <w:tcPr>
            <w:tcW w:type="dxa" w:w="4873"/>
          </w:tcPr>
          <w:p>
            <w:pPr>
              <w:spacing w:before="40" w:after="40"/>
            </w:pPr>
            <w:r>
              <w:rPr>
                <w:rFonts w:ascii="Calibri" w:hAnsi="Calibri"/>
                <w:b w:val="0"/>
                <w:i w:val="0"/>
                <w:color w:val="333333"/>
                <w:sz w:val="17"/>
              </w:rPr>
              <w:t>Detects data exfiltration by an internal user</w:t>
            </w:r>
          </w:p>
        </w:tc>
      </w:tr>
    </w:tbl>
    <w:p>
      <w:pPr>
        <w:spacing w:after="40"/>
      </w:pPr>
    </w:p>
    <w:p>
      <w:pPr>
        <w:pStyle w:val="Heading2"/>
        <w:spacing w:before="280" w:after="80"/>
        <w:keepNext/>
      </w:pPr>
      <w:bookmarkStart w:id="135" w:name="_Toc_s034"/>
      <w:r>
        <w:rPr>
          <w:rFonts w:ascii="Calibri" w:hAnsi="Calibri"/>
          <w:b/>
          <w:color w:val="1B3A5C"/>
          <w:sz w:val="24"/>
        </w:rPr>
        <w:t>8.5 Receipt integrity</w:t>
      </w:r>
      <w:bookmarkEnd w:id="135"/>
    </w:p>
    <w:p>
      <w:r>
        <w:rPr>
          <w:rFonts w:ascii="Calibri" w:hAnsi="Calibri"/>
          <w:b w:val="0"/>
          <w:i w:val="0"/>
          <w:color w:val="333333"/>
          <w:sz w:val="20"/>
        </w:rPr>
        <w:t xml:space="preserve">The receipt is produced by the application, not typed by the collector. It carries the receipt number, product, policy or proposal number, amount, date and time, collector reference, and terminal identity. A reprint is explicitly marked </w:t>
      </w:r>
      <w:r>
        <w:rPr>
          <w:rFonts w:ascii="Calibri" w:hAnsi="Calibri"/>
          <w:b/>
          <w:i w:val="0"/>
          <w:color w:val="333333"/>
          <w:sz w:val="20"/>
        </w:rPr>
        <w:t>DUPLICATA</w:t>
      </w:r>
      <w:r>
        <w:rPr>
          <w:rFonts w:ascii="Calibri" w:hAnsi="Calibri"/>
          <w:b w:val="0"/>
          <w:i w:val="0"/>
          <w:color w:val="333333"/>
          <w:sz w:val="20"/>
        </w:rPr>
        <w:t xml:space="preserve"> and is itself logged. Insured-facing communication should state plainly: </w:t>
      </w:r>
      <w:r>
        <w:rPr>
          <w:rFonts w:ascii="Calibri" w:hAnsi="Calibri"/>
          <w:b w:val="0"/>
          <w:i/>
          <w:color w:val="333333"/>
          <w:sz w:val="20"/>
        </w:rPr>
        <w:t>a payment without a printed SUNU receipt is not a payment.</w:t>
      </w:r>
    </w:p>
    <w:p>
      <w:pPr>
        <w:pStyle w:val="Heading1"/>
        <w:pageBreakBefore/>
        <w:spacing w:before="360" w:after="80"/>
        <w:keepNext/>
        <w:pBdr>
          <w:bottom w:val="single" w:sz="8" w:space="6" w:color="1B3A5C"/>
        </w:pBdr>
      </w:pPr>
      <w:bookmarkStart w:id="136" w:name="_Toc_s035"/>
      <w:r>
        <w:rPr>
          <w:rFonts w:ascii="Calibri" w:hAnsi="Calibri"/>
          <w:b/>
          <w:color w:val="1B3A5C"/>
          <w:sz w:val="30"/>
        </w:rPr>
        <w:t>9. Terminal and Mobile Application Security</w:t>
      </w:r>
      <w:bookmarkEnd w:id="136"/>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4873"/>
        <w:gridCol w:w="4873"/>
      </w:tblGrid>
      <w:tr>
        <w:trPr>
          <w:tblHeader w:val="true"/>
        </w:trPr>
        <w:tc>
          <w:tcPr>
            <w:tcW w:type="dxa" w:w="4873"/>
            <w:shd w:val="clear" w:fill="1B3A5C"/>
          </w:tcPr>
          <w:p>
            <w:pPr>
              <w:spacing w:before="60" w:after="60"/>
            </w:pPr>
            <w:r>
              <w:rPr>
                <w:rFonts w:ascii="Calibri" w:hAnsi="Calibri"/>
                <w:b/>
                <w:color w:val="FFFFFF"/>
                <w:sz w:val="17"/>
              </w:rPr>
              <w:t>Control</w:t>
            </w:r>
          </w:p>
        </w:tc>
        <w:tc>
          <w:tcPr>
            <w:tcW w:type="dxa" w:w="4873"/>
            <w:shd w:val="clear" w:fill="1B3A5C"/>
          </w:tcPr>
          <w:p>
            <w:pPr>
              <w:spacing w:before="60" w:after="60"/>
            </w:pPr>
            <w:r>
              <w:rPr>
                <w:rFonts w:ascii="Calibri" w:hAnsi="Calibri"/>
                <w:b/>
                <w:color w:val="FFFFFF"/>
                <w:sz w:val="17"/>
              </w:rPr>
              <w:t>Implementation</w:t>
            </w:r>
          </w:p>
        </w:tc>
      </w:tr>
      <w:tr>
        <w:tc>
          <w:tcPr>
            <w:tcW w:type="dxa" w:w="4873"/>
          </w:tcPr>
          <w:p>
            <w:pPr>
              <w:spacing w:before="40" w:after="40"/>
            </w:pPr>
            <w:r>
              <w:rPr>
                <w:rFonts w:ascii="Calibri" w:hAnsi="Calibri"/>
                <w:b w:val="0"/>
                <w:i w:val="0"/>
                <w:color w:val="333333"/>
                <w:sz w:val="17"/>
              </w:rPr>
              <w:t>Fleet registry</w:t>
            </w:r>
          </w:p>
        </w:tc>
        <w:tc>
          <w:tcPr>
            <w:tcW w:type="dxa" w:w="4873"/>
          </w:tcPr>
          <w:p>
            <w:pPr>
              <w:spacing w:before="40" w:after="40"/>
            </w:pPr>
            <w:r>
              <w:rPr>
                <w:rFonts w:ascii="Calibri" w:hAnsi="Calibri"/>
                <w:b w:val="0"/>
                <w:i w:val="0"/>
                <w:color w:val="333333"/>
                <w:sz w:val="17"/>
              </w:rPr>
              <w:t>Every terminal registered with serial number, SIM, alias and model; assignment to a named agent with dated history</w:t>
            </w:r>
          </w:p>
        </w:tc>
      </w:tr>
      <w:tr>
        <w:tc>
          <w:tcPr>
            <w:tcW w:type="dxa" w:w="4873"/>
            <w:shd w:val="clear" w:fill="F2F6FA"/>
          </w:tcPr>
          <w:p>
            <w:pPr>
              <w:spacing w:before="40" w:after="40"/>
            </w:pPr>
            <w:r>
              <w:rPr>
                <w:rFonts w:ascii="Calibri" w:hAnsi="Calibri"/>
                <w:b w:val="0"/>
                <w:i w:val="0"/>
                <w:color w:val="333333"/>
                <w:sz w:val="17"/>
              </w:rPr>
              <w:t>Agent–terminal binding</w:t>
            </w:r>
          </w:p>
        </w:tc>
        <w:tc>
          <w:tcPr>
            <w:tcW w:type="dxa" w:w="4873"/>
            <w:shd w:val="clear" w:fill="F2F6FA"/>
          </w:tcPr>
          <w:p>
            <w:pPr>
              <w:spacing w:before="40" w:after="40"/>
            </w:pPr>
            <w:r>
              <w:rPr>
                <w:rFonts w:ascii="Calibri" w:hAnsi="Calibri"/>
                <w:b w:val="0"/>
                <w:i w:val="0"/>
                <w:color w:val="333333"/>
                <w:sz w:val="17"/>
              </w:rPr>
              <w:t>Login refused from a terminal not assigned to that agent; attempt alerted</w:t>
            </w:r>
          </w:p>
        </w:tc>
      </w:tr>
      <w:tr>
        <w:tc>
          <w:tcPr>
            <w:tcW w:type="dxa" w:w="4873"/>
          </w:tcPr>
          <w:p>
            <w:pPr>
              <w:spacing w:before="40" w:after="40"/>
            </w:pPr>
            <w:r>
              <w:rPr>
                <w:rFonts w:ascii="Calibri" w:hAnsi="Calibri"/>
                <w:b w:val="0"/>
                <w:i w:val="0"/>
                <w:color w:val="333333"/>
                <w:sz w:val="17"/>
              </w:rPr>
              <w:t>Application distribution</w:t>
            </w:r>
          </w:p>
        </w:tc>
        <w:tc>
          <w:tcPr>
            <w:tcW w:type="dxa" w:w="4873"/>
          </w:tcPr>
          <w:p>
            <w:pPr>
              <w:spacing w:before="40" w:after="40"/>
            </w:pPr>
            <w:r>
              <w:rPr>
                <w:rFonts w:ascii="Calibri" w:hAnsi="Calibri"/>
                <w:b w:val="0"/>
                <w:i w:val="0"/>
                <w:color w:val="333333"/>
                <w:sz w:val="17"/>
              </w:rPr>
              <w:t>Signed APK distributed through a controlled channel; installation from unknown sources disabled on the fleet; no public store distribution</w:t>
            </w:r>
          </w:p>
        </w:tc>
      </w:tr>
      <w:tr>
        <w:tc>
          <w:tcPr>
            <w:tcW w:type="dxa" w:w="4873"/>
            <w:shd w:val="clear" w:fill="F2F6FA"/>
          </w:tcPr>
          <w:p>
            <w:pPr>
              <w:spacing w:before="40" w:after="40"/>
            </w:pPr>
            <w:r>
              <w:rPr>
                <w:rFonts w:ascii="Calibri" w:hAnsi="Calibri"/>
                <w:b w:val="0"/>
                <w:i w:val="0"/>
                <w:color w:val="333333"/>
                <w:sz w:val="17"/>
              </w:rPr>
              <w:t>Device hardening</w:t>
            </w:r>
          </w:p>
        </w:tc>
        <w:tc>
          <w:tcPr>
            <w:tcW w:type="dxa" w:w="4873"/>
            <w:shd w:val="clear" w:fill="F2F6FA"/>
          </w:tcPr>
          <w:p>
            <w:pPr>
              <w:spacing w:before="40" w:after="40"/>
            </w:pPr>
            <w:r>
              <w:rPr>
                <w:rFonts w:ascii="Calibri" w:hAnsi="Calibri"/>
                <w:b w:val="0"/>
                <w:i w:val="0"/>
                <w:color w:val="333333"/>
                <w:sz w:val="17"/>
              </w:rPr>
              <w:t>Recommended: kiosk/COSU mode restricting the terminal to the SUNU application; developer options and USB debugging disabled; screen lock enforced</w:t>
            </w:r>
          </w:p>
        </w:tc>
      </w:tr>
      <w:tr>
        <w:tc>
          <w:tcPr>
            <w:tcW w:type="dxa" w:w="4873"/>
          </w:tcPr>
          <w:p>
            <w:pPr>
              <w:spacing w:before="40" w:after="40"/>
            </w:pPr>
            <w:r>
              <w:rPr>
                <w:rFonts w:ascii="Calibri" w:hAnsi="Calibri"/>
                <w:b w:val="0"/>
                <w:i w:val="0"/>
                <w:color w:val="333333"/>
                <w:sz w:val="17"/>
              </w:rPr>
              <w:t>Local storage</w:t>
            </w:r>
          </w:p>
        </w:tc>
        <w:tc>
          <w:tcPr>
            <w:tcW w:type="dxa" w:w="4873"/>
          </w:tcPr>
          <w:p>
            <w:pPr>
              <w:spacing w:before="40" w:after="40"/>
            </w:pPr>
            <w:r>
              <w:rPr>
                <w:rFonts w:ascii="Calibri" w:hAnsi="Calibri"/>
                <w:b w:val="0"/>
                <w:i w:val="0"/>
                <w:color w:val="333333"/>
                <w:sz w:val="17"/>
              </w:rPr>
              <w:t>Application-private, encrypted, agent-scoped; wiped on agent logout</w:t>
            </w:r>
          </w:p>
        </w:tc>
      </w:tr>
      <w:tr>
        <w:tc>
          <w:tcPr>
            <w:tcW w:type="dxa" w:w="4873"/>
            <w:shd w:val="clear" w:fill="F2F6FA"/>
          </w:tcPr>
          <w:p>
            <w:pPr>
              <w:spacing w:before="40" w:after="40"/>
            </w:pPr>
            <w:r>
              <w:rPr>
                <w:rFonts w:ascii="Calibri" w:hAnsi="Calibri"/>
                <w:b w:val="0"/>
                <w:i w:val="0"/>
                <w:color w:val="333333"/>
                <w:sz w:val="17"/>
              </w:rPr>
              <w:t>Anti-tamper</w:t>
            </w:r>
          </w:p>
        </w:tc>
        <w:tc>
          <w:tcPr>
            <w:tcW w:type="dxa" w:w="4873"/>
            <w:shd w:val="clear" w:fill="F2F6FA"/>
          </w:tcPr>
          <w:p>
            <w:pPr>
              <w:spacing w:before="40" w:after="40"/>
            </w:pPr>
            <w:r>
              <w:rPr>
                <w:rFonts w:ascii="Calibri" w:hAnsi="Calibri"/>
                <w:b w:val="0"/>
                <w:i w:val="0"/>
                <w:color w:val="333333"/>
                <w:sz w:val="17"/>
              </w:rPr>
              <w:t>Root/tamper detection at startup; a rooted device is refused with an alert raised to the back office</w:t>
            </w:r>
          </w:p>
        </w:tc>
      </w:tr>
      <w:tr>
        <w:tc>
          <w:tcPr>
            <w:tcW w:type="dxa" w:w="4873"/>
          </w:tcPr>
          <w:p>
            <w:pPr>
              <w:spacing w:before="40" w:after="40"/>
            </w:pPr>
            <w:r>
              <w:rPr>
                <w:rFonts w:ascii="Calibri" w:hAnsi="Calibri"/>
                <w:b w:val="0"/>
                <w:i w:val="0"/>
                <w:color w:val="333333"/>
                <w:sz w:val="17"/>
              </w:rPr>
              <w:t>Secrets on device</w:t>
            </w:r>
          </w:p>
        </w:tc>
        <w:tc>
          <w:tcPr>
            <w:tcW w:type="dxa" w:w="4873"/>
          </w:tcPr>
          <w:p>
            <w:pPr>
              <w:spacing w:before="40" w:after="40"/>
            </w:pPr>
            <w:r>
              <w:rPr>
                <w:rFonts w:ascii="Calibri" w:hAnsi="Calibri"/>
                <w:b w:val="0"/>
                <w:i w:val="0"/>
                <w:color w:val="333333"/>
                <w:sz w:val="17"/>
              </w:rPr>
              <w:t>No shared static secret in the application package. Per-device keys provisioned at enrolment and held in the Android keystore where the hardware supports it. See §12 item H-4</w:t>
            </w:r>
          </w:p>
        </w:tc>
      </w:tr>
      <w:tr>
        <w:tc>
          <w:tcPr>
            <w:tcW w:type="dxa" w:w="4873"/>
            <w:shd w:val="clear" w:fill="F2F6FA"/>
          </w:tcPr>
          <w:p>
            <w:pPr>
              <w:spacing w:before="40" w:after="40"/>
            </w:pPr>
            <w:r>
              <w:rPr>
                <w:rFonts w:ascii="Calibri" w:hAnsi="Calibri"/>
                <w:b w:val="0"/>
                <w:i w:val="0"/>
                <w:color w:val="333333"/>
                <w:sz w:val="17"/>
              </w:rPr>
              <w:t>Remote response to loss</w:t>
            </w:r>
          </w:p>
        </w:tc>
        <w:tc>
          <w:tcPr>
            <w:tcW w:type="dxa" w:w="4873"/>
            <w:shd w:val="clear" w:fill="F2F6FA"/>
          </w:tcPr>
          <w:p>
            <w:pPr>
              <w:spacing w:before="40" w:after="40"/>
            </w:pPr>
            <w:r>
              <w:rPr>
                <w:rFonts w:ascii="Calibri" w:hAnsi="Calibri"/>
                <w:b w:val="0"/>
                <w:i w:val="0"/>
                <w:color w:val="333333"/>
                <w:sz w:val="17"/>
              </w:rPr>
              <w:t>Agent account disabled → next authentication and next synchronisation refused; the terminal is marked lost in the registry; unsynchronised collections are recovered if the device is returned</w:t>
            </w:r>
          </w:p>
        </w:tc>
      </w:tr>
      <w:tr>
        <w:tc>
          <w:tcPr>
            <w:tcW w:type="dxa" w:w="4873"/>
          </w:tcPr>
          <w:p>
            <w:pPr>
              <w:spacing w:before="40" w:after="40"/>
            </w:pPr>
            <w:r>
              <w:rPr>
                <w:rFonts w:ascii="Calibri" w:hAnsi="Calibri"/>
                <w:b w:val="0"/>
                <w:i w:val="0"/>
                <w:color w:val="333333"/>
                <w:sz w:val="17"/>
              </w:rPr>
              <w:t>Screenshots</w:t>
            </w:r>
          </w:p>
        </w:tc>
        <w:tc>
          <w:tcPr>
            <w:tcW w:type="dxa" w:w="4873"/>
          </w:tcPr>
          <w:p>
            <w:pPr>
              <w:spacing w:before="40" w:after="40"/>
            </w:pPr>
            <w:r>
              <w:rPr>
                <w:rFonts w:ascii="Calibri" w:hAnsi="Calibri"/>
                <w:b w:val="0"/>
                <w:i w:val="0"/>
                <w:color w:val="333333"/>
                <w:sz w:val="17"/>
              </w:rPr>
              <w:t>Disabled on screens displaying personal data</w:t>
            </w:r>
          </w:p>
        </w:tc>
      </w:tr>
      <w:tr>
        <w:tc>
          <w:tcPr>
            <w:tcW w:type="dxa" w:w="4873"/>
            <w:shd w:val="clear" w:fill="F2F6FA"/>
          </w:tcPr>
          <w:p>
            <w:pPr>
              <w:spacing w:before="40" w:after="40"/>
            </w:pPr>
            <w:r>
              <w:rPr>
                <w:rFonts w:ascii="Calibri" w:hAnsi="Calibri"/>
                <w:b w:val="0"/>
                <w:i w:val="0"/>
                <w:color w:val="333333"/>
                <w:sz w:val="17"/>
              </w:rPr>
              <w:t>Logs</w:t>
            </w:r>
          </w:p>
        </w:tc>
        <w:tc>
          <w:tcPr>
            <w:tcW w:type="dxa" w:w="4873"/>
            <w:shd w:val="clear" w:fill="F2F6FA"/>
          </w:tcPr>
          <w:p>
            <w:pPr>
              <w:spacing w:before="40" w:after="40"/>
            </w:pPr>
            <w:r>
              <w:rPr>
                <w:rFonts w:ascii="Calibri" w:hAnsi="Calibri"/>
                <w:b w:val="0"/>
                <w:i w:val="0"/>
                <w:color w:val="333333"/>
                <w:sz w:val="17"/>
              </w:rPr>
              <w:t>No PIN, password, token, full CNIB or personal data written to device logs</w:t>
            </w:r>
          </w:p>
        </w:tc>
      </w:tr>
    </w:tbl>
    <w:p>
      <w:pPr>
        <w:spacing w:after="40"/>
      </w:pPr>
    </w:p>
    <w:p>
      <w:pPr>
        <w:pStyle w:val="Heading1"/>
        <w:pageBreakBefore/>
        <w:spacing w:before="360" w:after="80"/>
        <w:keepNext/>
        <w:pBdr>
          <w:bottom w:val="single" w:sz="8" w:space="6" w:color="1B3A5C"/>
        </w:pBdr>
      </w:pPr>
      <w:bookmarkStart w:id="137" w:name="_Toc_s036"/>
      <w:r>
        <w:rPr>
          <w:rFonts w:ascii="Calibri" w:hAnsi="Calibri"/>
          <w:b/>
          <w:color w:val="1B3A5C"/>
          <w:sz w:val="30"/>
        </w:rPr>
        <w:t>10. Integration Security</w:t>
      </w:r>
      <w:bookmarkEnd w:id="137"/>
    </w:p>
    <w:p>
      <w:pPr>
        <w:pStyle w:val="Heading2"/>
        <w:spacing w:before="280" w:after="80"/>
        <w:keepNext/>
      </w:pPr>
      <w:bookmarkStart w:id="138" w:name="_Toc_s037"/>
      <w:r>
        <w:rPr>
          <w:rFonts w:ascii="Calibri" w:hAnsi="Calibri"/>
          <w:b/>
          <w:color w:val="1B3A5C"/>
          <w:sz w:val="24"/>
        </w:rPr>
        <w:t>10.1 SUNULIFE</w:t>
      </w:r>
      <w:bookmarkEnd w:id="138"/>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4873"/>
        <w:gridCol w:w="4873"/>
      </w:tblGrid>
      <w:tr>
        <w:trPr>
          <w:tblHeader w:val="true"/>
        </w:trPr>
        <w:tc>
          <w:tcPr>
            <w:tcW w:type="dxa" w:w="4873"/>
            <w:shd w:val="clear" w:fill="1B3A5C"/>
          </w:tcPr>
          <w:p>
            <w:pPr>
              <w:spacing w:before="60" w:after="60"/>
            </w:pPr>
            <w:r>
              <w:rPr>
                <w:rFonts w:ascii="Calibri" w:hAnsi="Calibri"/>
                <w:b/>
                <w:color w:val="FFFFFF"/>
                <w:sz w:val="17"/>
              </w:rPr>
              <w:t>Control</w:t>
            </w:r>
          </w:p>
        </w:tc>
        <w:tc>
          <w:tcPr>
            <w:tcW w:type="dxa" w:w="4873"/>
            <w:shd w:val="clear" w:fill="1B3A5C"/>
          </w:tcPr>
          <w:p>
            <w:pPr>
              <w:spacing w:before="60" w:after="60"/>
            </w:pPr>
            <w:r>
              <w:rPr>
                <w:rFonts w:ascii="Calibri" w:hAnsi="Calibri"/>
                <w:b/>
                <w:color w:val="FFFFFF"/>
                <w:sz w:val="17"/>
              </w:rPr>
              <w:t>Implementation</w:t>
            </w:r>
          </w:p>
        </w:tc>
      </w:tr>
      <w:tr>
        <w:tc>
          <w:tcPr>
            <w:tcW w:type="dxa" w:w="4873"/>
          </w:tcPr>
          <w:p>
            <w:pPr>
              <w:spacing w:before="40" w:after="40"/>
            </w:pPr>
            <w:r>
              <w:rPr>
                <w:rFonts w:ascii="Calibri" w:hAnsi="Calibri"/>
                <w:b w:val="0"/>
                <w:i w:val="0"/>
                <w:color w:val="333333"/>
                <w:sz w:val="17"/>
              </w:rPr>
              <w:t>Transport</w:t>
            </w:r>
          </w:p>
        </w:tc>
        <w:tc>
          <w:tcPr>
            <w:tcW w:type="dxa" w:w="4873"/>
          </w:tcPr>
          <w:p>
            <w:pPr>
              <w:spacing w:before="40" w:after="40"/>
            </w:pPr>
            <w:r>
              <w:rPr>
                <w:rFonts w:ascii="Calibri" w:hAnsi="Calibri"/>
                <w:b w:val="0"/>
                <w:i w:val="0"/>
                <w:color w:val="333333"/>
                <w:sz w:val="17"/>
              </w:rPr>
              <w:t>TLS 1.2+ mandatory. If SUNULIFE is on SUNU premises, a site-to-site VPN or private link is preferred over the public Internet</w:t>
            </w:r>
          </w:p>
        </w:tc>
      </w:tr>
      <w:tr>
        <w:tc>
          <w:tcPr>
            <w:tcW w:type="dxa" w:w="4873"/>
            <w:shd w:val="clear" w:fill="F2F6FA"/>
          </w:tcPr>
          <w:p>
            <w:pPr>
              <w:spacing w:before="40" w:after="40"/>
            </w:pPr>
            <w:r>
              <w:rPr>
                <w:rFonts w:ascii="Calibri" w:hAnsi="Calibri"/>
                <w:b w:val="0"/>
                <w:i w:val="0"/>
                <w:color w:val="333333"/>
                <w:sz w:val="17"/>
              </w:rPr>
              <w:t>Authentication</w:t>
            </w:r>
          </w:p>
        </w:tc>
        <w:tc>
          <w:tcPr>
            <w:tcW w:type="dxa" w:w="4873"/>
            <w:shd w:val="clear" w:fill="F2F6FA"/>
          </w:tcPr>
          <w:p>
            <w:pPr>
              <w:spacing w:before="40" w:after="40"/>
            </w:pPr>
            <w:r>
              <w:rPr>
                <w:rFonts w:ascii="Calibri" w:hAnsi="Calibri"/>
                <w:b w:val="0"/>
                <w:i w:val="0"/>
                <w:color w:val="333333"/>
                <w:sz w:val="17"/>
              </w:rPr>
              <w:t>As required by SUNULIFE: OAuth 2.0, JWT bearer, HTTP basic or mutual TLS — the adapter framework already supports these strategies</w:t>
            </w:r>
          </w:p>
        </w:tc>
      </w:tr>
      <w:tr>
        <w:tc>
          <w:tcPr>
            <w:tcW w:type="dxa" w:w="4873"/>
          </w:tcPr>
          <w:p>
            <w:pPr>
              <w:spacing w:before="40" w:after="40"/>
            </w:pPr>
            <w:r>
              <w:rPr>
                <w:rFonts w:ascii="Calibri" w:hAnsi="Calibri"/>
                <w:b w:val="0"/>
                <w:i w:val="0"/>
                <w:color w:val="333333"/>
                <w:sz w:val="17"/>
              </w:rPr>
              <w:t>Least privilege</w:t>
            </w:r>
          </w:p>
        </w:tc>
        <w:tc>
          <w:tcPr>
            <w:tcW w:type="dxa" w:w="4873"/>
          </w:tcPr>
          <w:p>
            <w:pPr>
              <w:spacing w:before="40" w:after="40"/>
            </w:pPr>
            <w:r>
              <w:rPr>
                <w:rFonts w:ascii="Calibri" w:hAnsi="Calibri"/>
                <w:b w:val="0"/>
                <w:i w:val="0"/>
                <w:color w:val="333333"/>
                <w:sz w:val="17"/>
              </w:rPr>
              <w:t>The integration account is granted only the operations of Doc 1 §8.2 — no administrative rights in SUNULIFE</w:t>
            </w:r>
          </w:p>
        </w:tc>
      </w:tr>
      <w:tr>
        <w:tc>
          <w:tcPr>
            <w:tcW w:type="dxa" w:w="4873"/>
            <w:shd w:val="clear" w:fill="F2F6FA"/>
          </w:tcPr>
          <w:p>
            <w:pPr>
              <w:spacing w:before="40" w:after="40"/>
            </w:pPr>
            <w:r>
              <w:rPr>
                <w:rFonts w:ascii="Calibri" w:hAnsi="Calibri"/>
                <w:b w:val="0"/>
                <w:i w:val="0"/>
                <w:color w:val="333333"/>
                <w:sz w:val="17"/>
              </w:rPr>
              <w:t>Network restriction</w:t>
            </w:r>
          </w:p>
        </w:tc>
        <w:tc>
          <w:tcPr>
            <w:tcW w:type="dxa" w:w="4873"/>
            <w:shd w:val="clear" w:fill="F2F6FA"/>
          </w:tcPr>
          <w:p>
            <w:pPr>
              <w:spacing w:before="40" w:after="40"/>
            </w:pPr>
            <w:r>
              <w:rPr>
                <w:rFonts w:ascii="Calibri" w:hAnsi="Calibri"/>
                <w:b w:val="0"/>
                <w:i w:val="0"/>
                <w:color w:val="333333"/>
                <w:sz w:val="17"/>
              </w:rPr>
              <w:t>SUNU to allow-list the platform's egress IP addresses</w:t>
            </w:r>
          </w:p>
        </w:tc>
      </w:tr>
      <w:tr>
        <w:tc>
          <w:tcPr>
            <w:tcW w:type="dxa" w:w="4873"/>
          </w:tcPr>
          <w:p>
            <w:pPr>
              <w:spacing w:before="40" w:after="40"/>
            </w:pPr>
            <w:r>
              <w:rPr>
                <w:rFonts w:ascii="Calibri" w:hAnsi="Calibri"/>
                <w:b w:val="0"/>
                <w:i w:val="0"/>
                <w:color w:val="333333"/>
                <w:sz w:val="17"/>
              </w:rPr>
              <w:t>Input validation</w:t>
            </w:r>
          </w:p>
        </w:tc>
        <w:tc>
          <w:tcPr>
            <w:tcW w:type="dxa" w:w="4873"/>
          </w:tcPr>
          <w:p>
            <w:pPr>
              <w:spacing w:before="40" w:after="40"/>
            </w:pPr>
            <w:r>
              <w:rPr>
                <w:rFonts w:ascii="Calibri" w:hAnsi="Calibri"/>
                <w:b w:val="0"/>
                <w:i w:val="0"/>
                <w:color w:val="333333"/>
                <w:sz w:val="17"/>
              </w:rPr>
              <w:t>Every field received from SUNULIFE is schema-validated before it touches the database; malformed or anomalous payloads are quarantined, not applied</w:t>
            </w:r>
          </w:p>
        </w:tc>
      </w:tr>
      <w:tr>
        <w:tc>
          <w:tcPr>
            <w:tcW w:type="dxa" w:w="4873"/>
            <w:shd w:val="clear" w:fill="F2F6FA"/>
          </w:tcPr>
          <w:p>
            <w:pPr>
              <w:spacing w:before="40" w:after="40"/>
            </w:pPr>
            <w:r>
              <w:rPr>
                <w:rFonts w:ascii="Calibri" w:hAnsi="Calibri"/>
                <w:b w:val="0"/>
                <w:i w:val="0"/>
                <w:color w:val="333333"/>
                <w:sz w:val="17"/>
              </w:rPr>
              <w:t>Non-destructive by construction</w:t>
            </w:r>
          </w:p>
        </w:tc>
        <w:tc>
          <w:tcPr>
            <w:tcW w:type="dxa" w:w="4873"/>
            <w:shd w:val="clear" w:fill="F2F6FA"/>
          </w:tcPr>
          <w:p>
            <w:pPr>
              <w:spacing w:before="40" w:after="40"/>
            </w:pPr>
            <w:r>
              <w:rPr>
                <w:rFonts w:ascii="Calibri" w:hAnsi="Calibri"/>
                <w:b w:val="0"/>
                <w:i w:val="0"/>
                <w:color w:val="333333"/>
                <w:sz w:val="17"/>
              </w:rPr>
              <w:t>A synchronisation from SUNULIFE can never delete or alter a local collection record</w:t>
            </w:r>
          </w:p>
        </w:tc>
      </w:tr>
      <w:tr>
        <w:tc>
          <w:tcPr>
            <w:tcW w:type="dxa" w:w="4873"/>
          </w:tcPr>
          <w:p>
            <w:pPr>
              <w:spacing w:before="40" w:after="40"/>
            </w:pPr>
            <w:r>
              <w:rPr>
                <w:rFonts w:ascii="Calibri" w:hAnsi="Calibri"/>
                <w:b w:val="0"/>
                <w:i w:val="0"/>
                <w:color w:val="333333"/>
                <w:sz w:val="17"/>
              </w:rPr>
              <w:t>Traceability</w:t>
            </w:r>
          </w:p>
        </w:tc>
        <w:tc>
          <w:tcPr>
            <w:tcW w:type="dxa" w:w="4873"/>
          </w:tcPr>
          <w:p>
            <w:pPr>
              <w:spacing w:before="40" w:after="40"/>
            </w:pPr>
            <w:r>
              <w:rPr>
                <w:rFonts w:ascii="Calibri" w:hAnsi="Calibri"/>
                <w:b w:val="0"/>
                <w:i w:val="0"/>
                <w:color w:val="333333"/>
                <w:sz w:val="17"/>
              </w:rPr>
              <w:t>Full request/response logging with sensitive fields masked; every exchange replayable and idempotent</w:t>
            </w:r>
          </w:p>
        </w:tc>
      </w:tr>
      <w:tr>
        <w:tc>
          <w:tcPr>
            <w:tcW w:type="dxa" w:w="4873"/>
            <w:shd w:val="clear" w:fill="F2F6FA"/>
          </w:tcPr>
          <w:p>
            <w:pPr>
              <w:spacing w:before="40" w:after="40"/>
            </w:pPr>
            <w:r>
              <w:rPr>
                <w:rFonts w:ascii="Calibri" w:hAnsi="Calibri"/>
                <w:b w:val="0"/>
                <w:i w:val="0"/>
                <w:color w:val="333333"/>
                <w:sz w:val="17"/>
              </w:rPr>
              <w:t>Availability isolation</w:t>
            </w:r>
          </w:p>
        </w:tc>
        <w:tc>
          <w:tcPr>
            <w:tcW w:type="dxa" w:w="4873"/>
            <w:shd w:val="clear" w:fill="F2F6FA"/>
          </w:tcPr>
          <w:p>
            <w:pPr>
              <w:spacing w:before="40" w:after="40"/>
            </w:pPr>
            <w:r>
              <w:rPr>
                <w:rFonts w:ascii="Calibri" w:hAnsi="Calibri"/>
                <w:b w:val="0"/>
                <w:i w:val="0"/>
                <w:color w:val="333333"/>
                <w:sz w:val="17"/>
              </w:rPr>
              <w:t>Circuit breaker; SUNULIFE downtime never blocks field collection</w:t>
            </w:r>
          </w:p>
        </w:tc>
      </w:tr>
    </w:tbl>
    <w:p>
      <w:pPr>
        <w:spacing w:after="40"/>
      </w:pPr>
    </w:p>
    <w:p>
      <w:pPr>
        <w:pStyle w:val="Heading2"/>
        <w:spacing w:before="280" w:after="80"/>
        <w:keepNext/>
      </w:pPr>
      <w:bookmarkStart w:id="139" w:name="_Toc_s038"/>
      <w:r>
        <w:rPr>
          <w:rFonts w:ascii="Calibri" w:hAnsi="Calibri"/>
          <w:b/>
          <w:color w:val="1B3A5C"/>
          <w:sz w:val="24"/>
        </w:rPr>
        <w:t>10.2 Mobile Money</w:t>
      </w:r>
      <w:bookmarkEnd w:id="139"/>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4873"/>
        <w:gridCol w:w="4873"/>
      </w:tblGrid>
      <w:tr>
        <w:trPr>
          <w:tblHeader w:val="true"/>
        </w:trPr>
        <w:tc>
          <w:tcPr>
            <w:tcW w:type="dxa" w:w="4873"/>
            <w:shd w:val="clear" w:fill="1B3A5C"/>
          </w:tcPr>
          <w:p>
            <w:pPr>
              <w:spacing w:before="60" w:after="60"/>
            </w:pPr>
            <w:r>
              <w:rPr>
                <w:rFonts w:ascii="Calibri" w:hAnsi="Calibri"/>
                <w:b/>
                <w:color w:val="FFFFFF"/>
                <w:sz w:val="17"/>
              </w:rPr>
              <w:t>Control</w:t>
            </w:r>
          </w:p>
        </w:tc>
        <w:tc>
          <w:tcPr>
            <w:tcW w:type="dxa" w:w="4873"/>
            <w:shd w:val="clear" w:fill="1B3A5C"/>
          </w:tcPr>
          <w:p>
            <w:pPr>
              <w:spacing w:before="60" w:after="60"/>
            </w:pPr>
            <w:r>
              <w:rPr>
                <w:rFonts w:ascii="Calibri" w:hAnsi="Calibri"/>
                <w:b/>
                <w:color w:val="FFFFFF"/>
                <w:sz w:val="17"/>
              </w:rPr>
              <w:t>Implementation</w:t>
            </w:r>
          </w:p>
        </w:tc>
      </w:tr>
      <w:tr>
        <w:tc>
          <w:tcPr>
            <w:tcW w:type="dxa" w:w="4873"/>
          </w:tcPr>
          <w:p>
            <w:pPr>
              <w:spacing w:before="40" w:after="40"/>
            </w:pPr>
            <w:r>
              <w:rPr>
                <w:rFonts w:ascii="Calibri" w:hAnsi="Calibri"/>
                <w:b w:val="0"/>
                <w:i w:val="0"/>
                <w:color w:val="333333"/>
                <w:sz w:val="17"/>
              </w:rPr>
              <w:t>Credentials</w:t>
            </w:r>
          </w:p>
        </w:tc>
        <w:tc>
          <w:tcPr>
            <w:tcW w:type="dxa" w:w="4873"/>
          </w:tcPr>
          <w:p>
            <w:pPr>
              <w:spacing w:before="40" w:after="40"/>
            </w:pPr>
            <w:r>
              <w:rPr>
                <w:rFonts w:ascii="Calibri" w:hAnsi="Calibri"/>
                <w:b w:val="0"/>
                <w:i w:val="0"/>
                <w:color w:val="333333"/>
                <w:sz w:val="17"/>
              </w:rPr>
              <w:t>Held in the encrypted credential store; distinct credentials per environment; never in the code repository</w:t>
            </w:r>
          </w:p>
        </w:tc>
      </w:tr>
      <w:tr>
        <w:tc>
          <w:tcPr>
            <w:tcW w:type="dxa" w:w="4873"/>
            <w:shd w:val="clear" w:fill="F2F6FA"/>
          </w:tcPr>
          <w:p>
            <w:pPr>
              <w:spacing w:before="40" w:after="40"/>
            </w:pPr>
            <w:r>
              <w:rPr>
                <w:rFonts w:ascii="Calibri" w:hAnsi="Calibri"/>
                <w:b w:val="0"/>
                <w:i w:val="0"/>
                <w:color w:val="333333"/>
                <w:sz w:val="17"/>
              </w:rPr>
              <w:t>Callback authentication</w:t>
            </w:r>
          </w:p>
        </w:tc>
        <w:tc>
          <w:tcPr>
            <w:tcW w:type="dxa" w:w="4873"/>
            <w:shd w:val="clear" w:fill="F2F6FA"/>
          </w:tcPr>
          <w:p>
            <w:pPr>
              <w:spacing w:before="40" w:after="40"/>
            </w:pPr>
            <w:r>
              <w:rPr>
                <w:rFonts w:ascii="Calibri" w:hAnsi="Calibri"/>
                <w:b w:val="0"/>
                <w:i w:val="0"/>
                <w:color w:val="333333"/>
                <w:sz w:val="17"/>
              </w:rPr>
              <w:t>Provider callbacks verified by signature and by source-IP allow-list; an unverified callback is rejected and alerted</w:t>
            </w:r>
          </w:p>
        </w:tc>
      </w:tr>
      <w:tr>
        <w:tc>
          <w:tcPr>
            <w:tcW w:type="dxa" w:w="4873"/>
          </w:tcPr>
          <w:p>
            <w:pPr>
              <w:spacing w:before="40" w:after="40"/>
            </w:pPr>
            <w:r>
              <w:rPr>
                <w:rFonts w:ascii="Calibri" w:hAnsi="Calibri"/>
                <w:b w:val="0"/>
                <w:i w:val="0"/>
                <w:color w:val="333333"/>
                <w:sz w:val="17"/>
              </w:rPr>
              <w:t>Idempotency</w:t>
            </w:r>
          </w:p>
        </w:tc>
        <w:tc>
          <w:tcPr>
            <w:tcW w:type="dxa" w:w="4873"/>
          </w:tcPr>
          <w:p>
            <w:pPr>
              <w:spacing w:before="40" w:after="40"/>
            </w:pPr>
            <w:r>
              <w:rPr>
                <w:rFonts w:ascii="Calibri" w:hAnsi="Calibri"/>
                <w:b w:val="0"/>
                <w:i w:val="0"/>
                <w:color w:val="333333"/>
                <w:sz w:val="17"/>
              </w:rPr>
              <w:t>Every initiation carries an idempotency key; a repeated callback cannot create a second collection</w:t>
            </w:r>
          </w:p>
        </w:tc>
      </w:tr>
      <w:tr>
        <w:tc>
          <w:tcPr>
            <w:tcW w:type="dxa" w:w="4873"/>
            <w:shd w:val="clear" w:fill="F2F6FA"/>
          </w:tcPr>
          <w:p>
            <w:pPr>
              <w:spacing w:before="40" w:after="40"/>
            </w:pPr>
            <w:r>
              <w:rPr>
                <w:rFonts w:ascii="Calibri" w:hAnsi="Calibri"/>
                <w:b w:val="0"/>
                <w:i w:val="0"/>
                <w:color w:val="333333"/>
                <w:sz w:val="17"/>
              </w:rPr>
              <w:t>Amount validation</w:t>
            </w:r>
          </w:p>
        </w:tc>
        <w:tc>
          <w:tcPr>
            <w:tcW w:type="dxa" w:w="4873"/>
            <w:shd w:val="clear" w:fill="F2F6FA"/>
          </w:tcPr>
          <w:p>
            <w:pPr>
              <w:spacing w:before="40" w:after="40"/>
            </w:pPr>
            <w:r>
              <w:rPr>
                <w:rFonts w:ascii="Calibri" w:hAnsi="Calibri"/>
                <w:b w:val="0"/>
                <w:i w:val="0"/>
                <w:color w:val="333333"/>
                <w:sz w:val="17"/>
              </w:rPr>
              <w:t>The amount confirmed by the provider is compared with the amount requested; any mismatch blocks the collection and raises an exception</w:t>
            </w:r>
          </w:p>
        </w:tc>
      </w:tr>
      <w:tr>
        <w:tc>
          <w:tcPr>
            <w:tcW w:type="dxa" w:w="4873"/>
          </w:tcPr>
          <w:p>
            <w:pPr>
              <w:spacing w:before="40" w:after="40"/>
            </w:pPr>
            <w:r>
              <w:rPr>
                <w:rFonts w:ascii="Calibri" w:hAnsi="Calibri"/>
                <w:b w:val="0"/>
                <w:i w:val="0"/>
                <w:color w:val="333333"/>
                <w:sz w:val="17"/>
              </w:rPr>
              <w:t>No PIN handling</w:t>
            </w:r>
          </w:p>
        </w:tc>
        <w:tc>
          <w:tcPr>
            <w:tcW w:type="dxa" w:w="4873"/>
          </w:tcPr>
          <w:p>
            <w:pPr>
              <w:spacing w:before="40" w:after="40"/>
            </w:pPr>
            <w:r>
              <w:rPr>
                <w:rFonts w:ascii="Calibri" w:hAnsi="Calibri"/>
                <w:b w:val="0"/>
                <w:i w:val="0"/>
                <w:color w:val="333333"/>
                <w:sz w:val="17"/>
              </w:rPr>
              <w:t xml:space="preserve">The insured enters their Mobile Money PIN </w:t>
            </w:r>
            <w:r>
              <w:rPr>
                <w:rFonts w:ascii="Calibri" w:hAnsi="Calibri"/>
                <w:b/>
                <w:i w:val="0"/>
                <w:color w:val="333333"/>
                <w:sz w:val="17"/>
              </w:rPr>
              <w:t>on their own handset, on the operator's channel</w:t>
            </w:r>
            <w:r>
              <w:rPr>
                <w:rFonts w:ascii="Calibri" w:hAnsi="Calibri"/>
                <w:b w:val="0"/>
                <w:i w:val="0"/>
                <w:color w:val="333333"/>
                <w:sz w:val="17"/>
              </w:rPr>
              <w:t>. The PIN never transits the POS, the application or the platform</w:t>
            </w:r>
          </w:p>
        </w:tc>
      </w:tr>
      <w:tr>
        <w:tc>
          <w:tcPr>
            <w:tcW w:type="dxa" w:w="4873"/>
            <w:shd w:val="clear" w:fill="F2F6FA"/>
          </w:tcPr>
          <w:p>
            <w:pPr>
              <w:spacing w:before="40" w:after="40"/>
            </w:pPr>
            <w:r>
              <w:rPr>
                <w:rFonts w:ascii="Calibri" w:hAnsi="Calibri"/>
                <w:b w:val="0"/>
                <w:i w:val="0"/>
                <w:color w:val="333333"/>
                <w:sz w:val="17"/>
              </w:rPr>
              <w:t>Settlement reconciliation</w:t>
            </w:r>
          </w:p>
        </w:tc>
        <w:tc>
          <w:tcPr>
            <w:tcW w:type="dxa" w:w="4873"/>
            <w:shd w:val="clear" w:fill="F2F6FA"/>
          </w:tcPr>
          <w:p>
            <w:pPr>
              <w:spacing w:before="40" w:after="40"/>
            </w:pPr>
            <w:r>
              <w:rPr>
                <w:rFonts w:ascii="Calibri" w:hAnsi="Calibri"/>
                <w:b w:val="0"/>
                <w:i w:val="0"/>
                <w:color w:val="333333"/>
                <w:sz w:val="17"/>
              </w:rPr>
              <w:t>Daily three-way reconciliation (platform / provider report / bank credit) with an ageing exception queue</w:t>
            </w:r>
          </w:p>
        </w:tc>
      </w:tr>
      <w:tr>
        <w:tc>
          <w:tcPr>
            <w:tcW w:type="dxa" w:w="4873"/>
          </w:tcPr>
          <w:p>
            <w:pPr>
              <w:spacing w:before="40" w:after="40"/>
            </w:pPr>
            <w:r>
              <w:rPr>
                <w:rFonts w:ascii="Calibri" w:hAnsi="Calibri"/>
                <w:b w:val="0"/>
                <w:i w:val="0"/>
                <w:color w:val="333333"/>
                <w:sz w:val="17"/>
              </w:rPr>
              <w:t>Timeout handling</w:t>
            </w:r>
          </w:p>
        </w:tc>
        <w:tc>
          <w:tcPr>
            <w:tcW w:type="dxa" w:w="4873"/>
          </w:tcPr>
          <w:p>
            <w:pPr>
              <w:spacing w:before="40" w:after="40"/>
            </w:pPr>
            <w:r>
              <w:rPr>
                <w:rFonts w:ascii="Calibri" w:hAnsi="Calibri"/>
                <w:b w:val="0"/>
                <w:i w:val="0"/>
                <w:color w:val="333333"/>
                <w:sz w:val="17"/>
              </w:rPr>
              <w:t xml:space="preserve">An unconfirmed payment stays pending and is resolved by reconciliation; </w:t>
            </w:r>
            <w:r>
              <w:rPr>
                <w:rFonts w:ascii="Calibri" w:hAnsi="Calibri"/>
                <w:b/>
                <w:i w:val="0"/>
                <w:color w:val="333333"/>
                <w:sz w:val="17"/>
              </w:rPr>
              <w:t>the receipt is printed only after confirmation</w:t>
            </w:r>
          </w:p>
        </w:tc>
      </w:tr>
    </w:tbl>
    <w:p>
      <w:pPr>
        <w:spacing w:after="40"/>
      </w:pPr>
    </w:p>
    <w:p>
      <w:pPr>
        <w:pStyle w:val="Heading2"/>
        <w:spacing w:before="280" w:after="80"/>
        <w:keepNext/>
      </w:pPr>
      <w:bookmarkStart w:id="140" w:name="_Toc_s039"/>
      <w:r>
        <w:rPr>
          <w:rFonts w:ascii="Calibri" w:hAnsi="Calibri"/>
          <w:b/>
          <w:color w:val="1B3A5C"/>
          <w:sz w:val="24"/>
        </w:rPr>
        <w:t>10.3 SMS</w:t>
      </w:r>
      <w:bookmarkEnd w:id="140"/>
    </w:p>
    <w:p>
      <w:r>
        <w:rPr>
          <w:rFonts w:ascii="Calibri" w:hAnsi="Calibri"/>
          <w:b w:val="0"/>
          <w:i w:val="0"/>
          <w:color w:val="333333"/>
          <w:sz w:val="20"/>
        </w:rPr>
        <w:t xml:space="preserve">Provider credentials in the credential store; message content limited to the minimum (amount, policy reference, date) with </w:t>
      </w:r>
      <w:r>
        <w:rPr>
          <w:rFonts w:ascii="Calibri" w:hAnsi="Calibri"/>
          <w:b/>
          <w:i w:val="0"/>
          <w:color w:val="333333"/>
          <w:sz w:val="20"/>
        </w:rPr>
        <w:t>no CNIB, no full policy details, no link carrying a secret</w:t>
      </w:r>
      <w:r>
        <w:rPr>
          <w:rFonts w:ascii="Calibri" w:hAnsi="Calibri"/>
          <w:b w:val="0"/>
          <w:i w:val="0"/>
          <w:color w:val="333333"/>
          <w:sz w:val="20"/>
        </w:rPr>
        <w:t>; delivery status logged.</w:t>
      </w:r>
    </w:p>
    <w:p>
      <w:pPr>
        <w:pStyle w:val="Heading1"/>
        <w:pageBreakBefore/>
        <w:spacing w:before="360" w:after="80"/>
        <w:keepNext/>
        <w:pBdr>
          <w:bottom w:val="single" w:sz="8" w:space="6" w:color="1B3A5C"/>
        </w:pBdr>
      </w:pPr>
      <w:bookmarkStart w:id="141" w:name="_Toc_s040"/>
      <w:r>
        <w:rPr>
          <w:rFonts w:ascii="Calibri" w:hAnsi="Calibri"/>
          <w:b/>
          <w:color w:val="1B3A5C"/>
          <w:sz w:val="30"/>
        </w:rPr>
        <w:t>11. Logging, Audit and Monitoring</w:t>
      </w:r>
      <w:bookmarkEnd w:id="141"/>
    </w:p>
    <w:p>
      <w:pPr>
        <w:pStyle w:val="Heading2"/>
        <w:spacing w:before="280" w:after="80"/>
        <w:keepNext/>
      </w:pPr>
      <w:bookmarkStart w:id="142" w:name="_Toc_s041"/>
      <w:r>
        <w:rPr>
          <w:rFonts w:ascii="Calibri" w:hAnsi="Calibri"/>
          <w:b/>
          <w:color w:val="1B3A5C"/>
          <w:sz w:val="24"/>
        </w:rPr>
        <w:t>11.1 What is recorded</w:t>
      </w:r>
      <w:bookmarkEnd w:id="142"/>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3249"/>
        <w:gridCol w:w="3249"/>
        <w:gridCol w:w="3249"/>
      </w:tblGrid>
      <w:tr>
        <w:trPr>
          <w:tblHeader w:val="true"/>
        </w:trPr>
        <w:tc>
          <w:tcPr>
            <w:tcW w:type="dxa" w:w="3249"/>
            <w:shd w:val="clear" w:fill="1B3A5C"/>
          </w:tcPr>
          <w:p>
            <w:pPr>
              <w:spacing w:before="60" w:after="60"/>
            </w:pPr>
            <w:r>
              <w:rPr>
                <w:rFonts w:ascii="Calibri" w:hAnsi="Calibri"/>
                <w:b/>
                <w:color w:val="FFFFFF"/>
                <w:sz w:val="17"/>
              </w:rPr>
              <w:t>Log</w:t>
            </w:r>
          </w:p>
        </w:tc>
        <w:tc>
          <w:tcPr>
            <w:tcW w:type="dxa" w:w="3249"/>
            <w:shd w:val="clear" w:fill="1B3A5C"/>
          </w:tcPr>
          <w:p>
            <w:pPr>
              <w:spacing w:before="60" w:after="60"/>
            </w:pPr>
            <w:r>
              <w:rPr>
                <w:rFonts w:ascii="Calibri" w:hAnsi="Calibri"/>
                <w:b/>
                <w:color w:val="FFFFFF"/>
                <w:sz w:val="17"/>
              </w:rPr>
              <w:t>Content</w:t>
            </w:r>
          </w:p>
        </w:tc>
        <w:tc>
          <w:tcPr>
            <w:tcW w:type="dxa" w:w="3249"/>
            <w:shd w:val="clear" w:fill="1B3A5C"/>
          </w:tcPr>
          <w:p>
            <w:pPr>
              <w:spacing w:before="60" w:after="60"/>
            </w:pPr>
            <w:r>
              <w:rPr>
                <w:rFonts w:ascii="Calibri" w:hAnsi="Calibri"/>
                <w:b/>
                <w:color w:val="FFFFFF"/>
                <w:sz w:val="17"/>
              </w:rPr>
              <w:t>Retention</w:t>
            </w:r>
          </w:p>
        </w:tc>
      </w:tr>
      <w:tr>
        <w:tc>
          <w:tcPr>
            <w:tcW w:type="dxa" w:w="3249"/>
          </w:tcPr>
          <w:p>
            <w:pPr>
              <w:spacing w:before="40" w:after="40"/>
            </w:pPr>
            <w:r>
              <w:rPr>
                <w:rFonts w:ascii="Calibri" w:hAnsi="Calibri"/>
                <w:b/>
                <w:i w:val="0"/>
                <w:color w:val="333333"/>
                <w:sz w:val="17"/>
              </w:rPr>
              <w:t>Audit trail</w:t>
            </w:r>
          </w:p>
        </w:tc>
        <w:tc>
          <w:tcPr>
            <w:tcW w:type="dxa" w:w="3249"/>
          </w:tcPr>
          <w:p>
            <w:pPr>
              <w:spacing w:before="40" w:after="40"/>
            </w:pPr>
            <w:r>
              <w:rPr>
                <w:rFonts w:ascii="Calibri" w:hAnsi="Calibri"/>
                <w:b w:val="0"/>
                <w:i w:val="0"/>
                <w:color w:val="333333"/>
                <w:sz w:val="17"/>
              </w:rPr>
              <w:t>Every create/update/delete on a sensitive entity: actor, action, subject, before/after values, timestamp, IP, grouped by operation batch</w:t>
            </w:r>
          </w:p>
        </w:tc>
        <w:tc>
          <w:tcPr>
            <w:tcW w:type="dxa" w:w="3249"/>
          </w:tcPr>
          <w:p>
            <w:pPr>
              <w:spacing w:before="40" w:after="40"/>
            </w:pPr>
            <w:r>
              <w:rPr>
                <w:rFonts w:ascii="Calibri" w:hAnsi="Calibri"/>
                <w:b w:val="0"/>
                <w:i w:val="0"/>
                <w:color w:val="333333"/>
                <w:sz w:val="17"/>
              </w:rPr>
              <w:t>5 years</w:t>
            </w:r>
          </w:p>
        </w:tc>
      </w:tr>
      <w:tr>
        <w:tc>
          <w:tcPr>
            <w:tcW w:type="dxa" w:w="3249"/>
            <w:shd w:val="clear" w:fill="F2F6FA"/>
          </w:tcPr>
          <w:p>
            <w:pPr>
              <w:spacing w:before="40" w:after="40"/>
            </w:pPr>
            <w:r>
              <w:rPr>
                <w:rFonts w:ascii="Calibri" w:hAnsi="Calibri"/>
                <w:b/>
                <w:i w:val="0"/>
                <w:color w:val="333333"/>
                <w:sz w:val="17"/>
              </w:rPr>
              <w:t>Authentication log</w:t>
            </w:r>
          </w:p>
        </w:tc>
        <w:tc>
          <w:tcPr>
            <w:tcW w:type="dxa" w:w="3249"/>
            <w:shd w:val="clear" w:fill="F2F6FA"/>
          </w:tcPr>
          <w:p>
            <w:pPr>
              <w:spacing w:before="40" w:after="40"/>
            </w:pPr>
            <w:r>
              <w:rPr>
                <w:rFonts w:ascii="Calibri" w:hAnsi="Calibri"/>
                <w:b w:val="0"/>
                <w:i w:val="0"/>
                <w:color w:val="333333"/>
                <w:sz w:val="17"/>
              </w:rPr>
              <w:t>Successes and failures, back office and POS, with IP, terminal and user agent</w:t>
            </w:r>
          </w:p>
        </w:tc>
        <w:tc>
          <w:tcPr>
            <w:tcW w:type="dxa" w:w="3249"/>
            <w:shd w:val="clear" w:fill="F2F6FA"/>
          </w:tcPr>
          <w:p>
            <w:pPr>
              <w:spacing w:before="40" w:after="40"/>
            </w:pPr>
            <w:r>
              <w:rPr>
                <w:rFonts w:ascii="Calibri" w:hAnsi="Calibri"/>
                <w:b w:val="0"/>
                <w:i w:val="0"/>
                <w:color w:val="333333"/>
                <w:sz w:val="17"/>
              </w:rPr>
              <w:t>12 months</w:t>
            </w:r>
          </w:p>
        </w:tc>
      </w:tr>
      <w:tr>
        <w:tc>
          <w:tcPr>
            <w:tcW w:type="dxa" w:w="3249"/>
          </w:tcPr>
          <w:p>
            <w:pPr>
              <w:spacing w:before="40" w:after="40"/>
            </w:pPr>
            <w:r>
              <w:rPr>
                <w:rFonts w:ascii="Calibri" w:hAnsi="Calibri"/>
                <w:b/>
                <w:i w:val="0"/>
                <w:color w:val="333333"/>
                <w:sz w:val="17"/>
              </w:rPr>
              <w:t>API log</w:t>
            </w:r>
          </w:p>
        </w:tc>
        <w:tc>
          <w:tcPr>
            <w:tcW w:type="dxa" w:w="3249"/>
          </w:tcPr>
          <w:p>
            <w:pPr>
              <w:spacing w:before="40" w:after="40"/>
            </w:pPr>
            <w:r>
              <w:rPr>
                <w:rFonts w:ascii="Calibri" w:hAnsi="Calibri"/>
                <w:b w:val="0"/>
                <w:i w:val="0"/>
                <w:color w:val="333333"/>
                <w:sz w:val="17"/>
              </w:rPr>
              <w:t>Dedicated middleware already records transaction, card and OTP API traffic: endpoint, payload (sensitive fields masked), response, status, latency</w:t>
            </w:r>
          </w:p>
        </w:tc>
        <w:tc>
          <w:tcPr>
            <w:tcW w:type="dxa" w:w="3249"/>
          </w:tcPr>
          <w:p>
            <w:pPr>
              <w:spacing w:before="40" w:after="40"/>
            </w:pPr>
            <w:r>
              <w:rPr>
                <w:rFonts w:ascii="Calibri" w:hAnsi="Calibri"/>
                <w:b w:val="0"/>
                <w:i w:val="0"/>
                <w:color w:val="333333"/>
                <w:sz w:val="17"/>
              </w:rPr>
              <w:t>12 months</w:t>
            </w:r>
          </w:p>
        </w:tc>
      </w:tr>
      <w:tr>
        <w:tc>
          <w:tcPr>
            <w:tcW w:type="dxa" w:w="3249"/>
            <w:shd w:val="clear" w:fill="F2F6FA"/>
          </w:tcPr>
          <w:p>
            <w:pPr>
              <w:spacing w:before="40" w:after="40"/>
            </w:pPr>
            <w:r>
              <w:rPr>
                <w:rFonts w:ascii="Calibri" w:hAnsi="Calibri"/>
                <w:b/>
                <w:i w:val="0"/>
                <w:color w:val="333333"/>
                <w:sz w:val="17"/>
              </w:rPr>
              <w:t>Financial log</w:t>
            </w:r>
          </w:p>
        </w:tc>
        <w:tc>
          <w:tcPr>
            <w:tcW w:type="dxa" w:w="3249"/>
            <w:shd w:val="clear" w:fill="F2F6FA"/>
          </w:tcPr>
          <w:p>
            <w:pPr>
              <w:spacing w:before="40" w:after="40"/>
            </w:pPr>
            <w:r>
              <w:rPr>
                <w:rFonts w:ascii="Calibri" w:hAnsi="Calibri"/>
                <w:b w:val="0"/>
                <w:i w:val="0"/>
                <w:color w:val="333333"/>
                <w:sz w:val="17"/>
              </w:rPr>
              <w:t>Every collection, pay-in, confirmation, correction and cap change</w:t>
            </w:r>
          </w:p>
        </w:tc>
        <w:tc>
          <w:tcPr>
            <w:tcW w:type="dxa" w:w="3249"/>
            <w:shd w:val="clear" w:fill="F2F6FA"/>
          </w:tcPr>
          <w:p>
            <w:pPr>
              <w:spacing w:before="40" w:after="40"/>
            </w:pPr>
            <w:r>
              <w:rPr>
                <w:rFonts w:ascii="Calibri" w:hAnsi="Calibri"/>
                <w:b w:val="0"/>
                <w:i w:val="0"/>
                <w:color w:val="333333"/>
                <w:sz w:val="17"/>
              </w:rPr>
              <w:t>10 years</w:t>
            </w:r>
          </w:p>
        </w:tc>
      </w:tr>
      <w:tr>
        <w:tc>
          <w:tcPr>
            <w:tcW w:type="dxa" w:w="3249"/>
          </w:tcPr>
          <w:p>
            <w:pPr>
              <w:spacing w:before="40" w:after="40"/>
            </w:pPr>
            <w:r>
              <w:rPr>
                <w:rFonts w:ascii="Calibri" w:hAnsi="Calibri"/>
                <w:b/>
                <w:i w:val="0"/>
                <w:color w:val="333333"/>
                <w:sz w:val="17"/>
              </w:rPr>
              <w:t>Integration log</w:t>
            </w:r>
          </w:p>
        </w:tc>
        <w:tc>
          <w:tcPr>
            <w:tcW w:type="dxa" w:w="3249"/>
          </w:tcPr>
          <w:p>
            <w:pPr>
              <w:spacing w:before="40" w:after="40"/>
            </w:pPr>
            <w:r>
              <w:rPr>
                <w:rFonts w:ascii="Calibri" w:hAnsi="Calibri"/>
                <w:b w:val="0"/>
                <w:i w:val="0"/>
                <w:color w:val="333333"/>
                <w:sz w:val="17"/>
              </w:rPr>
              <w:t>Every SUNULIFE and Mobile Money exchange with status and attempt count</w:t>
            </w:r>
          </w:p>
        </w:tc>
        <w:tc>
          <w:tcPr>
            <w:tcW w:type="dxa" w:w="3249"/>
          </w:tcPr>
          <w:p>
            <w:pPr>
              <w:spacing w:before="40" w:after="40"/>
            </w:pPr>
            <w:r>
              <w:rPr>
                <w:rFonts w:ascii="Calibri" w:hAnsi="Calibri"/>
                <w:b w:val="0"/>
                <w:i w:val="0"/>
                <w:color w:val="333333"/>
                <w:sz w:val="17"/>
              </w:rPr>
              <w:t>24 months</w:t>
            </w:r>
          </w:p>
        </w:tc>
      </w:tr>
      <w:tr>
        <w:tc>
          <w:tcPr>
            <w:tcW w:type="dxa" w:w="3249"/>
            <w:shd w:val="clear" w:fill="F2F6FA"/>
          </w:tcPr>
          <w:p>
            <w:pPr>
              <w:spacing w:before="40" w:after="40"/>
            </w:pPr>
            <w:r>
              <w:rPr>
                <w:rFonts w:ascii="Calibri" w:hAnsi="Calibri"/>
                <w:b/>
                <w:i w:val="0"/>
                <w:color w:val="333333"/>
                <w:sz w:val="17"/>
              </w:rPr>
              <w:t>Technical log</w:t>
            </w:r>
          </w:p>
        </w:tc>
        <w:tc>
          <w:tcPr>
            <w:tcW w:type="dxa" w:w="3249"/>
            <w:shd w:val="clear" w:fill="F2F6FA"/>
          </w:tcPr>
          <w:p>
            <w:pPr>
              <w:spacing w:before="40" w:after="40"/>
            </w:pPr>
            <w:r>
              <w:rPr>
                <w:rFonts w:ascii="Calibri" w:hAnsi="Calibri"/>
                <w:b w:val="0"/>
                <w:i w:val="0"/>
                <w:color w:val="333333"/>
                <w:sz w:val="17"/>
              </w:rPr>
              <w:t>Errors, exceptions, performance</w:t>
            </w:r>
          </w:p>
        </w:tc>
        <w:tc>
          <w:tcPr>
            <w:tcW w:type="dxa" w:w="3249"/>
            <w:shd w:val="clear" w:fill="F2F6FA"/>
          </w:tcPr>
          <w:p>
            <w:pPr>
              <w:spacing w:before="40" w:after="40"/>
            </w:pPr>
            <w:r>
              <w:rPr>
                <w:rFonts w:ascii="Calibri" w:hAnsi="Calibri"/>
                <w:b w:val="0"/>
                <w:i w:val="0"/>
                <w:color w:val="333333"/>
                <w:sz w:val="17"/>
              </w:rPr>
              <w:t>90 days</w:t>
            </w:r>
          </w:p>
        </w:tc>
      </w:tr>
    </w:tbl>
    <w:p>
      <w:pPr>
        <w:spacing w:after="40"/>
      </w:pPr>
    </w:p>
    <w:p>
      <w:pPr>
        <w:pStyle w:val="Heading2"/>
        <w:spacing w:before="280" w:after="80"/>
        <w:keepNext/>
      </w:pPr>
      <w:bookmarkStart w:id="143" w:name="_Toc_s042"/>
      <w:r>
        <w:rPr>
          <w:rFonts w:ascii="Calibri" w:hAnsi="Calibri"/>
          <w:b/>
          <w:color w:val="1B3A5C"/>
          <w:sz w:val="24"/>
        </w:rPr>
        <w:t>11.2 Log protection</w:t>
      </w:r>
      <w:bookmarkEnd w:id="143"/>
    </w:p>
    <w:p>
      <w:r>
        <w:rPr>
          <w:rFonts w:ascii="Calibri" w:hAnsi="Calibri"/>
          <w:b w:val="0"/>
          <w:i w:val="0"/>
          <w:color w:val="333333"/>
          <w:sz w:val="20"/>
        </w:rPr>
        <w:t>Logs are append-only to application users; no application profile can delete an audit record. Sensitive values (passwords, PINs, tokens, full CNIB, biometric templates) are masked at the point of writing — a logging configuration that would emit them in plaintext must not exist in production. See §12 item H-6.</w:t>
      </w:r>
    </w:p>
    <w:p>
      <w:pPr>
        <w:pStyle w:val="Heading2"/>
        <w:spacing w:before="280" w:after="80"/>
        <w:keepNext/>
      </w:pPr>
      <w:bookmarkStart w:id="144" w:name="_Toc_s043"/>
      <w:r>
        <w:rPr>
          <w:rFonts w:ascii="Calibri" w:hAnsi="Calibri"/>
          <w:b/>
          <w:color w:val="1B3A5C"/>
          <w:sz w:val="24"/>
        </w:rPr>
        <w:t>11.3 Alerts</w:t>
      </w:r>
      <w:bookmarkEnd w:id="144"/>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3249"/>
        <w:gridCol w:w="3249"/>
        <w:gridCol w:w="3249"/>
      </w:tblGrid>
      <w:tr>
        <w:trPr>
          <w:tblHeader w:val="true"/>
        </w:trPr>
        <w:tc>
          <w:tcPr>
            <w:tcW w:type="dxa" w:w="3249"/>
            <w:shd w:val="clear" w:fill="1B3A5C"/>
          </w:tcPr>
          <w:p>
            <w:pPr>
              <w:spacing w:before="60" w:after="60"/>
            </w:pPr>
            <w:r>
              <w:rPr>
                <w:rFonts w:ascii="Calibri" w:hAnsi="Calibri"/>
                <w:b/>
                <w:color w:val="FFFFFF"/>
                <w:sz w:val="17"/>
              </w:rPr>
              <w:t>Event</w:t>
            </w:r>
          </w:p>
        </w:tc>
        <w:tc>
          <w:tcPr>
            <w:tcW w:type="dxa" w:w="3249"/>
            <w:shd w:val="clear" w:fill="1B3A5C"/>
          </w:tcPr>
          <w:p>
            <w:pPr>
              <w:spacing w:before="60" w:after="60"/>
            </w:pPr>
            <w:r>
              <w:rPr>
                <w:rFonts w:ascii="Calibri" w:hAnsi="Calibri"/>
                <w:b/>
                <w:color w:val="FFFFFF"/>
                <w:sz w:val="17"/>
              </w:rPr>
              <w:t>Severity</w:t>
            </w:r>
          </w:p>
        </w:tc>
        <w:tc>
          <w:tcPr>
            <w:tcW w:type="dxa" w:w="3249"/>
            <w:shd w:val="clear" w:fill="1B3A5C"/>
          </w:tcPr>
          <w:p>
            <w:pPr>
              <w:spacing w:before="60" w:after="60"/>
            </w:pPr>
            <w:r>
              <w:rPr>
                <w:rFonts w:ascii="Calibri" w:hAnsi="Calibri"/>
                <w:b/>
                <w:color w:val="FFFFFF"/>
                <w:sz w:val="17"/>
              </w:rPr>
              <w:t>Recipient</w:t>
            </w:r>
          </w:p>
        </w:tc>
      </w:tr>
      <w:tr>
        <w:tc>
          <w:tcPr>
            <w:tcW w:type="dxa" w:w="3249"/>
          </w:tcPr>
          <w:p>
            <w:pPr>
              <w:spacing w:before="40" w:after="40"/>
            </w:pPr>
            <w:r>
              <w:rPr>
                <w:rFonts w:ascii="Calibri" w:hAnsi="Calibri"/>
                <w:b w:val="0"/>
                <w:i w:val="0"/>
                <w:color w:val="333333"/>
                <w:sz w:val="17"/>
              </w:rPr>
              <w:t>Repeated authentication failures on one account</w:t>
            </w:r>
          </w:p>
        </w:tc>
        <w:tc>
          <w:tcPr>
            <w:tcW w:type="dxa" w:w="3249"/>
          </w:tcPr>
          <w:p>
            <w:pPr>
              <w:spacing w:before="40" w:after="40"/>
            </w:pPr>
            <w:r>
              <w:rPr>
                <w:rFonts w:ascii="Calibri" w:hAnsi="Calibri"/>
                <w:b w:val="0"/>
                <w:i w:val="0"/>
                <w:color w:val="333333"/>
                <w:sz w:val="17"/>
              </w:rPr>
              <w:t>Medium</w:t>
            </w:r>
          </w:p>
        </w:tc>
        <w:tc>
          <w:tcPr>
            <w:tcW w:type="dxa" w:w="3249"/>
          </w:tcPr>
          <w:p>
            <w:pPr>
              <w:spacing w:before="40" w:after="40"/>
            </w:pPr>
            <w:r>
              <w:rPr>
                <w:rFonts w:ascii="Calibri" w:hAnsi="Calibri"/>
                <w:b w:val="0"/>
                <w:i w:val="0"/>
                <w:color w:val="333333"/>
                <w:sz w:val="17"/>
              </w:rPr>
              <w:t>Administrator</w:t>
            </w:r>
          </w:p>
        </w:tc>
      </w:tr>
      <w:tr>
        <w:tc>
          <w:tcPr>
            <w:tcW w:type="dxa" w:w="3249"/>
            <w:shd w:val="clear" w:fill="F2F6FA"/>
          </w:tcPr>
          <w:p>
            <w:pPr>
              <w:spacing w:before="40" w:after="40"/>
            </w:pPr>
            <w:r>
              <w:rPr>
                <w:rFonts w:ascii="Calibri" w:hAnsi="Calibri"/>
                <w:b w:val="0"/>
                <w:i w:val="0"/>
                <w:color w:val="333333"/>
                <w:sz w:val="17"/>
              </w:rPr>
              <w:t>Login from an unassigned terminal</w:t>
            </w:r>
          </w:p>
        </w:tc>
        <w:tc>
          <w:tcPr>
            <w:tcW w:type="dxa" w:w="3249"/>
            <w:shd w:val="clear" w:fill="F2F6FA"/>
          </w:tcPr>
          <w:p>
            <w:pPr>
              <w:spacing w:before="40" w:after="40"/>
            </w:pPr>
            <w:r>
              <w:rPr>
                <w:rFonts w:ascii="Calibri" w:hAnsi="Calibri"/>
                <w:b w:val="0"/>
                <w:i w:val="0"/>
                <w:color w:val="333333"/>
                <w:sz w:val="17"/>
              </w:rPr>
              <w:t>High</w:t>
            </w:r>
          </w:p>
        </w:tc>
        <w:tc>
          <w:tcPr>
            <w:tcW w:type="dxa" w:w="3249"/>
            <w:shd w:val="clear" w:fill="F2F6FA"/>
          </w:tcPr>
          <w:p>
            <w:pPr>
              <w:spacing w:before="40" w:after="40"/>
            </w:pPr>
            <w:r>
              <w:rPr>
                <w:rFonts w:ascii="Calibri" w:hAnsi="Calibri"/>
                <w:b w:val="0"/>
                <w:i w:val="0"/>
                <w:color w:val="333333"/>
                <w:sz w:val="17"/>
              </w:rPr>
              <w:t>Supervisor + Administrator</w:t>
            </w:r>
          </w:p>
        </w:tc>
      </w:tr>
      <w:tr>
        <w:tc>
          <w:tcPr>
            <w:tcW w:type="dxa" w:w="3249"/>
          </w:tcPr>
          <w:p>
            <w:pPr>
              <w:spacing w:before="40" w:after="40"/>
            </w:pPr>
            <w:r>
              <w:rPr>
                <w:rFonts w:ascii="Calibri" w:hAnsi="Calibri"/>
                <w:b w:val="0"/>
                <w:i w:val="0"/>
                <w:color w:val="333333"/>
                <w:sz w:val="17"/>
              </w:rPr>
              <w:t>Rooted or tampered device detected</w:t>
            </w:r>
          </w:p>
        </w:tc>
        <w:tc>
          <w:tcPr>
            <w:tcW w:type="dxa" w:w="3249"/>
          </w:tcPr>
          <w:p>
            <w:pPr>
              <w:spacing w:before="40" w:after="40"/>
            </w:pPr>
            <w:r>
              <w:rPr>
                <w:rFonts w:ascii="Calibri" w:hAnsi="Calibri"/>
                <w:b w:val="0"/>
                <w:i w:val="0"/>
                <w:color w:val="333333"/>
                <w:sz w:val="17"/>
              </w:rPr>
              <w:t>High</w:t>
            </w:r>
          </w:p>
        </w:tc>
        <w:tc>
          <w:tcPr>
            <w:tcW w:type="dxa" w:w="3249"/>
          </w:tcPr>
          <w:p>
            <w:pPr>
              <w:spacing w:before="40" w:after="40"/>
            </w:pPr>
            <w:r>
              <w:rPr>
                <w:rFonts w:ascii="Calibri" w:hAnsi="Calibri"/>
                <w:b w:val="0"/>
                <w:i w:val="0"/>
                <w:color w:val="333333"/>
                <w:sz w:val="17"/>
              </w:rPr>
              <w:t>IT</w:t>
            </w:r>
          </w:p>
        </w:tc>
      </w:tr>
      <w:tr>
        <w:tc>
          <w:tcPr>
            <w:tcW w:type="dxa" w:w="3249"/>
            <w:shd w:val="clear" w:fill="F2F6FA"/>
          </w:tcPr>
          <w:p>
            <w:pPr>
              <w:spacing w:before="40" w:after="40"/>
            </w:pPr>
            <w:r>
              <w:rPr>
                <w:rFonts w:ascii="Calibri" w:hAnsi="Calibri"/>
                <w:b w:val="0"/>
                <w:i w:val="0"/>
                <w:color w:val="333333"/>
                <w:sz w:val="17"/>
              </w:rPr>
              <w:t>Receipt number gap detected</w:t>
            </w:r>
          </w:p>
        </w:tc>
        <w:tc>
          <w:tcPr>
            <w:tcW w:type="dxa" w:w="3249"/>
            <w:shd w:val="clear" w:fill="F2F6FA"/>
          </w:tcPr>
          <w:p>
            <w:pPr>
              <w:spacing w:before="40" w:after="40"/>
            </w:pPr>
            <w:r>
              <w:rPr>
                <w:rFonts w:ascii="Calibri" w:hAnsi="Calibri"/>
                <w:b w:val="0"/>
                <w:i w:val="0"/>
                <w:color w:val="333333"/>
                <w:sz w:val="17"/>
              </w:rPr>
              <w:t>High</w:t>
            </w:r>
          </w:p>
        </w:tc>
        <w:tc>
          <w:tcPr>
            <w:tcW w:type="dxa" w:w="3249"/>
            <w:shd w:val="clear" w:fill="F2F6FA"/>
          </w:tcPr>
          <w:p>
            <w:pPr>
              <w:spacing w:before="40" w:after="40"/>
            </w:pPr>
            <w:r>
              <w:rPr>
                <w:rFonts w:ascii="Calibri" w:hAnsi="Calibri"/>
                <w:b w:val="0"/>
                <w:i w:val="0"/>
                <w:color w:val="333333"/>
                <w:sz w:val="17"/>
              </w:rPr>
              <w:t>Supervisor</w:t>
            </w:r>
          </w:p>
        </w:tc>
      </w:tr>
      <w:tr>
        <w:tc>
          <w:tcPr>
            <w:tcW w:type="dxa" w:w="3249"/>
          </w:tcPr>
          <w:p>
            <w:pPr>
              <w:spacing w:before="40" w:after="40"/>
            </w:pPr>
            <w:r>
              <w:rPr>
                <w:rFonts w:ascii="Calibri" w:hAnsi="Calibri"/>
                <w:b w:val="0"/>
                <w:i w:val="0"/>
                <w:color w:val="333333"/>
                <w:sz w:val="17"/>
              </w:rPr>
              <w:t>Collector above cap for more than N days</w:t>
            </w:r>
          </w:p>
        </w:tc>
        <w:tc>
          <w:tcPr>
            <w:tcW w:type="dxa" w:w="3249"/>
          </w:tcPr>
          <w:p>
            <w:pPr>
              <w:spacing w:before="40" w:after="40"/>
            </w:pPr>
            <w:r>
              <w:rPr>
                <w:rFonts w:ascii="Calibri" w:hAnsi="Calibri"/>
                <w:b w:val="0"/>
                <w:i w:val="0"/>
                <w:color w:val="333333"/>
                <w:sz w:val="17"/>
              </w:rPr>
              <w:t>Medium</w:t>
            </w:r>
          </w:p>
        </w:tc>
        <w:tc>
          <w:tcPr>
            <w:tcW w:type="dxa" w:w="3249"/>
          </w:tcPr>
          <w:p>
            <w:pPr>
              <w:spacing w:before="40" w:after="40"/>
            </w:pPr>
            <w:r>
              <w:rPr>
                <w:rFonts w:ascii="Calibri" w:hAnsi="Calibri"/>
                <w:b w:val="0"/>
                <w:i w:val="0"/>
                <w:color w:val="333333"/>
                <w:sz w:val="17"/>
              </w:rPr>
              <w:t>Supervisor</w:t>
            </w:r>
          </w:p>
        </w:tc>
      </w:tr>
      <w:tr>
        <w:tc>
          <w:tcPr>
            <w:tcW w:type="dxa" w:w="3249"/>
            <w:shd w:val="clear" w:fill="F2F6FA"/>
          </w:tcPr>
          <w:p>
            <w:pPr>
              <w:spacing w:before="40" w:after="40"/>
            </w:pPr>
            <w:r>
              <w:rPr>
                <w:rFonts w:ascii="Calibri" w:hAnsi="Calibri"/>
                <w:b w:val="0"/>
                <w:i w:val="0"/>
                <w:color w:val="333333"/>
                <w:sz w:val="17"/>
              </w:rPr>
              <w:t>Pay-in variance beyond tolerance</w:t>
            </w:r>
          </w:p>
        </w:tc>
        <w:tc>
          <w:tcPr>
            <w:tcW w:type="dxa" w:w="3249"/>
            <w:shd w:val="clear" w:fill="F2F6FA"/>
          </w:tcPr>
          <w:p>
            <w:pPr>
              <w:spacing w:before="40" w:after="40"/>
            </w:pPr>
            <w:r>
              <w:rPr>
                <w:rFonts w:ascii="Calibri" w:hAnsi="Calibri"/>
                <w:b w:val="0"/>
                <w:i w:val="0"/>
                <w:color w:val="333333"/>
                <w:sz w:val="17"/>
              </w:rPr>
              <w:t>High</w:t>
            </w:r>
          </w:p>
        </w:tc>
        <w:tc>
          <w:tcPr>
            <w:tcW w:type="dxa" w:w="3249"/>
            <w:shd w:val="clear" w:fill="F2F6FA"/>
          </w:tcPr>
          <w:p>
            <w:pPr>
              <w:spacing w:before="40" w:after="40"/>
            </w:pPr>
            <w:r>
              <w:rPr>
                <w:rFonts w:ascii="Calibri" w:hAnsi="Calibri"/>
                <w:b w:val="0"/>
                <w:i w:val="0"/>
                <w:color w:val="333333"/>
                <w:sz w:val="17"/>
              </w:rPr>
              <w:t>Supervisor + Finance</w:t>
            </w:r>
          </w:p>
        </w:tc>
      </w:tr>
      <w:tr>
        <w:tc>
          <w:tcPr>
            <w:tcW w:type="dxa" w:w="3249"/>
          </w:tcPr>
          <w:p>
            <w:pPr>
              <w:spacing w:before="40" w:after="40"/>
            </w:pPr>
            <w:r>
              <w:rPr>
                <w:rFonts w:ascii="Calibri" w:hAnsi="Calibri"/>
                <w:b w:val="0"/>
                <w:i w:val="0"/>
                <w:color w:val="333333"/>
                <w:sz w:val="17"/>
              </w:rPr>
              <w:t>Abnormal export volume</w:t>
            </w:r>
          </w:p>
        </w:tc>
        <w:tc>
          <w:tcPr>
            <w:tcW w:type="dxa" w:w="3249"/>
          </w:tcPr>
          <w:p>
            <w:pPr>
              <w:spacing w:before="40" w:after="40"/>
            </w:pPr>
            <w:r>
              <w:rPr>
                <w:rFonts w:ascii="Calibri" w:hAnsi="Calibri"/>
                <w:b w:val="0"/>
                <w:i w:val="0"/>
                <w:color w:val="333333"/>
                <w:sz w:val="17"/>
              </w:rPr>
              <w:t>High</w:t>
            </w:r>
          </w:p>
        </w:tc>
        <w:tc>
          <w:tcPr>
            <w:tcW w:type="dxa" w:w="3249"/>
          </w:tcPr>
          <w:p>
            <w:pPr>
              <w:spacing w:before="40" w:after="40"/>
            </w:pPr>
            <w:r>
              <w:rPr>
                <w:rFonts w:ascii="Calibri" w:hAnsi="Calibri"/>
                <w:b w:val="0"/>
                <w:i w:val="0"/>
                <w:color w:val="333333"/>
                <w:sz w:val="17"/>
              </w:rPr>
              <w:t>Administrator + IT</w:t>
            </w:r>
          </w:p>
        </w:tc>
      </w:tr>
      <w:tr>
        <w:tc>
          <w:tcPr>
            <w:tcW w:type="dxa" w:w="3249"/>
            <w:shd w:val="clear" w:fill="F2F6FA"/>
          </w:tcPr>
          <w:p>
            <w:pPr>
              <w:spacing w:before="40" w:after="40"/>
            </w:pPr>
            <w:r>
              <w:rPr>
                <w:rFonts w:ascii="Calibri" w:hAnsi="Calibri"/>
                <w:b w:val="0"/>
                <w:i w:val="0"/>
                <w:color w:val="333333"/>
                <w:sz w:val="17"/>
              </w:rPr>
              <w:t>Integration failure rate above threshold</w:t>
            </w:r>
          </w:p>
        </w:tc>
        <w:tc>
          <w:tcPr>
            <w:tcW w:type="dxa" w:w="3249"/>
            <w:shd w:val="clear" w:fill="F2F6FA"/>
          </w:tcPr>
          <w:p>
            <w:pPr>
              <w:spacing w:before="40" w:after="40"/>
            </w:pPr>
            <w:r>
              <w:rPr>
                <w:rFonts w:ascii="Calibri" w:hAnsi="Calibri"/>
                <w:b w:val="0"/>
                <w:i w:val="0"/>
                <w:color w:val="333333"/>
                <w:sz w:val="17"/>
              </w:rPr>
              <w:t>Medium</w:t>
            </w:r>
          </w:p>
        </w:tc>
        <w:tc>
          <w:tcPr>
            <w:tcW w:type="dxa" w:w="3249"/>
            <w:shd w:val="clear" w:fill="F2F6FA"/>
          </w:tcPr>
          <w:p>
            <w:pPr>
              <w:spacing w:before="40" w:after="40"/>
            </w:pPr>
            <w:r>
              <w:rPr>
                <w:rFonts w:ascii="Calibri" w:hAnsi="Calibri"/>
                <w:b w:val="0"/>
                <w:i w:val="0"/>
                <w:color w:val="333333"/>
                <w:sz w:val="17"/>
              </w:rPr>
              <w:t>IT</w:t>
            </w:r>
          </w:p>
        </w:tc>
      </w:tr>
      <w:tr>
        <w:tc>
          <w:tcPr>
            <w:tcW w:type="dxa" w:w="3249"/>
          </w:tcPr>
          <w:p>
            <w:pPr>
              <w:spacing w:before="40" w:after="40"/>
            </w:pPr>
            <w:r>
              <w:rPr>
                <w:rFonts w:ascii="Calibri" w:hAnsi="Calibri"/>
                <w:b w:val="0"/>
                <w:i w:val="0"/>
                <w:color w:val="333333"/>
                <w:sz w:val="17"/>
              </w:rPr>
              <w:t>Unverified Mobile Money callback</w:t>
            </w:r>
          </w:p>
        </w:tc>
        <w:tc>
          <w:tcPr>
            <w:tcW w:type="dxa" w:w="3249"/>
          </w:tcPr>
          <w:p>
            <w:pPr>
              <w:spacing w:before="40" w:after="40"/>
            </w:pPr>
            <w:r>
              <w:rPr>
                <w:rFonts w:ascii="Calibri" w:hAnsi="Calibri"/>
                <w:b w:val="0"/>
                <w:i w:val="0"/>
                <w:color w:val="333333"/>
                <w:sz w:val="17"/>
              </w:rPr>
              <w:t>High</w:t>
            </w:r>
          </w:p>
        </w:tc>
        <w:tc>
          <w:tcPr>
            <w:tcW w:type="dxa" w:w="3249"/>
          </w:tcPr>
          <w:p>
            <w:pPr>
              <w:spacing w:before="40" w:after="40"/>
            </w:pPr>
            <w:r>
              <w:rPr>
                <w:rFonts w:ascii="Calibri" w:hAnsi="Calibri"/>
                <w:b w:val="0"/>
                <w:i w:val="0"/>
                <w:color w:val="333333"/>
                <w:sz w:val="17"/>
              </w:rPr>
              <w:t>IT</w:t>
            </w:r>
          </w:p>
        </w:tc>
      </w:tr>
      <w:tr>
        <w:tc>
          <w:tcPr>
            <w:tcW w:type="dxa" w:w="3249"/>
            <w:shd w:val="clear" w:fill="F2F6FA"/>
          </w:tcPr>
          <w:p>
            <w:pPr>
              <w:spacing w:before="40" w:after="40"/>
            </w:pPr>
            <w:r>
              <w:rPr>
                <w:rFonts w:ascii="Calibri" w:hAnsi="Calibri"/>
                <w:b w:val="0"/>
                <w:i w:val="0"/>
                <w:color w:val="333333"/>
                <w:sz w:val="17"/>
              </w:rPr>
              <w:t>Backup failure</w:t>
            </w:r>
          </w:p>
        </w:tc>
        <w:tc>
          <w:tcPr>
            <w:tcW w:type="dxa" w:w="3249"/>
            <w:shd w:val="clear" w:fill="F2F6FA"/>
          </w:tcPr>
          <w:p>
            <w:pPr>
              <w:spacing w:before="40" w:after="40"/>
            </w:pPr>
            <w:r>
              <w:rPr>
                <w:rFonts w:ascii="Calibri" w:hAnsi="Calibri"/>
                <w:b w:val="0"/>
                <w:i w:val="0"/>
                <w:color w:val="333333"/>
                <w:sz w:val="17"/>
              </w:rPr>
              <w:t>High</w:t>
            </w:r>
          </w:p>
        </w:tc>
        <w:tc>
          <w:tcPr>
            <w:tcW w:type="dxa" w:w="3249"/>
            <w:shd w:val="clear" w:fill="F2F6FA"/>
          </w:tcPr>
          <w:p>
            <w:pPr>
              <w:spacing w:before="40" w:after="40"/>
            </w:pPr>
            <w:r>
              <w:rPr>
                <w:rFonts w:ascii="Calibri" w:hAnsi="Calibri"/>
                <w:b w:val="0"/>
                <w:i w:val="0"/>
                <w:color w:val="333333"/>
                <w:sz w:val="17"/>
              </w:rPr>
              <w:t>IT</w:t>
            </w:r>
          </w:p>
        </w:tc>
      </w:tr>
    </w:tbl>
    <w:p>
      <w:pPr>
        <w:spacing w:after="40"/>
      </w:pPr>
    </w:p>
    <w:p>
      <w:pPr>
        <w:pStyle w:val="Heading2"/>
        <w:spacing w:before="280" w:after="80"/>
        <w:keepNext/>
      </w:pPr>
      <w:bookmarkStart w:id="145" w:name="_Toc_s044"/>
      <w:r>
        <w:rPr>
          <w:rFonts w:ascii="Calibri" w:hAnsi="Calibri"/>
          <w:b/>
          <w:color w:val="1B3A5C"/>
          <w:sz w:val="24"/>
        </w:rPr>
        <w:t>11.4 Review cadence</w:t>
      </w:r>
      <w:bookmarkEnd w:id="145"/>
    </w:p>
    <w:p>
      <w:r>
        <w:rPr>
          <w:rFonts w:ascii="Calibri" w:hAnsi="Calibri"/>
          <w:b w:val="0"/>
          <w:i w:val="0"/>
          <w:color w:val="333333"/>
          <w:sz w:val="20"/>
        </w:rPr>
        <w:t>Daily: alert queue and exception queues. Weekly: cap and pay-in reconciliation. Monthly: access review of privileged accounts, integration health. Quarterly: full user and permission review, backup restore test, security patch review.</w:t>
      </w:r>
    </w:p>
    <w:p>
      <w:pPr>
        <w:pStyle w:val="Heading1"/>
        <w:pageBreakBefore/>
        <w:spacing w:before="360" w:after="80"/>
        <w:keepNext/>
        <w:pBdr>
          <w:bottom w:val="single" w:sz="8" w:space="6" w:color="1B3A5C"/>
        </w:pBdr>
      </w:pPr>
      <w:bookmarkStart w:id="146" w:name="_Toc_s045"/>
      <w:r>
        <w:rPr>
          <w:rFonts w:ascii="Calibri" w:hAnsi="Calibri"/>
          <w:b/>
          <w:color w:val="1B3A5C"/>
          <w:sz w:val="30"/>
        </w:rPr>
        <w:t>12. Hardening Programme — Pre-Existing Items to Correct</w:t>
      </w:r>
      <w:bookmarkEnd w:id="146"/>
    </w:p>
    <w:p>
      <w:r>
        <w:rPr>
          <w:rFonts w:ascii="Calibri" w:hAnsi="Calibri"/>
          <w:b w:val="0"/>
          <w:i w:val="0"/>
          <w:color w:val="333333"/>
          <w:sz w:val="20"/>
        </w:rPr>
        <w:t xml:space="preserve">These items exist in the current platform and are </w:t>
      </w:r>
      <w:r>
        <w:rPr>
          <w:rFonts w:ascii="Calibri" w:hAnsi="Calibri"/>
          <w:b/>
          <w:i w:val="0"/>
          <w:color w:val="333333"/>
          <w:sz w:val="20"/>
        </w:rPr>
        <w:t>corrected as part of this project</w:t>
      </w:r>
      <w:r>
        <w:rPr>
          <w:rFonts w:ascii="Calibri" w:hAnsi="Calibri"/>
          <w:b w:val="0"/>
          <w:i w:val="0"/>
          <w:color w:val="333333"/>
          <w:sz w:val="20"/>
        </w:rPr>
        <w:t>, before the production launch. They are listed openly so SUNU can verify each one at acceptance. Each carries a target aligned with Document 4.</w:t>
      </w:r>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1949"/>
        <w:gridCol w:w="1949"/>
        <w:gridCol w:w="1949"/>
        <w:gridCol w:w="1949"/>
        <w:gridCol w:w="1949"/>
      </w:tblGrid>
      <w:tr>
        <w:trPr>
          <w:tblHeader w:val="true"/>
        </w:trPr>
        <w:tc>
          <w:tcPr>
            <w:tcW w:type="dxa" w:w="907"/>
            <w:shd w:val="clear" w:fill="1B3A5C"/>
          </w:tcPr>
          <w:p>
            <w:pPr>
              <w:spacing w:before="60" w:after="60"/>
            </w:pPr>
            <w:r>
              <w:rPr>
                <w:rFonts w:ascii="Calibri" w:hAnsi="Calibri"/>
                <w:b/>
                <w:color w:val="FFFFFF"/>
                <w:sz w:val="17"/>
              </w:rPr>
              <w:t>#</w:t>
            </w:r>
          </w:p>
        </w:tc>
        <w:tc>
          <w:tcPr>
            <w:tcW w:type="dxa" w:w="2126"/>
            <w:shd w:val="clear" w:fill="1B3A5C"/>
          </w:tcPr>
          <w:p>
            <w:pPr>
              <w:spacing w:before="60" w:after="60"/>
            </w:pPr>
            <w:r>
              <w:rPr>
                <w:rFonts w:ascii="Calibri" w:hAnsi="Calibri"/>
                <w:b/>
                <w:color w:val="FFFFFF"/>
                <w:sz w:val="17"/>
              </w:rPr>
              <w:t>Item</w:t>
            </w:r>
          </w:p>
        </w:tc>
        <w:tc>
          <w:tcPr>
            <w:tcW w:type="dxa" w:w="2126"/>
            <w:shd w:val="clear" w:fill="1B3A5C"/>
          </w:tcPr>
          <w:p>
            <w:pPr>
              <w:spacing w:before="60" w:after="60"/>
            </w:pPr>
            <w:r>
              <w:rPr>
                <w:rFonts w:ascii="Calibri" w:hAnsi="Calibri"/>
                <w:b/>
                <w:color w:val="FFFFFF"/>
                <w:sz w:val="17"/>
              </w:rPr>
              <w:t>Current state</w:t>
            </w:r>
          </w:p>
        </w:tc>
        <w:tc>
          <w:tcPr>
            <w:tcW w:type="dxa" w:w="2126"/>
            <w:shd w:val="clear" w:fill="1B3A5C"/>
          </w:tcPr>
          <w:p>
            <w:pPr>
              <w:spacing w:before="60" w:after="60"/>
            </w:pPr>
            <w:r>
              <w:rPr>
                <w:rFonts w:ascii="Calibri" w:hAnsi="Calibri"/>
                <w:b/>
                <w:color w:val="FFFFFF"/>
                <w:sz w:val="17"/>
              </w:rPr>
              <w:t>Correction</w:t>
            </w:r>
          </w:p>
        </w:tc>
        <w:tc>
          <w:tcPr>
            <w:tcW w:type="dxa" w:w="2126"/>
            <w:shd w:val="clear" w:fill="1B3A5C"/>
          </w:tcPr>
          <w:p>
            <w:pPr>
              <w:spacing w:before="60" w:after="60"/>
            </w:pPr>
            <w:r>
              <w:rPr>
                <w:rFonts w:ascii="Calibri" w:hAnsi="Calibri"/>
                <w:b/>
                <w:color w:val="FFFFFF"/>
                <w:sz w:val="17"/>
              </w:rPr>
              <w:t>Target</w:t>
            </w:r>
          </w:p>
        </w:tc>
      </w:tr>
      <w:tr>
        <w:tc>
          <w:tcPr>
            <w:tcW w:type="dxa" w:w="907"/>
          </w:tcPr>
          <w:p>
            <w:pPr>
              <w:spacing w:before="40" w:after="40"/>
            </w:pPr>
            <w:r>
              <w:rPr>
                <w:rFonts w:ascii="Calibri" w:hAnsi="Calibri"/>
                <w:b/>
                <w:i w:val="0"/>
                <w:color w:val="333333"/>
                <w:sz w:val="17"/>
              </w:rPr>
              <w:t>H-1</w:t>
            </w:r>
          </w:p>
        </w:tc>
        <w:tc>
          <w:tcPr>
            <w:tcW w:type="dxa" w:w="2126"/>
          </w:tcPr>
          <w:p>
            <w:pPr>
              <w:spacing w:before="40" w:after="40"/>
            </w:pPr>
            <w:r>
              <w:rPr>
                <w:rFonts w:ascii="Calibri" w:hAnsi="Calibri"/>
                <w:b/>
                <w:i w:val="0"/>
                <w:color w:val="333333"/>
                <w:sz w:val="17"/>
              </w:rPr>
              <w:t>Transport security</w:t>
            </w:r>
          </w:p>
        </w:tc>
        <w:tc>
          <w:tcPr>
            <w:tcW w:type="dxa" w:w="2126"/>
          </w:tcPr>
          <w:p>
            <w:pPr>
              <w:spacing w:before="40" w:after="40"/>
            </w:pPr>
            <w:r>
              <w:rPr>
                <w:rFonts w:ascii="Calibri" w:hAnsi="Calibri"/>
                <w:b w:val="0"/>
                <w:i w:val="0"/>
                <w:color w:val="333333"/>
                <w:sz w:val="17"/>
              </w:rPr>
              <w:t xml:space="preserve">The POS application's default API base URL is plaintext </w:t>
            </w:r>
            <w:r>
              <w:rPr>
                <w:rFonts w:ascii="Consolas" w:hAnsi="Consolas"/>
                <w:b w:val="0"/>
                <w:i w:val="0"/>
                <w:color w:val="1B3A5C"/>
                <w:sz w:val="16"/>
              </w:rPr>
              <w:t>http://</w:t>
            </w:r>
            <w:r>
              <w:rPr>
                <w:rFonts w:ascii="Calibri" w:hAnsi="Calibri"/>
                <w:b w:val="0"/>
                <w:i w:val="0"/>
                <w:color w:val="333333"/>
                <w:sz w:val="17"/>
              </w:rPr>
              <w:t>, and API endpoints accept HTTP</w:t>
            </w:r>
          </w:p>
        </w:tc>
        <w:tc>
          <w:tcPr>
            <w:tcW w:type="dxa" w:w="2126"/>
          </w:tcPr>
          <w:p>
            <w:pPr>
              <w:spacing w:before="40" w:after="40"/>
            </w:pPr>
            <w:r>
              <w:rPr>
                <w:rFonts w:ascii="Calibri" w:hAnsi="Calibri"/>
                <w:b w:val="0"/>
                <w:i w:val="0"/>
                <w:color w:val="333333"/>
                <w:sz w:val="17"/>
              </w:rPr>
              <w:t>Enforce HTTPS end to end; refuse plaintext on the API; add certificate pinning in the POS application; HSTS on the back office</w:t>
            </w:r>
          </w:p>
        </w:tc>
        <w:tc>
          <w:tcPr>
            <w:tcW w:type="dxa" w:w="2126"/>
          </w:tcPr>
          <w:p>
            <w:pPr>
              <w:spacing w:before="40" w:after="40"/>
            </w:pPr>
            <w:r>
              <w:rPr>
                <w:rFonts w:ascii="Calibri" w:hAnsi="Calibri"/>
                <w:b/>
                <w:i w:val="0"/>
                <w:color w:val="333333"/>
                <w:sz w:val="17"/>
              </w:rPr>
              <w:t>Before UAT</w:t>
            </w:r>
            <w:r>
              <w:rPr>
                <w:rFonts w:ascii="Calibri" w:hAnsi="Calibri"/>
                <w:b w:val="0"/>
                <w:i w:val="0"/>
                <w:color w:val="333333"/>
                <w:sz w:val="17"/>
              </w:rPr>
              <w:t xml:space="preserve"> — mandatory gate</w:t>
            </w:r>
          </w:p>
        </w:tc>
      </w:tr>
      <w:tr>
        <w:tc>
          <w:tcPr>
            <w:tcW w:type="dxa" w:w="907"/>
            <w:shd w:val="clear" w:fill="F2F6FA"/>
          </w:tcPr>
          <w:p>
            <w:pPr>
              <w:spacing w:before="40" w:after="40"/>
            </w:pPr>
            <w:r>
              <w:rPr>
                <w:rFonts w:ascii="Calibri" w:hAnsi="Calibri"/>
                <w:b/>
                <w:i w:val="0"/>
                <w:color w:val="333333"/>
                <w:sz w:val="17"/>
              </w:rPr>
              <w:t>H-2</w:t>
            </w:r>
          </w:p>
        </w:tc>
        <w:tc>
          <w:tcPr>
            <w:tcW w:type="dxa" w:w="2126"/>
            <w:shd w:val="clear" w:fill="F2F6FA"/>
          </w:tcPr>
          <w:p>
            <w:pPr>
              <w:spacing w:before="40" w:after="40"/>
            </w:pPr>
            <w:r>
              <w:rPr>
                <w:rFonts w:ascii="Calibri" w:hAnsi="Calibri"/>
                <w:b/>
                <w:i w:val="0"/>
                <w:color w:val="333333"/>
                <w:sz w:val="17"/>
              </w:rPr>
              <w:t>Collector session token</w:t>
            </w:r>
          </w:p>
        </w:tc>
        <w:tc>
          <w:tcPr>
            <w:tcW w:type="dxa" w:w="2126"/>
            <w:shd w:val="clear" w:fill="F2F6FA"/>
          </w:tcPr>
          <w:p>
            <w:pPr>
              <w:spacing w:before="40" w:after="40"/>
            </w:pPr>
            <w:r>
              <w:rPr>
                <w:rFonts w:ascii="Calibri" w:hAnsi="Calibri"/>
                <w:b w:val="0"/>
                <w:i w:val="0"/>
                <w:color w:val="333333"/>
                <w:sz w:val="17"/>
              </w:rPr>
              <w:t>The POS login returns the agent's profile but issues no bounded session token; subsequent calls rely on a shared API key</w:t>
            </w:r>
          </w:p>
        </w:tc>
        <w:tc>
          <w:tcPr>
            <w:tcW w:type="dxa" w:w="2126"/>
            <w:shd w:val="clear" w:fill="F2F6FA"/>
          </w:tcPr>
          <w:p>
            <w:pPr>
              <w:spacing w:before="40" w:after="40"/>
            </w:pPr>
            <w:r>
              <w:rPr>
                <w:rFonts w:ascii="Calibri" w:hAnsi="Calibri"/>
                <w:b w:val="0"/>
                <w:i w:val="0"/>
                <w:color w:val="333333"/>
                <w:sz w:val="17"/>
              </w:rPr>
              <w:t>Issue a short-lived, per-agent signed token, renewed on activity, revocable server-side and invalidated on inactivity</w:t>
            </w:r>
          </w:p>
        </w:tc>
        <w:tc>
          <w:tcPr>
            <w:tcW w:type="dxa" w:w="2126"/>
            <w:shd w:val="clear" w:fill="F2F6FA"/>
          </w:tcPr>
          <w:p>
            <w:pPr>
              <w:spacing w:before="40" w:after="40"/>
            </w:pPr>
            <w:r>
              <w:rPr>
                <w:rFonts w:ascii="Calibri" w:hAnsi="Calibri"/>
                <w:b w:val="0"/>
                <w:i w:val="0"/>
                <w:color w:val="333333"/>
                <w:sz w:val="17"/>
              </w:rPr>
              <w:t>Before pilot</w:t>
            </w:r>
          </w:p>
        </w:tc>
      </w:tr>
      <w:tr>
        <w:tc>
          <w:tcPr>
            <w:tcW w:type="dxa" w:w="907"/>
          </w:tcPr>
          <w:p>
            <w:pPr>
              <w:spacing w:before="40" w:after="40"/>
            </w:pPr>
            <w:r>
              <w:rPr>
                <w:rFonts w:ascii="Calibri" w:hAnsi="Calibri"/>
                <w:b/>
                <w:i w:val="0"/>
                <w:color w:val="333333"/>
                <w:sz w:val="17"/>
              </w:rPr>
              <w:t>H-3</w:t>
            </w:r>
          </w:p>
        </w:tc>
        <w:tc>
          <w:tcPr>
            <w:tcW w:type="dxa" w:w="2126"/>
          </w:tcPr>
          <w:p>
            <w:pPr>
              <w:spacing w:before="40" w:after="40"/>
            </w:pPr>
            <w:r>
              <w:rPr>
                <w:rFonts w:ascii="Calibri" w:hAnsi="Calibri"/>
                <w:b/>
                <w:i w:val="0"/>
                <w:color w:val="333333"/>
                <w:sz w:val="17"/>
              </w:rPr>
              <w:t>API rate limiting</w:t>
            </w:r>
          </w:p>
        </w:tc>
        <w:tc>
          <w:tcPr>
            <w:tcW w:type="dxa" w:w="2126"/>
          </w:tcPr>
          <w:p>
            <w:pPr>
              <w:spacing w:before="40" w:after="40"/>
            </w:pPr>
            <w:r>
              <w:rPr>
                <w:rFonts w:ascii="Calibri" w:hAnsi="Calibri"/>
                <w:b w:val="0"/>
                <w:i w:val="0"/>
                <w:color w:val="333333"/>
                <w:sz w:val="17"/>
              </w:rPr>
              <w:t>API routes are not rate-limited</w:t>
            </w:r>
          </w:p>
        </w:tc>
        <w:tc>
          <w:tcPr>
            <w:tcW w:type="dxa" w:w="2126"/>
          </w:tcPr>
          <w:p>
            <w:pPr>
              <w:spacing w:before="40" w:after="40"/>
            </w:pPr>
            <w:r>
              <w:rPr>
                <w:rFonts w:ascii="Calibri" w:hAnsi="Calibri"/>
                <w:b w:val="0"/>
                <w:i w:val="0"/>
                <w:color w:val="333333"/>
                <w:sz w:val="17"/>
              </w:rPr>
              <w:t>Throttling per API key, per agent and per IP, with progressive lockout and alerting</w:t>
            </w:r>
          </w:p>
        </w:tc>
        <w:tc>
          <w:tcPr>
            <w:tcW w:type="dxa" w:w="2126"/>
          </w:tcPr>
          <w:p>
            <w:pPr>
              <w:spacing w:before="40" w:after="40"/>
            </w:pPr>
            <w:r>
              <w:rPr>
                <w:rFonts w:ascii="Calibri" w:hAnsi="Calibri"/>
                <w:b w:val="0"/>
                <w:i w:val="0"/>
                <w:color w:val="333333"/>
                <w:sz w:val="17"/>
              </w:rPr>
              <w:t>Before pilot</w:t>
            </w:r>
          </w:p>
        </w:tc>
      </w:tr>
      <w:tr>
        <w:tc>
          <w:tcPr>
            <w:tcW w:type="dxa" w:w="907"/>
            <w:shd w:val="clear" w:fill="F2F6FA"/>
          </w:tcPr>
          <w:p>
            <w:pPr>
              <w:spacing w:before="40" w:after="40"/>
            </w:pPr>
            <w:r>
              <w:rPr>
                <w:rFonts w:ascii="Calibri" w:hAnsi="Calibri"/>
                <w:b/>
                <w:i w:val="0"/>
                <w:color w:val="333333"/>
                <w:sz w:val="17"/>
              </w:rPr>
              <w:t>H-4</w:t>
            </w:r>
          </w:p>
        </w:tc>
        <w:tc>
          <w:tcPr>
            <w:tcW w:type="dxa" w:w="2126"/>
            <w:shd w:val="clear" w:fill="F2F6FA"/>
          </w:tcPr>
          <w:p>
            <w:pPr>
              <w:spacing w:before="40" w:after="40"/>
            </w:pPr>
            <w:r>
              <w:rPr>
                <w:rFonts w:ascii="Calibri" w:hAnsi="Calibri"/>
                <w:b/>
                <w:i w:val="0"/>
                <w:color w:val="333333"/>
                <w:sz w:val="17"/>
              </w:rPr>
              <w:t>Mobile-side cryptography</w:t>
            </w:r>
          </w:p>
        </w:tc>
        <w:tc>
          <w:tcPr>
            <w:tcW w:type="dxa" w:w="2126"/>
            <w:shd w:val="clear" w:fill="F2F6FA"/>
          </w:tcPr>
          <w:p>
            <w:pPr>
              <w:spacing w:before="40" w:after="40"/>
            </w:pPr>
            <w:r>
              <w:rPr>
                <w:rFonts w:ascii="Calibri" w:hAnsi="Calibri"/>
                <w:b w:val="0"/>
                <w:i w:val="0"/>
                <w:color w:val="333333"/>
                <w:sz w:val="17"/>
              </w:rPr>
              <w:t>A PIN-handling utility in the POS application uses a hardcoded symmetric key compiled into the application, in ECB mode. A key present in the APK is extractable, and ECB leaks structure</w:t>
            </w:r>
          </w:p>
        </w:tc>
        <w:tc>
          <w:tcPr>
            <w:tcW w:type="dxa" w:w="2126"/>
            <w:shd w:val="clear" w:fill="F2F6FA"/>
          </w:tcPr>
          <w:p>
            <w:pPr>
              <w:spacing w:before="40" w:after="40"/>
            </w:pPr>
            <w:r>
              <w:rPr>
                <w:rFonts w:ascii="Calibri" w:hAnsi="Calibri"/>
                <w:b w:val="0"/>
                <w:i w:val="0"/>
                <w:color w:val="333333"/>
                <w:sz w:val="17"/>
              </w:rPr>
              <w:t>Remove the hardcoded key; per-device keys provisioned at enrolment and stored in the Android keystore; AES-GCM (authenticated encryption) replacing ECB; PIN verification performed server-side against the bcrypt hash rather than by reversible encryption on the device</w:t>
            </w:r>
          </w:p>
        </w:tc>
        <w:tc>
          <w:tcPr>
            <w:tcW w:type="dxa" w:w="2126"/>
            <w:shd w:val="clear" w:fill="F2F6FA"/>
          </w:tcPr>
          <w:p>
            <w:pPr>
              <w:spacing w:before="40" w:after="40"/>
            </w:pPr>
            <w:r>
              <w:rPr>
                <w:rFonts w:ascii="Calibri" w:hAnsi="Calibri"/>
                <w:b w:val="0"/>
                <w:i w:val="0"/>
                <w:color w:val="333333"/>
                <w:sz w:val="17"/>
              </w:rPr>
              <w:t>Before pilot</w:t>
            </w:r>
          </w:p>
        </w:tc>
      </w:tr>
      <w:tr>
        <w:tc>
          <w:tcPr>
            <w:tcW w:type="dxa" w:w="907"/>
          </w:tcPr>
          <w:p>
            <w:pPr>
              <w:spacing w:before="40" w:after="40"/>
            </w:pPr>
            <w:r>
              <w:rPr>
                <w:rFonts w:ascii="Calibri" w:hAnsi="Calibri"/>
                <w:b/>
                <w:i w:val="0"/>
                <w:color w:val="333333"/>
                <w:sz w:val="17"/>
              </w:rPr>
              <w:t>H-5</w:t>
            </w:r>
          </w:p>
        </w:tc>
        <w:tc>
          <w:tcPr>
            <w:tcW w:type="dxa" w:w="2126"/>
          </w:tcPr>
          <w:p>
            <w:pPr>
              <w:spacing w:before="40" w:after="40"/>
            </w:pPr>
            <w:r>
              <w:rPr>
                <w:rFonts w:ascii="Calibri" w:hAnsi="Calibri"/>
                <w:b/>
                <w:i w:val="0"/>
                <w:color w:val="333333"/>
                <w:sz w:val="17"/>
              </w:rPr>
              <w:t>MFA for privileged profiles</w:t>
            </w:r>
          </w:p>
        </w:tc>
        <w:tc>
          <w:tcPr>
            <w:tcW w:type="dxa" w:w="2126"/>
          </w:tcPr>
          <w:p>
            <w:pPr>
              <w:spacing w:before="40" w:after="40"/>
            </w:pPr>
            <w:r>
              <w:rPr>
                <w:rFonts w:ascii="Calibri" w:hAnsi="Calibri"/>
                <w:b w:val="0"/>
                <w:i w:val="0"/>
                <w:color w:val="333333"/>
                <w:sz w:val="17"/>
              </w:rPr>
              <w:t>Back-office authentication is single-factor</w:t>
            </w:r>
          </w:p>
        </w:tc>
        <w:tc>
          <w:tcPr>
            <w:tcW w:type="dxa" w:w="2126"/>
          </w:tcPr>
          <w:p>
            <w:pPr>
              <w:spacing w:before="40" w:after="40"/>
            </w:pPr>
            <w:r>
              <w:rPr>
                <w:rFonts w:ascii="Calibri" w:hAnsi="Calibri"/>
                <w:b w:val="0"/>
                <w:i w:val="0"/>
                <w:color w:val="333333"/>
                <w:sz w:val="17"/>
              </w:rPr>
              <w:t>TOTP or SMS second factor, mandatory for Administrator and IT profiles</w:t>
            </w:r>
          </w:p>
        </w:tc>
        <w:tc>
          <w:tcPr>
            <w:tcW w:type="dxa" w:w="2126"/>
          </w:tcPr>
          <w:p>
            <w:pPr>
              <w:spacing w:before="40" w:after="40"/>
            </w:pPr>
            <w:r>
              <w:rPr>
                <w:rFonts w:ascii="Calibri" w:hAnsi="Calibri"/>
                <w:b w:val="0"/>
                <w:i w:val="0"/>
                <w:color w:val="333333"/>
                <w:sz w:val="17"/>
              </w:rPr>
              <w:t>Before production</w:t>
            </w:r>
          </w:p>
        </w:tc>
      </w:tr>
      <w:tr>
        <w:tc>
          <w:tcPr>
            <w:tcW w:type="dxa" w:w="907"/>
            <w:shd w:val="clear" w:fill="F2F6FA"/>
          </w:tcPr>
          <w:p>
            <w:pPr>
              <w:spacing w:before="40" w:after="40"/>
            </w:pPr>
            <w:r>
              <w:rPr>
                <w:rFonts w:ascii="Calibri" w:hAnsi="Calibri"/>
                <w:b/>
                <w:i w:val="0"/>
                <w:color w:val="333333"/>
                <w:sz w:val="17"/>
              </w:rPr>
              <w:t>H-6</w:t>
            </w:r>
          </w:p>
        </w:tc>
        <w:tc>
          <w:tcPr>
            <w:tcW w:type="dxa" w:w="2126"/>
            <w:shd w:val="clear" w:fill="F2F6FA"/>
          </w:tcPr>
          <w:p>
            <w:pPr>
              <w:spacing w:before="40" w:after="40"/>
            </w:pPr>
            <w:r>
              <w:rPr>
                <w:rFonts w:ascii="Calibri" w:hAnsi="Calibri"/>
                <w:b/>
                <w:i w:val="0"/>
                <w:color w:val="333333"/>
                <w:sz w:val="17"/>
              </w:rPr>
              <w:t>Plaintext logging switch</w:t>
            </w:r>
          </w:p>
        </w:tc>
        <w:tc>
          <w:tcPr>
            <w:tcW w:type="dxa" w:w="2126"/>
            <w:shd w:val="clear" w:fill="F2F6FA"/>
          </w:tcPr>
          <w:p>
            <w:pPr>
              <w:spacing w:before="40" w:after="40"/>
            </w:pPr>
            <w:r>
              <w:rPr>
                <w:rFonts w:ascii="Calibri" w:hAnsi="Calibri"/>
                <w:b w:val="0"/>
                <w:i w:val="0"/>
                <w:color w:val="333333"/>
                <w:sz w:val="17"/>
              </w:rPr>
              <w:t>A configuration flag can cause one-time codes to be logged in plaintext</w:t>
            </w:r>
          </w:p>
        </w:tc>
        <w:tc>
          <w:tcPr>
            <w:tcW w:type="dxa" w:w="2126"/>
            <w:shd w:val="clear" w:fill="F2F6FA"/>
          </w:tcPr>
          <w:p>
            <w:pPr>
              <w:spacing w:before="40" w:after="40"/>
            </w:pPr>
            <w:r>
              <w:rPr>
                <w:rFonts w:ascii="Calibri" w:hAnsi="Calibri"/>
                <w:b w:val="0"/>
                <w:i w:val="0"/>
                <w:color w:val="333333"/>
                <w:sz w:val="17"/>
              </w:rPr>
              <w:t>Flag permanently disabled in production and removed from the production configuration; verified by the go-live checklist</w:t>
            </w:r>
          </w:p>
        </w:tc>
        <w:tc>
          <w:tcPr>
            <w:tcW w:type="dxa" w:w="2126"/>
            <w:shd w:val="clear" w:fill="F2F6FA"/>
          </w:tcPr>
          <w:p>
            <w:pPr>
              <w:spacing w:before="40" w:after="40"/>
            </w:pPr>
            <w:r>
              <w:rPr>
                <w:rFonts w:ascii="Calibri" w:hAnsi="Calibri"/>
                <w:b w:val="0"/>
                <w:i w:val="0"/>
                <w:color w:val="333333"/>
                <w:sz w:val="17"/>
              </w:rPr>
              <w:t>Before UAT</w:t>
            </w:r>
          </w:p>
        </w:tc>
      </w:tr>
      <w:tr>
        <w:tc>
          <w:tcPr>
            <w:tcW w:type="dxa" w:w="907"/>
          </w:tcPr>
          <w:p>
            <w:pPr>
              <w:spacing w:before="40" w:after="40"/>
            </w:pPr>
            <w:r>
              <w:rPr>
                <w:rFonts w:ascii="Calibri" w:hAnsi="Calibri"/>
                <w:b/>
                <w:i w:val="0"/>
                <w:color w:val="333333"/>
                <w:sz w:val="17"/>
              </w:rPr>
              <w:t>H-7</w:t>
            </w:r>
          </w:p>
        </w:tc>
        <w:tc>
          <w:tcPr>
            <w:tcW w:type="dxa" w:w="2126"/>
          </w:tcPr>
          <w:p>
            <w:pPr>
              <w:spacing w:before="40" w:after="40"/>
            </w:pPr>
            <w:r>
              <w:rPr>
                <w:rFonts w:ascii="Calibri" w:hAnsi="Calibri"/>
                <w:b/>
                <w:i w:val="0"/>
                <w:color w:val="333333"/>
                <w:sz w:val="17"/>
              </w:rPr>
              <w:t>API key lookup efficiency</w:t>
            </w:r>
          </w:p>
        </w:tc>
        <w:tc>
          <w:tcPr>
            <w:tcW w:type="dxa" w:w="2126"/>
          </w:tcPr>
          <w:p>
            <w:pPr>
              <w:spacing w:before="40" w:after="40"/>
            </w:pPr>
            <w:r>
              <w:rPr>
                <w:rFonts w:ascii="Calibri" w:hAnsi="Calibri"/>
                <w:b w:val="0"/>
                <w:i w:val="0"/>
                <w:color w:val="333333"/>
                <w:sz w:val="17"/>
              </w:rPr>
              <w:t>Key verification iterates over all active keys performing a hash comparison on each — correct, but linear in the number of keys and CPU-costly</w:t>
            </w:r>
          </w:p>
        </w:tc>
        <w:tc>
          <w:tcPr>
            <w:tcW w:type="dxa" w:w="2126"/>
          </w:tcPr>
          <w:p>
            <w:pPr>
              <w:spacing w:before="40" w:after="40"/>
            </w:pPr>
            <w:r>
              <w:rPr>
                <w:rFonts w:ascii="Calibri" w:hAnsi="Calibri"/>
                <w:b w:val="0"/>
                <w:i w:val="0"/>
                <w:color w:val="333333"/>
                <w:sz w:val="17"/>
              </w:rPr>
              <w:t>Indexed lookup on a key prefix, then a single constant-time comparison</w:t>
            </w:r>
          </w:p>
        </w:tc>
        <w:tc>
          <w:tcPr>
            <w:tcW w:type="dxa" w:w="2126"/>
          </w:tcPr>
          <w:p>
            <w:pPr>
              <w:spacing w:before="40" w:after="40"/>
            </w:pPr>
            <w:r>
              <w:rPr>
                <w:rFonts w:ascii="Calibri" w:hAnsi="Calibri"/>
                <w:b w:val="0"/>
                <w:i w:val="0"/>
                <w:color w:val="333333"/>
                <w:sz w:val="17"/>
              </w:rPr>
              <w:t>Before production</w:t>
            </w:r>
          </w:p>
        </w:tc>
      </w:tr>
      <w:tr>
        <w:tc>
          <w:tcPr>
            <w:tcW w:type="dxa" w:w="907"/>
            <w:shd w:val="clear" w:fill="F2F6FA"/>
          </w:tcPr>
          <w:p>
            <w:pPr>
              <w:spacing w:before="40" w:after="40"/>
            </w:pPr>
            <w:r>
              <w:rPr>
                <w:rFonts w:ascii="Calibri" w:hAnsi="Calibri"/>
                <w:b/>
                <w:i w:val="0"/>
                <w:color w:val="333333"/>
                <w:sz w:val="17"/>
              </w:rPr>
              <w:t>H-8</w:t>
            </w:r>
          </w:p>
        </w:tc>
        <w:tc>
          <w:tcPr>
            <w:tcW w:type="dxa" w:w="2126"/>
            <w:shd w:val="clear" w:fill="F2F6FA"/>
          </w:tcPr>
          <w:p>
            <w:pPr>
              <w:spacing w:before="40" w:after="40"/>
            </w:pPr>
            <w:r>
              <w:rPr>
                <w:rFonts w:ascii="Calibri" w:hAnsi="Calibri"/>
                <w:b/>
                <w:i w:val="0"/>
                <w:color w:val="333333"/>
                <w:sz w:val="17"/>
              </w:rPr>
              <w:t>Security headers</w:t>
            </w:r>
          </w:p>
        </w:tc>
        <w:tc>
          <w:tcPr>
            <w:tcW w:type="dxa" w:w="2126"/>
            <w:shd w:val="clear" w:fill="F2F6FA"/>
          </w:tcPr>
          <w:p>
            <w:pPr>
              <w:spacing w:before="40" w:after="40"/>
            </w:pPr>
            <w:r>
              <w:rPr>
                <w:rFonts w:ascii="Calibri" w:hAnsi="Calibri"/>
                <w:b w:val="0"/>
                <w:i w:val="0"/>
                <w:color w:val="333333"/>
                <w:sz w:val="17"/>
              </w:rPr>
              <w:t>Not fully configured</w:t>
            </w:r>
          </w:p>
        </w:tc>
        <w:tc>
          <w:tcPr>
            <w:tcW w:type="dxa" w:w="2126"/>
            <w:shd w:val="clear" w:fill="F2F6FA"/>
          </w:tcPr>
          <w:p>
            <w:pPr>
              <w:spacing w:before="40" w:after="40"/>
            </w:pPr>
            <w:r>
              <w:rPr>
                <w:rFonts w:ascii="Calibri" w:hAnsi="Calibri"/>
                <w:b w:val="0"/>
                <w:i w:val="0"/>
                <w:color w:val="333333"/>
                <w:sz w:val="17"/>
              </w:rPr>
              <w:t>Content-Security-Policy, X-Frame-Options, X-Content-Type-Options, Referrer-Policy, Permissions-Policy</w:t>
            </w:r>
          </w:p>
        </w:tc>
        <w:tc>
          <w:tcPr>
            <w:tcW w:type="dxa" w:w="2126"/>
            <w:shd w:val="clear" w:fill="F2F6FA"/>
          </w:tcPr>
          <w:p>
            <w:pPr>
              <w:spacing w:before="40" w:after="40"/>
            </w:pPr>
            <w:r>
              <w:rPr>
                <w:rFonts w:ascii="Calibri" w:hAnsi="Calibri"/>
                <w:b w:val="0"/>
                <w:i w:val="0"/>
                <w:color w:val="333333"/>
                <w:sz w:val="17"/>
              </w:rPr>
              <w:t>Before production</w:t>
            </w:r>
          </w:p>
        </w:tc>
      </w:tr>
      <w:tr>
        <w:tc>
          <w:tcPr>
            <w:tcW w:type="dxa" w:w="907"/>
          </w:tcPr>
          <w:p>
            <w:pPr>
              <w:spacing w:before="40" w:after="40"/>
            </w:pPr>
            <w:r>
              <w:rPr>
                <w:rFonts w:ascii="Calibri" w:hAnsi="Calibri"/>
                <w:b/>
                <w:i w:val="0"/>
                <w:color w:val="333333"/>
                <w:sz w:val="17"/>
              </w:rPr>
              <w:t>H-9</w:t>
            </w:r>
          </w:p>
        </w:tc>
        <w:tc>
          <w:tcPr>
            <w:tcW w:type="dxa" w:w="2126"/>
          </w:tcPr>
          <w:p>
            <w:pPr>
              <w:spacing w:before="40" w:after="40"/>
            </w:pPr>
            <w:r>
              <w:rPr>
                <w:rFonts w:ascii="Calibri" w:hAnsi="Calibri"/>
                <w:b/>
                <w:i w:val="0"/>
                <w:color w:val="333333"/>
                <w:sz w:val="17"/>
              </w:rPr>
              <w:t>Secrets management</w:t>
            </w:r>
          </w:p>
        </w:tc>
        <w:tc>
          <w:tcPr>
            <w:tcW w:type="dxa" w:w="2126"/>
          </w:tcPr>
          <w:p>
            <w:pPr>
              <w:spacing w:before="40" w:after="40"/>
            </w:pPr>
            <w:r>
              <w:rPr>
                <w:rFonts w:ascii="Calibri" w:hAnsi="Calibri"/>
                <w:b w:val="0"/>
                <w:i w:val="0"/>
                <w:color w:val="333333"/>
                <w:sz w:val="17"/>
              </w:rPr>
              <w:t>Secrets held in environment configuration on the server</w:t>
            </w:r>
          </w:p>
        </w:tc>
        <w:tc>
          <w:tcPr>
            <w:tcW w:type="dxa" w:w="2126"/>
          </w:tcPr>
          <w:p>
            <w:pPr>
              <w:spacing w:before="40" w:after="40"/>
            </w:pPr>
            <w:r>
              <w:rPr>
                <w:rFonts w:ascii="Calibri" w:hAnsi="Calibri"/>
                <w:b w:val="0"/>
                <w:i w:val="0"/>
                <w:color w:val="333333"/>
                <w:sz w:val="17"/>
              </w:rPr>
              <w:t>Restricted file permissions, excluded from the repository, documented rotation procedure; a managed secret store where the hosting choice permits</w:t>
            </w:r>
          </w:p>
        </w:tc>
        <w:tc>
          <w:tcPr>
            <w:tcW w:type="dxa" w:w="2126"/>
          </w:tcPr>
          <w:p>
            <w:pPr>
              <w:spacing w:before="40" w:after="40"/>
            </w:pPr>
            <w:r>
              <w:rPr>
                <w:rFonts w:ascii="Calibri" w:hAnsi="Calibri"/>
                <w:b w:val="0"/>
                <w:i w:val="0"/>
                <w:color w:val="333333"/>
                <w:sz w:val="17"/>
              </w:rPr>
              <w:t>Before production</w:t>
            </w:r>
          </w:p>
        </w:tc>
      </w:tr>
      <w:tr>
        <w:tc>
          <w:tcPr>
            <w:tcW w:type="dxa" w:w="907"/>
            <w:shd w:val="clear" w:fill="F2F6FA"/>
          </w:tcPr>
          <w:p>
            <w:pPr>
              <w:spacing w:before="40" w:after="40"/>
            </w:pPr>
            <w:r>
              <w:rPr>
                <w:rFonts w:ascii="Calibri" w:hAnsi="Calibri"/>
                <w:b/>
                <w:i w:val="0"/>
                <w:color w:val="333333"/>
                <w:sz w:val="17"/>
              </w:rPr>
              <w:t>H-10</w:t>
            </w:r>
          </w:p>
        </w:tc>
        <w:tc>
          <w:tcPr>
            <w:tcW w:type="dxa" w:w="2126"/>
            <w:shd w:val="clear" w:fill="F2F6FA"/>
          </w:tcPr>
          <w:p>
            <w:pPr>
              <w:spacing w:before="40" w:after="40"/>
            </w:pPr>
            <w:r>
              <w:rPr>
                <w:rFonts w:ascii="Calibri" w:hAnsi="Calibri"/>
                <w:b/>
                <w:i w:val="0"/>
                <w:color w:val="333333"/>
                <w:sz w:val="17"/>
              </w:rPr>
              <w:t>Dependency and patch management</w:t>
            </w:r>
          </w:p>
        </w:tc>
        <w:tc>
          <w:tcPr>
            <w:tcW w:type="dxa" w:w="2126"/>
            <w:shd w:val="clear" w:fill="F2F6FA"/>
          </w:tcPr>
          <w:p>
            <w:pPr>
              <w:spacing w:before="40" w:after="40"/>
            </w:pPr>
            <w:r>
              <w:rPr>
                <w:rFonts w:ascii="Calibri" w:hAnsi="Calibri"/>
                <w:b w:val="0"/>
                <w:i w:val="0"/>
                <w:color w:val="333333"/>
                <w:sz w:val="17"/>
              </w:rPr>
              <w:t>Ad hoc</w:t>
            </w:r>
          </w:p>
        </w:tc>
        <w:tc>
          <w:tcPr>
            <w:tcW w:type="dxa" w:w="2126"/>
            <w:shd w:val="clear" w:fill="F2F6FA"/>
          </w:tcPr>
          <w:p>
            <w:pPr>
              <w:spacing w:before="40" w:after="40"/>
            </w:pPr>
            <w:r>
              <w:rPr>
                <w:rFonts w:ascii="Calibri" w:hAnsi="Calibri"/>
                <w:b w:val="0"/>
                <w:i w:val="0"/>
                <w:color w:val="333333"/>
                <w:sz w:val="17"/>
              </w:rPr>
              <w:t>Monthly dependency vulnerability scan; documented patch window; critical fixes within 7 days</w:t>
            </w:r>
          </w:p>
        </w:tc>
        <w:tc>
          <w:tcPr>
            <w:tcW w:type="dxa" w:w="2126"/>
            <w:shd w:val="clear" w:fill="F2F6FA"/>
          </w:tcPr>
          <w:p>
            <w:pPr>
              <w:spacing w:before="40" w:after="40"/>
            </w:pPr>
            <w:r>
              <w:rPr>
                <w:rFonts w:ascii="Calibri" w:hAnsi="Calibri"/>
                <w:b w:val="0"/>
                <w:i w:val="0"/>
                <w:color w:val="333333"/>
                <w:sz w:val="17"/>
              </w:rPr>
              <w:t>Continuous from go-live</w:t>
            </w:r>
          </w:p>
        </w:tc>
      </w:tr>
    </w:tbl>
    <w:p>
      <w:pPr>
        <w:spacing w:after="40"/>
      </w:pPr>
    </w:p>
    <w:p>
      <w:r>
        <w:rPr>
          <w:rFonts w:ascii="Calibri" w:hAnsi="Calibri"/>
          <w:b/>
          <w:i w:val="0"/>
          <w:color w:val="333333"/>
          <w:sz w:val="20"/>
        </w:rPr>
        <w:t>Acceptance position:</w:t>
      </w:r>
      <w:r>
        <w:rPr>
          <w:rFonts w:ascii="Calibri" w:hAnsi="Calibri"/>
          <w:b w:val="0"/>
          <w:i w:val="0"/>
          <w:color w:val="333333"/>
          <w:sz w:val="20"/>
        </w:rPr>
        <w:t xml:space="preserve"> H-1, H-4 and H-6 are treated as </w:t>
      </w:r>
      <w:r>
        <w:rPr>
          <w:rFonts w:ascii="Calibri" w:hAnsi="Calibri"/>
          <w:b/>
          <w:i w:val="0"/>
          <w:color w:val="333333"/>
          <w:sz w:val="20"/>
        </w:rPr>
        <w:t>blocking</w:t>
      </w:r>
      <w:r>
        <w:rPr>
          <w:rFonts w:ascii="Calibri" w:hAnsi="Calibri"/>
          <w:b w:val="0"/>
          <w:i w:val="0"/>
          <w:color w:val="333333"/>
          <w:sz w:val="20"/>
        </w:rPr>
        <w:t xml:space="preserve"> — the pilot does not go live without them. The others are scheduled before the November production launch and verified by the checklist in section 16.</w:t>
      </w:r>
    </w:p>
    <w:p>
      <w:pPr>
        <w:pStyle w:val="Heading1"/>
        <w:pageBreakBefore/>
        <w:spacing w:before="360" w:after="80"/>
        <w:keepNext/>
        <w:pBdr>
          <w:bottom w:val="single" w:sz="8" w:space="6" w:color="1B3A5C"/>
        </w:pBdr>
      </w:pPr>
      <w:bookmarkStart w:id="147" w:name="_Toc_s046"/>
      <w:r>
        <w:rPr>
          <w:rFonts w:ascii="Calibri" w:hAnsi="Calibri"/>
          <w:b/>
          <w:color w:val="1B3A5C"/>
          <w:sz w:val="30"/>
        </w:rPr>
        <w:t>13. Business Continuity and Resilience</w:t>
      </w:r>
      <w:bookmarkEnd w:id="147"/>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2436"/>
        <w:gridCol w:w="2436"/>
        <w:gridCol w:w="2436"/>
        <w:gridCol w:w="2436"/>
      </w:tblGrid>
      <w:tr>
        <w:trPr>
          <w:tblHeader w:val="true"/>
        </w:trPr>
        <w:tc>
          <w:tcPr>
            <w:tcW w:type="dxa" w:w="2436"/>
            <w:shd w:val="clear" w:fill="1B3A5C"/>
          </w:tcPr>
          <w:p>
            <w:pPr>
              <w:spacing w:before="60" w:after="60"/>
            </w:pPr>
            <w:r>
              <w:rPr>
                <w:rFonts w:ascii="Calibri" w:hAnsi="Calibri"/>
                <w:b/>
                <w:color w:val="FFFFFF"/>
                <w:sz w:val="17"/>
              </w:rPr>
              <w:t>Scenario</w:t>
            </w:r>
          </w:p>
        </w:tc>
        <w:tc>
          <w:tcPr>
            <w:tcW w:type="dxa" w:w="2436"/>
            <w:shd w:val="clear" w:fill="1B3A5C"/>
          </w:tcPr>
          <w:p>
            <w:pPr>
              <w:spacing w:before="60" w:after="60"/>
            </w:pPr>
            <w:r>
              <w:rPr>
                <w:rFonts w:ascii="Calibri" w:hAnsi="Calibri"/>
                <w:b/>
                <w:color w:val="FFFFFF"/>
                <w:sz w:val="17"/>
              </w:rPr>
              <w:t>Impact</w:t>
            </w:r>
          </w:p>
        </w:tc>
        <w:tc>
          <w:tcPr>
            <w:tcW w:type="dxa" w:w="2436"/>
            <w:shd w:val="clear" w:fill="1B3A5C"/>
          </w:tcPr>
          <w:p>
            <w:pPr>
              <w:spacing w:before="60" w:after="60"/>
            </w:pPr>
            <w:r>
              <w:rPr>
                <w:rFonts w:ascii="Calibri" w:hAnsi="Calibri"/>
                <w:b/>
                <w:color w:val="FFFFFF"/>
                <w:sz w:val="17"/>
              </w:rPr>
              <w:t>Response</w:t>
            </w:r>
          </w:p>
        </w:tc>
        <w:tc>
          <w:tcPr>
            <w:tcW w:type="dxa" w:w="2436"/>
            <w:shd w:val="clear" w:fill="1B3A5C"/>
          </w:tcPr>
          <w:p>
            <w:pPr>
              <w:spacing w:before="60" w:after="60"/>
            </w:pPr>
            <w:r>
              <w:rPr>
                <w:rFonts w:ascii="Calibri" w:hAnsi="Calibri"/>
                <w:b/>
                <w:color w:val="FFFFFF"/>
                <w:sz w:val="17"/>
              </w:rPr>
              <w:t>Target</w:t>
            </w:r>
          </w:p>
        </w:tc>
      </w:tr>
      <w:tr>
        <w:tc>
          <w:tcPr>
            <w:tcW w:type="dxa" w:w="2436"/>
          </w:tcPr>
          <w:p>
            <w:pPr>
              <w:spacing w:before="40" w:after="40"/>
            </w:pPr>
            <w:r>
              <w:rPr>
                <w:rFonts w:ascii="Calibri" w:hAnsi="Calibri"/>
                <w:b w:val="0"/>
                <w:i w:val="0"/>
                <w:color w:val="333333"/>
                <w:sz w:val="17"/>
              </w:rPr>
              <w:t>Mobile network unavailable in the field</w:t>
            </w:r>
          </w:p>
        </w:tc>
        <w:tc>
          <w:tcPr>
            <w:tcW w:type="dxa" w:w="2436"/>
          </w:tcPr>
          <w:p>
            <w:pPr>
              <w:spacing w:before="40" w:after="40"/>
            </w:pPr>
            <w:r>
              <w:rPr>
                <w:rFonts w:ascii="Calibri" w:hAnsi="Calibri"/>
                <w:b w:val="0"/>
                <w:i w:val="0"/>
                <w:color w:val="333333"/>
                <w:sz w:val="17"/>
              </w:rPr>
              <w:t>None on collection</w:t>
            </w:r>
          </w:p>
        </w:tc>
        <w:tc>
          <w:tcPr>
            <w:tcW w:type="dxa" w:w="2436"/>
          </w:tcPr>
          <w:p>
            <w:pPr>
              <w:spacing w:before="40" w:after="40"/>
            </w:pPr>
            <w:r>
              <w:rPr>
                <w:rFonts w:ascii="Calibri" w:hAnsi="Calibri"/>
                <w:b w:val="0"/>
                <w:i w:val="0"/>
                <w:color w:val="333333"/>
                <w:sz w:val="17"/>
              </w:rPr>
              <w:t>Offline mode; local queue; synchronisation on reconnection</w:t>
            </w:r>
          </w:p>
        </w:tc>
        <w:tc>
          <w:tcPr>
            <w:tcW w:type="dxa" w:w="2436"/>
          </w:tcPr>
          <w:p>
            <w:pPr>
              <w:spacing w:before="40" w:after="40"/>
            </w:pPr>
            <w:r>
              <w:rPr>
                <w:rFonts w:ascii="Calibri" w:hAnsi="Calibri"/>
                <w:b w:val="0"/>
                <w:i w:val="0"/>
                <w:color w:val="333333"/>
                <w:sz w:val="17"/>
              </w:rPr>
              <w:t>Continuous operation</w:t>
            </w:r>
          </w:p>
        </w:tc>
      </w:tr>
      <w:tr>
        <w:tc>
          <w:tcPr>
            <w:tcW w:type="dxa" w:w="2436"/>
            <w:shd w:val="clear" w:fill="F2F6FA"/>
          </w:tcPr>
          <w:p>
            <w:pPr>
              <w:spacing w:before="40" w:after="40"/>
            </w:pPr>
            <w:r>
              <w:rPr>
                <w:rFonts w:ascii="Calibri" w:hAnsi="Calibri"/>
                <w:b w:val="0"/>
                <w:i w:val="0"/>
                <w:color w:val="333333"/>
                <w:sz w:val="17"/>
              </w:rPr>
              <w:t>Back-office platform unavailable</w:t>
            </w:r>
          </w:p>
        </w:tc>
        <w:tc>
          <w:tcPr>
            <w:tcW w:type="dxa" w:w="2436"/>
            <w:shd w:val="clear" w:fill="F2F6FA"/>
          </w:tcPr>
          <w:p>
            <w:pPr>
              <w:spacing w:before="40" w:after="40"/>
            </w:pPr>
            <w:r>
              <w:rPr>
                <w:rFonts w:ascii="Calibri" w:hAnsi="Calibri"/>
                <w:b w:val="0"/>
                <w:i w:val="0"/>
                <w:color w:val="333333"/>
                <w:sz w:val="17"/>
              </w:rPr>
              <w:t>Collection continues, reporting stops</w:t>
            </w:r>
          </w:p>
        </w:tc>
        <w:tc>
          <w:tcPr>
            <w:tcW w:type="dxa" w:w="2436"/>
            <w:shd w:val="clear" w:fill="F2F6FA"/>
          </w:tcPr>
          <w:p>
            <w:pPr>
              <w:spacing w:before="40" w:after="40"/>
            </w:pPr>
            <w:r>
              <w:rPr>
                <w:rFonts w:ascii="Calibri" w:hAnsi="Calibri"/>
                <w:b w:val="0"/>
                <w:i w:val="0"/>
                <w:color w:val="333333"/>
                <w:sz w:val="17"/>
              </w:rPr>
              <w:t>Redundancy, monitoring, documented restart procedure</w:t>
            </w:r>
          </w:p>
        </w:tc>
        <w:tc>
          <w:tcPr>
            <w:tcW w:type="dxa" w:w="2436"/>
            <w:shd w:val="clear" w:fill="F2F6FA"/>
          </w:tcPr>
          <w:p>
            <w:pPr>
              <w:spacing w:before="40" w:after="40"/>
            </w:pPr>
            <w:r>
              <w:rPr>
                <w:rFonts w:ascii="Calibri" w:hAnsi="Calibri"/>
                <w:b w:val="0"/>
                <w:i w:val="0"/>
                <w:color w:val="333333"/>
                <w:sz w:val="17"/>
              </w:rPr>
              <w:t>RTO 4 h</w:t>
            </w:r>
          </w:p>
        </w:tc>
      </w:tr>
      <w:tr>
        <w:tc>
          <w:tcPr>
            <w:tcW w:type="dxa" w:w="2436"/>
          </w:tcPr>
          <w:p>
            <w:pPr>
              <w:spacing w:before="40" w:after="40"/>
            </w:pPr>
            <w:r>
              <w:rPr>
                <w:rFonts w:ascii="Calibri" w:hAnsi="Calibri"/>
                <w:b w:val="0"/>
                <w:i w:val="0"/>
                <w:color w:val="333333"/>
                <w:sz w:val="17"/>
              </w:rPr>
              <w:t>Database corruption or loss</w:t>
            </w:r>
          </w:p>
        </w:tc>
        <w:tc>
          <w:tcPr>
            <w:tcW w:type="dxa" w:w="2436"/>
          </w:tcPr>
          <w:p>
            <w:pPr>
              <w:spacing w:before="40" w:after="40"/>
            </w:pPr>
            <w:r>
              <w:rPr>
                <w:rFonts w:ascii="Calibri" w:hAnsi="Calibri"/>
                <w:b w:val="0"/>
                <w:i w:val="0"/>
                <w:color w:val="333333"/>
                <w:sz w:val="17"/>
              </w:rPr>
              <w:t>Potential data loss</w:t>
            </w:r>
          </w:p>
        </w:tc>
        <w:tc>
          <w:tcPr>
            <w:tcW w:type="dxa" w:w="2436"/>
          </w:tcPr>
          <w:p>
            <w:pPr>
              <w:spacing w:before="40" w:after="40"/>
            </w:pPr>
            <w:r>
              <w:rPr>
                <w:rFonts w:ascii="Calibri" w:hAnsi="Calibri"/>
                <w:b w:val="0"/>
                <w:i w:val="0"/>
                <w:color w:val="333333"/>
                <w:sz w:val="17"/>
              </w:rPr>
              <w:t>Encrypted daily full backup + continuous binlog; quarterly restore test</w:t>
            </w:r>
          </w:p>
        </w:tc>
        <w:tc>
          <w:tcPr>
            <w:tcW w:type="dxa" w:w="2436"/>
          </w:tcPr>
          <w:p>
            <w:pPr>
              <w:spacing w:before="40" w:after="40"/>
            </w:pPr>
            <w:r>
              <w:rPr>
                <w:rFonts w:ascii="Calibri" w:hAnsi="Calibri"/>
                <w:b w:val="0"/>
                <w:i w:val="0"/>
                <w:color w:val="333333"/>
                <w:sz w:val="17"/>
              </w:rPr>
              <w:t>RPO 15 min</w:t>
            </w:r>
          </w:p>
        </w:tc>
      </w:tr>
      <w:tr>
        <w:tc>
          <w:tcPr>
            <w:tcW w:type="dxa" w:w="2436"/>
            <w:shd w:val="clear" w:fill="F2F6FA"/>
          </w:tcPr>
          <w:p>
            <w:pPr>
              <w:spacing w:before="40" w:after="40"/>
            </w:pPr>
            <w:r>
              <w:rPr>
                <w:rFonts w:ascii="Calibri" w:hAnsi="Calibri"/>
                <w:b w:val="0"/>
                <w:i w:val="0"/>
                <w:color w:val="333333"/>
                <w:sz w:val="17"/>
              </w:rPr>
              <w:t>Terminal lost, stolen or broken</w:t>
            </w:r>
          </w:p>
        </w:tc>
        <w:tc>
          <w:tcPr>
            <w:tcW w:type="dxa" w:w="2436"/>
            <w:shd w:val="clear" w:fill="F2F6FA"/>
          </w:tcPr>
          <w:p>
            <w:pPr>
              <w:spacing w:before="40" w:after="40"/>
            </w:pPr>
            <w:r>
              <w:rPr>
                <w:rFonts w:ascii="Calibri" w:hAnsi="Calibri"/>
                <w:b w:val="0"/>
                <w:i w:val="0"/>
                <w:color w:val="333333"/>
                <w:sz w:val="17"/>
              </w:rPr>
              <w:t>One collector stops</w:t>
            </w:r>
          </w:p>
        </w:tc>
        <w:tc>
          <w:tcPr>
            <w:tcW w:type="dxa" w:w="2436"/>
            <w:shd w:val="clear" w:fill="F2F6FA"/>
          </w:tcPr>
          <w:p>
            <w:pPr>
              <w:spacing w:before="40" w:after="40"/>
            </w:pPr>
            <w:r>
              <w:rPr>
                <w:rFonts w:ascii="Calibri" w:hAnsi="Calibri"/>
                <w:b w:val="0"/>
                <w:i w:val="0"/>
                <w:color w:val="333333"/>
                <w:sz w:val="17"/>
              </w:rPr>
              <w:t>Spare terminals in stock; agent reassigned to a spare; unsynchronised data recovered if the device returns</w:t>
            </w:r>
          </w:p>
        </w:tc>
        <w:tc>
          <w:tcPr>
            <w:tcW w:type="dxa" w:w="2436"/>
            <w:shd w:val="clear" w:fill="F2F6FA"/>
          </w:tcPr>
          <w:p>
            <w:pPr>
              <w:spacing w:before="40" w:after="40"/>
            </w:pPr>
            <w:r>
              <w:rPr>
                <w:rFonts w:ascii="Calibri" w:hAnsi="Calibri"/>
                <w:b w:val="0"/>
                <w:i w:val="0"/>
                <w:color w:val="333333"/>
                <w:sz w:val="17"/>
              </w:rPr>
              <w:t>Same day</w:t>
            </w:r>
          </w:p>
        </w:tc>
      </w:tr>
      <w:tr>
        <w:tc>
          <w:tcPr>
            <w:tcW w:type="dxa" w:w="2436"/>
          </w:tcPr>
          <w:p>
            <w:pPr>
              <w:spacing w:before="40" w:after="40"/>
            </w:pPr>
            <w:r>
              <w:rPr>
                <w:rFonts w:ascii="Calibri" w:hAnsi="Calibri"/>
                <w:b w:val="0"/>
                <w:i w:val="0"/>
                <w:color w:val="333333"/>
                <w:sz w:val="17"/>
              </w:rPr>
              <w:t>SUNULIFE unavailable</w:t>
            </w:r>
          </w:p>
        </w:tc>
        <w:tc>
          <w:tcPr>
            <w:tcW w:type="dxa" w:w="2436"/>
          </w:tcPr>
          <w:p>
            <w:pPr>
              <w:spacing w:before="40" w:after="40"/>
            </w:pPr>
            <w:r>
              <w:rPr>
                <w:rFonts w:ascii="Calibri" w:hAnsi="Calibri"/>
                <w:b w:val="0"/>
                <w:i w:val="0"/>
                <w:color w:val="333333"/>
                <w:sz w:val="17"/>
              </w:rPr>
              <w:t>Freshness of policy data degrades</w:t>
            </w:r>
          </w:p>
        </w:tc>
        <w:tc>
          <w:tcPr>
            <w:tcW w:type="dxa" w:w="2436"/>
          </w:tcPr>
          <w:p>
            <w:pPr>
              <w:spacing w:before="40" w:after="40"/>
            </w:pPr>
            <w:r>
              <w:rPr>
                <w:rFonts w:ascii="Calibri" w:hAnsi="Calibri"/>
                <w:b w:val="0"/>
                <w:i w:val="0"/>
                <w:color w:val="333333"/>
                <w:sz w:val="17"/>
              </w:rPr>
              <w:t>Local mirror + queued push with retry; Excel fallback of TdR Need 2</w:t>
            </w:r>
          </w:p>
        </w:tc>
        <w:tc>
          <w:tcPr>
            <w:tcW w:type="dxa" w:w="2436"/>
          </w:tcPr>
          <w:p>
            <w:pPr>
              <w:spacing w:before="40" w:after="40"/>
            </w:pPr>
            <w:r>
              <w:rPr>
                <w:rFonts w:ascii="Calibri" w:hAnsi="Calibri"/>
                <w:b w:val="0"/>
                <w:i w:val="0"/>
                <w:color w:val="333333"/>
                <w:sz w:val="17"/>
              </w:rPr>
              <w:t>No collection impact</w:t>
            </w:r>
          </w:p>
        </w:tc>
      </w:tr>
      <w:tr>
        <w:tc>
          <w:tcPr>
            <w:tcW w:type="dxa" w:w="2436"/>
            <w:shd w:val="clear" w:fill="F2F6FA"/>
          </w:tcPr>
          <w:p>
            <w:pPr>
              <w:spacing w:before="40" w:after="40"/>
            </w:pPr>
            <w:r>
              <w:rPr>
                <w:rFonts w:ascii="Calibri" w:hAnsi="Calibri"/>
                <w:b w:val="0"/>
                <w:i w:val="0"/>
                <w:color w:val="333333"/>
                <w:sz w:val="17"/>
              </w:rPr>
              <w:t>Mobile Money provider unavailable</w:t>
            </w:r>
          </w:p>
        </w:tc>
        <w:tc>
          <w:tcPr>
            <w:tcW w:type="dxa" w:w="2436"/>
            <w:shd w:val="clear" w:fill="F2F6FA"/>
          </w:tcPr>
          <w:p>
            <w:pPr>
              <w:spacing w:before="40" w:after="40"/>
            </w:pPr>
            <w:r>
              <w:rPr>
                <w:rFonts w:ascii="Calibri" w:hAnsi="Calibri"/>
                <w:b w:val="0"/>
                <w:i w:val="0"/>
                <w:color w:val="333333"/>
                <w:sz w:val="17"/>
              </w:rPr>
              <w:t>MoMo channel stops</w:t>
            </w:r>
          </w:p>
        </w:tc>
        <w:tc>
          <w:tcPr>
            <w:tcW w:type="dxa" w:w="2436"/>
            <w:shd w:val="clear" w:fill="F2F6FA"/>
          </w:tcPr>
          <w:p>
            <w:pPr>
              <w:spacing w:before="40" w:after="40"/>
            </w:pPr>
            <w:r>
              <w:rPr>
                <w:rFonts w:ascii="Calibri" w:hAnsi="Calibri"/>
                <w:b w:val="0"/>
                <w:i w:val="0"/>
                <w:color w:val="333333"/>
                <w:sz w:val="17"/>
              </w:rPr>
              <w:t>Cash collection continues; pending payments resolved by reconciliation</w:t>
            </w:r>
          </w:p>
        </w:tc>
        <w:tc>
          <w:tcPr>
            <w:tcW w:type="dxa" w:w="2436"/>
            <w:shd w:val="clear" w:fill="F2F6FA"/>
          </w:tcPr>
          <w:p>
            <w:pPr>
              <w:spacing w:before="40" w:after="40"/>
            </w:pPr>
            <w:r>
              <w:rPr>
                <w:rFonts w:ascii="Calibri" w:hAnsi="Calibri"/>
                <w:b w:val="0"/>
                <w:i w:val="0"/>
                <w:color w:val="333333"/>
                <w:sz w:val="17"/>
              </w:rPr>
              <w:t>No collection impact</w:t>
            </w:r>
          </w:p>
        </w:tc>
      </w:tr>
      <w:tr>
        <w:tc>
          <w:tcPr>
            <w:tcW w:type="dxa" w:w="2436"/>
          </w:tcPr>
          <w:p>
            <w:pPr>
              <w:spacing w:before="40" w:after="40"/>
            </w:pPr>
            <w:r>
              <w:rPr>
                <w:rFonts w:ascii="Calibri" w:hAnsi="Calibri"/>
                <w:b w:val="0"/>
                <w:i w:val="0"/>
                <w:color w:val="333333"/>
                <w:sz w:val="17"/>
              </w:rPr>
              <w:t>Data-centre loss</w:t>
            </w:r>
          </w:p>
        </w:tc>
        <w:tc>
          <w:tcPr>
            <w:tcW w:type="dxa" w:w="2436"/>
          </w:tcPr>
          <w:p>
            <w:pPr>
              <w:spacing w:before="40" w:after="40"/>
            </w:pPr>
            <w:r>
              <w:rPr>
                <w:rFonts w:ascii="Calibri" w:hAnsi="Calibri"/>
                <w:b w:val="0"/>
                <w:i w:val="0"/>
                <w:color w:val="333333"/>
                <w:sz w:val="17"/>
              </w:rPr>
              <w:t>Total outage</w:t>
            </w:r>
          </w:p>
        </w:tc>
        <w:tc>
          <w:tcPr>
            <w:tcW w:type="dxa" w:w="2436"/>
          </w:tcPr>
          <w:p>
            <w:pPr>
              <w:spacing w:before="40" w:after="40"/>
            </w:pPr>
            <w:r>
              <w:rPr>
                <w:rFonts w:ascii="Calibri" w:hAnsi="Calibri"/>
                <w:b w:val="0"/>
                <w:i w:val="0"/>
                <w:color w:val="333333"/>
                <w:sz w:val="17"/>
              </w:rPr>
              <w:t>Off-site encrypted backups; documented rebuild procedure; contractual restoration time</w:t>
            </w:r>
          </w:p>
        </w:tc>
        <w:tc>
          <w:tcPr>
            <w:tcW w:type="dxa" w:w="2436"/>
          </w:tcPr>
          <w:p>
            <w:pPr>
              <w:spacing w:before="40" w:after="40"/>
            </w:pPr>
            <w:r>
              <w:rPr>
                <w:rFonts w:ascii="Calibri" w:hAnsi="Calibri"/>
                <w:b w:val="0"/>
                <w:i w:val="0"/>
                <w:color w:val="333333"/>
                <w:sz w:val="17"/>
              </w:rPr>
              <w:t>RTO 24 h</w:t>
            </w:r>
          </w:p>
        </w:tc>
      </w:tr>
      <w:tr>
        <w:tc>
          <w:tcPr>
            <w:tcW w:type="dxa" w:w="2436"/>
            <w:shd w:val="clear" w:fill="F2F6FA"/>
          </w:tcPr>
          <w:p>
            <w:pPr>
              <w:spacing w:before="40" w:after="40"/>
            </w:pPr>
            <w:r>
              <w:rPr>
                <w:rFonts w:ascii="Calibri" w:hAnsi="Calibri"/>
                <w:b w:val="0"/>
                <w:i w:val="0"/>
                <w:color w:val="333333"/>
                <w:sz w:val="17"/>
              </w:rPr>
              <w:t>Ransomware</w:t>
            </w:r>
          </w:p>
        </w:tc>
        <w:tc>
          <w:tcPr>
            <w:tcW w:type="dxa" w:w="2436"/>
            <w:shd w:val="clear" w:fill="F2F6FA"/>
          </w:tcPr>
          <w:p>
            <w:pPr>
              <w:spacing w:before="40" w:after="40"/>
            </w:pPr>
            <w:r>
              <w:rPr>
                <w:rFonts w:ascii="Calibri" w:hAnsi="Calibri"/>
                <w:b w:val="0"/>
                <w:i w:val="0"/>
                <w:color w:val="333333"/>
                <w:sz w:val="17"/>
              </w:rPr>
              <w:t>Encryption of the environment</w:t>
            </w:r>
          </w:p>
        </w:tc>
        <w:tc>
          <w:tcPr>
            <w:tcW w:type="dxa" w:w="2436"/>
            <w:shd w:val="clear" w:fill="F2F6FA"/>
          </w:tcPr>
          <w:p>
            <w:pPr>
              <w:spacing w:before="40" w:after="40"/>
            </w:pPr>
            <w:r>
              <w:rPr>
                <w:rFonts w:ascii="Calibri" w:hAnsi="Calibri"/>
                <w:b w:val="0"/>
                <w:i w:val="0"/>
                <w:color w:val="333333"/>
                <w:sz w:val="17"/>
              </w:rPr>
              <w:t>Off-site immutable backups; least privilege; restore procedure tested quarterly</w:t>
            </w:r>
          </w:p>
        </w:tc>
        <w:tc>
          <w:tcPr>
            <w:tcW w:type="dxa" w:w="2436"/>
            <w:shd w:val="clear" w:fill="F2F6FA"/>
          </w:tcPr>
          <w:p>
            <w:pPr>
              <w:spacing w:before="40" w:after="40"/>
            </w:pPr>
            <w:r>
              <w:rPr>
                <w:rFonts w:ascii="Calibri" w:hAnsi="Calibri"/>
                <w:b w:val="0"/>
                <w:i w:val="0"/>
                <w:color w:val="333333"/>
                <w:sz w:val="17"/>
              </w:rPr>
              <w:t>RTO 24 h</w:t>
            </w:r>
          </w:p>
        </w:tc>
      </w:tr>
    </w:tbl>
    <w:p>
      <w:pPr>
        <w:spacing w:after="40"/>
      </w:pPr>
    </w:p>
    <w:p>
      <w:pPr>
        <w:pStyle w:val="Heading1"/>
        <w:pageBreakBefore/>
        <w:spacing w:before="360" w:after="80"/>
        <w:keepNext/>
        <w:pBdr>
          <w:bottom w:val="single" w:sz="8" w:space="6" w:color="1B3A5C"/>
        </w:pBdr>
      </w:pPr>
      <w:bookmarkStart w:id="148" w:name="_Toc_s047"/>
      <w:r>
        <w:rPr>
          <w:rFonts w:ascii="Calibri" w:hAnsi="Calibri"/>
          <w:b/>
          <w:color w:val="1B3A5C"/>
          <w:sz w:val="30"/>
        </w:rPr>
        <w:t>14. Security Procedures for SUNU</w:t>
      </w:r>
      <w:bookmarkEnd w:id="148"/>
    </w:p>
    <w:p>
      <w:r>
        <w:rPr>
          <w:rFonts w:ascii="Calibri" w:hAnsi="Calibri"/>
          <w:b w:val="0"/>
          <w:i w:val="0"/>
          <w:color w:val="333333"/>
          <w:sz w:val="20"/>
        </w:rPr>
        <w:t>Technology is half the control. These are SUNU's operational responsibilities.</w:t>
      </w:r>
    </w:p>
    <w:p>
      <w:pPr>
        <w:pStyle w:val="Heading2"/>
        <w:spacing w:before="280" w:after="80"/>
        <w:keepNext/>
      </w:pPr>
      <w:bookmarkStart w:id="149" w:name="_Toc_s048"/>
      <w:r>
        <w:rPr>
          <w:rFonts w:ascii="Calibri" w:hAnsi="Calibri"/>
          <w:b/>
          <w:color w:val="1B3A5C"/>
          <w:sz w:val="24"/>
        </w:rPr>
        <w:t>14.1 Collector onboarding and offboarding</w:t>
      </w:r>
      <w:bookmarkEnd w:id="149"/>
    </w:p>
    <w:p>
      <w:r>
        <w:rPr>
          <w:rFonts w:ascii="Calibri" w:hAnsi="Calibri"/>
          <w:b/>
          <w:i w:val="0"/>
          <w:color w:val="333333"/>
          <w:sz w:val="20"/>
        </w:rPr>
        <w:t>Onboarding:</w:t>
      </w:r>
      <w:r>
        <w:rPr>
          <w:rFonts w:ascii="Calibri" w:hAnsi="Calibri"/>
          <w:b w:val="0"/>
          <w:i w:val="0"/>
          <w:color w:val="333333"/>
          <w:sz w:val="20"/>
        </w:rPr>
        <w:t xml:space="preserve"> identity verification and background check per SUNU HR policy → account created by the Administrator with the Collection Agent profile only → terminal assigned and recorded → PIN issued out-of-band and changed on first use → cap set → security briefing signed (custody of the terminal, no PIN sharing, receipt discipline, immediate loss reporting).</w:t>
      </w:r>
    </w:p>
    <w:p>
      <w:r>
        <w:rPr>
          <w:rFonts w:ascii="Calibri" w:hAnsi="Calibri"/>
          <w:b/>
          <w:i w:val="0"/>
          <w:color w:val="333333"/>
          <w:sz w:val="20"/>
        </w:rPr>
        <w:t>Offboarding, executed the same day:</w:t>
      </w:r>
      <w:r>
        <w:rPr>
          <w:rFonts w:ascii="Calibri" w:hAnsi="Calibri"/>
          <w:b w:val="0"/>
          <w:i w:val="0"/>
          <w:color w:val="333333"/>
          <w:sz w:val="20"/>
        </w:rPr>
        <w:t xml:space="preserve"> terminal returned and its assignment closed → all cash paid in and confirmed → account disabled (never deleted) → residual balance reconciled to zero → cards in the collector's possession returned and reconciled against stock.</w:t>
      </w:r>
    </w:p>
    <w:p>
      <w:pPr>
        <w:pStyle w:val="Heading2"/>
        <w:spacing w:before="280" w:after="80"/>
        <w:keepNext/>
      </w:pPr>
      <w:bookmarkStart w:id="150" w:name="_Toc_s049"/>
      <w:r>
        <w:rPr>
          <w:rFonts w:ascii="Calibri" w:hAnsi="Calibri"/>
          <w:b/>
          <w:color w:val="1B3A5C"/>
          <w:sz w:val="24"/>
        </w:rPr>
        <w:t>14.2 Access review</w:t>
      </w:r>
      <w:bookmarkEnd w:id="150"/>
    </w:p>
    <w:p>
      <w:r>
        <w:rPr>
          <w:rFonts w:ascii="Calibri" w:hAnsi="Calibri"/>
          <w:b w:val="0"/>
          <w:i w:val="0"/>
          <w:color w:val="333333"/>
          <w:sz w:val="20"/>
        </w:rPr>
        <w:t>Quarterly, the Administrator reviews every account and its permissions with the relevant department head; unused accounts are disabled; the review is documented and retained.</w:t>
      </w:r>
    </w:p>
    <w:p>
      <w:pPr>
        <w:pStyle w:val="Heading2"/>
        <w:spacing w:before="280" w:after="80"/>
        <w:keepNext/>
      </w:pPr>
      <w:bookmarkStart w:id="151" w:name="_Toc_s050"/>
      <w:r>
        <w:rPr>
          <w:rFonts w:ascii="Calibri" w:hAnsi="Calibri"/>
          <w:b/>
          <w:color w:val="1B3A5C"/>
          <w:sz w:val="24"/>
        </w:rPr>
        <w:t>14.3 Card stock</w:t>
      </w:r>
      <w:bookmarkEnd w:id="151"/>
    </w:p>
    <w:p>
      <w:r>
        <w:rPr>
          <w:rFonts w:ascii="Calibri" w:hAnsi="Calibri"/>
          <w:b w:val="0"/>
          <w:i w:val="0"/>
          <w:color w:val="333333"/>
          <w:sz w:val="20"/>
        </w:rPr>
        <w:t>Blank cards are held in a locked store under a named custodian. Movements in and out are recorded. A monthly count reconciles physical stock against the back-office issuance record; any discrepancy is investigated as a security incident.</w:t>
      </w:r>
    </w:p>
    <w:p>
      <w:pPr>
        <w:pStyle w:val="Heading2"/>
        <w:spacing w:before="280" w:after="80"/>
        <w:keepNext/>
      </w:pPr>
      <w:bookmarkStart w:id="152" w:name="_Toc_s051"/>
      <w:r>
        <w:rPr>
          <w:rFonts w:ascii="Calibri" w:hAnsi="Calibri"/>
          <w:b/>
          <w:color w:val="1B3A5C"/>
          <w:sz w:val="24"/>
        </w:rPr>
        <w:t>14.4 Credential handling</w:t>
      </w:r>
      <w:bookmarkEnd w:id="152"/>
    </w:p>
    <w:p>
      <w:r>
        <w:rPr>
          <w:rFonts w:ascii="Calibri" w:hAnsi="Calibri"/>
          <w:b w:val="0"/>
          <w:i w:val="0"/>
          <w:color w:val="333333"/>
          <w:sz w:val="20"/>
        </w:rPr>
        <w:t>PINs and passwords are issued through a channel separate from the username, changed on first use, never shared, never written down, never transmitted by e-mail or messaging. No SUNU or DBS staff member will ever ask a collector or an insured for their PIN.</w:t>
      </w:r>
    </w:p>
    <w:p>
      <w:pPr>
        <w:pStyle w:val="Heading2"/>
        <w:spacing w:before="280" w:after="80"/>
        <w:keepNext/>
      </w:pPr>
      <w:bookmarkStart w:id="153" w:name="_Toc_s052"/>
      <w:r>
        <w:rPr>
          <w:rFonts w:ascii="Calibri" w:hAnsi="Calibri"/>
          <w:b/>
          <w:color w:val="1B3A5C"/>
          <w:sz w:val="24"/>
        </w:rPr>
        <w:t>14.5 Awareness</w:t>
      </w:r>
      <w:bookmarkEnd w:id="153"/>
    </w:p>
    <w:p>
      <w:r>
        <w:rPr>
          <w:rFonts w:ascii="Calibri" w:hAnsi="Calibri"/>
          <w:b w:val="0"/>
          <w:i w:val="0"/>
          <w:color w:val="333333"/>
          <w:sz w:val="20"/>
        </w:rPr>
        <w:t>Security briefing at onboarding, an annual refresher, and a short quarterly reminder on the specific risks that matter here: phishing on back-office accounts, receipt discipline in the field, terminal custody, and reporting anything unusual immediately.</w:t>
      </w:r>
    </w:p>
    <w:p>
      <w:pPr>
        <w:pStyle w:val="Heading1"/>
        <w:pageBreakBefore/>
        <w:spacing w:before="360" w:after="80"/>
        <w:keepNext/>
        <w:pBdr>
          <w:bottom w:val="single" w:sz="8" w:space="6" w:color="1B3A5C"/>
        </w:pBdr>
      </w:pPr>
      <w:bookmarkStart w:id="154" w:name="_Toc_s053"/>
      <w:r>
        <w:rPr>
          <w:rFonts w:ascii="Calibri" w:hAnsi="Calibri"/>
          <w:b/>
          <w:color w:val="1B3A5C"/>
          <w:sz w:val="30"/>
        </w:rPr>
        <w:t>15. Control Mapping (ISO/IEC 27001:2022 Annex A)</w:t>
      </w:r>
      <w:bookmarkEnd w:id="154"/>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3249"/>
        <w:gridCol w:w="3249"/>
        <w:gridCol w:w="3249"/>
      </w:tblGrid>
      <w:tr>
        <w:trPr>
          <w:tblHeader w:val="true"/>
        </w:trPr>
        <w:tc>
          <w:tcPr>
            <w:tcW w:type="dxa" w:w="3249"/>
            <w:shd w:val="clear" w:fill="1B3A5C"/>
          </w:tcPr>
          <w:p>
            <w:pPr>
              <w:spacing w:before="60" w:after="60"/>
            </w:pPr>
            <w:r>
              <w:rPr>
                <w:rFonts w:ascii="Calibri" w:hAnsi="Calibri"/>
                <w:b/>
                <w:color w:val="FFFFFF"/>
                <w:sz w:val="17"/>
              </w:rPr>
              <w:t>Control area</w:t>
            </w:r>
          </w:p>
        </w:tc>
        <w:tc>
          <w:tcPr>
            <w:tcW w:type="dxa" w:w="3249"/>
            <w:shd w:val="clear" w:fill="1B3A5C"/>
          </w:tcPr>
          <w:p>
            <w:pPr>
              <w:spacing w:before="60" w:after="60"/>
            </w:pPr>
            <w:r>
              <w:rPr>
                <w:rFonts w:ascii="Calibri" w:hAnsi="Calibri"/>
                <w:b/>
                <w:color w:val="FFFFFF"/>
                <w:sz w:val="17"/>
              </w:rPr>
              <w:t>Reference</w:t>
            </w:r>
          </w:p>
        </w:tc>
        <w:tc>
          <w:tcPr>
            <w:tcW w:type="dxa" w:w="3249"/>
            <w:shd w:val="clear" w:fill="1B3A5C"/>
          </w:tcPr>
          <w:p>
            <w:pPr>
              <w:spacing w:before="60" w:after="60"/>
            </w:pPr>
            <w:r>
              <w:rPr>
                <w:rFonts w:ascii="Calibri" w:hAnsi="Calibri"/>
                <w:b/>
                <w:color w:val="FFFFFF"/>
                <w:sz w:val="17"/>
              </w:rPr>
              <w:t>Where addressed</w:t>
            </w:r>
          </w:p>
        </w:tc>
      </w:tr>
      <w:tr>
        <w:tc>
          <w:tcPr>
            <w:tcW w:type="dxa" w:w="3249"/>
          </w:tcPr>
          <w:p>
            <w:pPr>
              <w:spacing w:before="40" w:after="40"/>
            </w:pPr>
            <w:r>
              <w:rPr>
                <w:rFonts w:ascii="Calibri" w:hAnsi="Calibri"/>
                <w:b w:val="0"/>
                <w:i w:val="0"/>
                <w:color w:val="333333"/>
                <w:sz w:val="17"/>
              </w:rPr>
              <w:t>Policies for information security</w:t>
            </w:r>
          </w:p>
        </w:tc>
        <w:tc>
          <w:tcPr>
            <w:tcW w:type="dxa" w:w="3249"/>
          </w:tcPr>
          <w:p>
            <w:pPr>
              <w:spacing w:before="40" w:after="40"/>
            </w:pPr>
            <w:r>
              <w:rPr>
                <w:rFonts w:ascii="Calibri" w:hAnsi="Calibri"/>
                <w:b w:val="0"/>
                <w:i w:val="0"/>
                <w:color w:val="333333"/>
                <w:sz w:val="17"/>
              </w:rPr>
              <w:t>A.5.1</w:t>
            </w:r>
          </w:p>
        </w:tc>
        <w:tc>
          <w:tcPr>
            <w:tcW w:type="dxa" w:w="3249"/>
          </w:tcPr>
          <w:p>
            <w:pPr>
              <w:spacing w:before="40" w:after="40"/>
            </w:pPr>
            <w:r>
              <w:rPr>
                <w:rFonts w:ascii="Calibri" w:hAnsi="Calibri"/>
                <w:b w:val="0"/>
                <w:i w:val="0"/>
                <w:color w:val="333333"/>
                <w:sz w:val="17"/>
              </w:rPr>
              <w:t>§14, security policy annexed at go-live</w:t>
            </w:r>
          </w:p>
        </w:tc>
      </w:tr>
      <w:tr>
        <w:tc>
          <w:tcPr>
            <w:tcW w:type="dxa" w:w="3249"/>
            <w:shd w:val="clear" w:fill="F2F6FA"/>
          </w:tcPr>
          <w:p>
            <w:pPr>
              <w:spacing w:before="40" w:after="40"/>
            </w:pPr>
            <w:r>
              <w:rPr>
                <w:rFonts w:ascii="Calibri" w:hAnsi="Calibri"/>
                <w:b w:val="0"/>
                <w:i w:val="0"/>
                <w:color w:val="333333"/>
                <w:sz w:val="17"/>
              </w:rPr>
              <w:t>Segregation of duties</w:t>
            </w:r>
          </w:p>
        </w:tc>
        <w:tc>
          <w:tcPr>
            <w:tcW w:type="dxa" w:w="3249"/>
            <w:shd w:val="clear" w:fill="F2F6FA"/>
          </w:tcPr>
          <w:p>
            <w:pPr>
              <w:spacing w:before="40" w:after="40"/>
            </w:pPr>
            <w:r>
              <w:rPr>
                <w:rFonts w:ascii="Calibri" w:hAnsi="Calibri"/>
                <w:b w:val="0"/>
                <w:i w:val="0"/>
                <w:color w:val="333333"/>
                <w:sz w:val="17"/>
              </w:rPr>
              <w:t>A.5.3</w:t>
            </w:r>
          </w:p>
        </w:tc>
        <w:tc>
          <w:tcPr>
            <w:tcW w:type="dxa" w:w="3249"/>
            <w:shd w:val="clear" w:fill="F2F6FA"/>
          </w:tcPr>
          <w:p>
            <w:pPr>
              <w:spacing w:before="40" w:after="40"/>
            </w:pPr>
            <w:r>
              <w:rPr>
                <w:rFonts w:ascii="Calibri" w:hAnsi="Calibri"/>
                <w:b w:val="0"/>
                <w:i w:val="0"/>
                <w:color w:val="333333"/>
                <w:sz w:val="17"/>
              </w:rPr>
              <w:t>§5.2, §8.3</w:t>
            </w:r>
          </w:p>
        </w:tc>
      </w:tr>
      <w:tr>
        <w:tc>
          <w:tcPr>
            <w:tcW w:type="dxa" w:w="3249"/>
          </w:tcPr>
          <w:p>
            <w:pPr>
              <w:spacing w:before="40" w:after="40"/>
            </w:pPr>
            <w:r>
              <w:rPr>
                <w:rFonts w:ascii="Calibri" w:hAnsi="Calibri"/>
                <w:b w:val="0"/>
                <w:i w:val="0"/>
                <w:color w:val="333333"/>
                <w:sz w:val="17"/>
              </w:rPr>
              <w:t>Contact with authorities</w:t>
            </w:r>
          </w:p>
        </w:tc>
        <w:tc>
          <w:tcPr>
            <w:tcW w:type="dxa" w:w="3249"/>
          </w:tcPr>
          <w:p>
            <w:pPr>
              <w:spacing w:before="40" w:after="40"/>
            </w:pPr>
            <w:r>
              <w:rPr>
                <w:rFonts w:ascii="Calibri" w:hAnsi="Calibri"/>
                <w:b w:val="0"/>
                <w:i w:val="0"/>
                <w:color w:val="333333"/>
                <w:sz w:val="17"/>
              </w:rPr>
              <w:t>A.5.5</w:t>
            </w:r>
          </w:p>
        </w:tc>
        <w:tc>
          <w:tcPr>
            <w:tcW w:type="dxa" w:w="3249"/>
          </w:tcPr>
          <w:p>
            <w:pPr>
              <w:spacing w:before="40" w:after="40"/>
            </w:pPr>
            <w:r>
              <w:rPr>
                <w:rFonts w:ascii="Calibri" w:hAnsi="Calibri"/>
                <w:b w:val="0"/>
                <w:i w:val="0"/>
                <w:color w:val="333333"/>
                <w:sz w:val="17"/>
              </w:rPr>
              <w:t>§17 (CIL, CIMA)</w:t>
            </w:r>
          </w:p>
        </w:tc>
      </w:tr>
      <w:tr>
        <w:tc>
          <w:tcPr>
            <w:tcW w:type="dxa" w:w="3249"/>
            <w:shd w:val="clear" w:fill="F2F6FA"/>
          </w:tcPr>
          <w:p>
            <w:pPr>
              <w:spacing w:before="40" w:after="40"/>
            </w:pPr>
            <w:r>
              <w:rPr>
                <w:rFonts w:ascii="Calibri" w:hAnsi="Calibri"/>
                <w:b w:val="0"/>
                <w:i w:val="0"/>
                <w:color w:val="333333"/>
                <w:sz w:val="17"/>
              </w:rPr>
              <w:t>Threat intelligence</w:t>
            </w:r>
          </w:p>
        </w:tc>
        <w:tc>
          <w:tcPr>
            <w:tcW w:type="dxa" w:w="3249"/>
            <w:shd w:val="clear" w:fill="F2F6FA"/>
          </w:tcPr>
          <w:p>
            <w:pPr>
              <w:spacing w:before="40" w:after="40"/>
            </w:pPr>
            <w:r>
              <w:rPr>
                <w:rFonts w:ascii="Calibri" w:hAnsi="Calibri"/>
                <w:b w:val="0"/>
                <w:i w:val="0"/>
                <w:color w:val="333333"/>
                <w:sz w:val="17"/>
              </w:rPr>
              <w:t>A.5.7</w:t>
            </w:r>
          </w:p>
        </w:tc>
        <w:tc>
          <w:tcPr>
            <w:tcW w:type="dxa" w:w="3249"/>
            <w:shd w:val="clear" w:fill="F2F6FA"/>
          </w:tcPr>
          <w:p>
            <w:pPr>
              <w:spacing w:before="40" w:after="40"/>
            </w:pPr>
            <w:r>
              <w:rPr>
                <w:rFonts w:ascii="Calibri" w:hAnsi="Calibri"/>
                <w:b w:val="0"/>
                <w:i w:val="0"/>
                <w:color w:val="333333"/>
                <w:sz w:val="17"/>
              </w:rPr>
              <w:t>§12 H-10</w:t>
            </w:r>
          </w:p>
        </w:tc>
      </w:tr>
      <w:tr>
        <w:tc>
          <w:tcPr>
            <w:tcW w:type="dxa" w:w="3249"/>
          </w:tcPr>
          <w:p>
            <w:pPr>
              <w:spacing w:before="40" w:after="40"/>
            </w:pPr>
            <w:r>
              <w:rPr>
                <w:rFonts w:ascii="Calibri" w:hAnsi="Calibri"/>
                <w:b w:val="0"/>
                <w:i w:val="0"/>
                <w:color w:val="333333"/>
                <w:sz w:val="17"/>
              </w:rPr>
              <w:t>Information security in supplier relationships</w:t>
            </w:r>
          </w:p>
        </w:tc>
        <w:tc>
          <w:tcPr>
            <w:tcW w:type="dxa" w:w="3249"/>
          </w:tcPr>
          <w:p>
            <w:pPr>
              <w:spacing w:before="40" w:after="40"/>
            </w:pPr>
            <w:r>
              <w:rPr>
                <w:rFonts w:ascii="Calibri" w:hAnsi="Calibri"/>
                <w:b w:val="0"/>
                <w:i w:val="0"/>
                <w:color w:val="333333"/>
                <w:sz w:val="17"/>
              </w:rPr>
              <w:t>A.5.19–5.22</w:t>
            </w:r>
          </w:p>
        </w:tc>
        <w:tc>
          <w:tcPr>
            <w:tcW w:type="dxa" w:w="3249"/>
          </w:tcPr>
          <w:p>
            <w:pPr>
              <w:spacing w:before="40" w:after="40"/>
            </w:pPr>
            <w:r>
              <w:rPr>
                <w:rFonts w:ascii="Calibri" w:hAnsi="Calibri"/>
                <w:b w:val="0"/>
                <w:i w:val="0"/>
                <w:color w:val="333333"/>
                <w:sz w:val="17"/>
              </w:rPr>
              <w:t>§10, processor agreement §6.5</w:t>
            </w:r>
          </w:p>
        </w:tc>
      </w:tr>
      <w:tr>
        <w:tc>
          <w:tcPr>
            <w:tcW w:type="dxa" w:w="3249"/>
            <w:shd w:val="clear" w:fill="F2F6FA"/>
          </w:tcPr>
          <w:p>
            <w:pPr>
              <w:spacing w:before="40" w:after="40"/>
            </w:pPr>
            <w:r>
              <w:rPr>
                <w:rFonts w:ascii="Calibri" w:hAnsi="Calibri"/>
                <w:b w:val="0"/>
                <w:i w:val="0"/>
                <w:color w:val="333333"/>
                <w:sz w:val="17"/>
              </w:rPr>
              <w:t>Incident management</w:t>
            </w:r>
          </w:p>
        </w:tc>
        <w:tc>
          <w:tcPr>
            <w:tcW w:type="dxa" w:w="3249"/>
            <w:shd w:val="clear" w:fill="F2F6FA"/>
          </w:tcPr>
          <w:p>
            <w:pPr>
              <w:spacing w:before="40" w:after="40"/>
            </w:pPr>
            <w:r>
              <w:rPr>
                <w:rFonts w:ascii="Calibri" w:hAnsi="Calibri"/>
                <w:b w:val="0"/>
                <w:i w:val="0"/>
                <w:color w:val="333333"/>
                <w:sz w:val="17"/>
              </w:rPr>
              <w:t>A.5.24–5.28</w:t>
            </w:r>
          </w:p>
        </w:tc>
        <w:tc>
          <w:tcPr>
            <w:tcW w:type="dxa" w:w="3249"/>
            <w:shd w:val="clear" w:fill="F2F6FA"/>
          </w:tcPr>
          <w:p>
            <w:pPr>
              <w:spacing w:before="40" w:after="40"/>
            </w:pPr>
            <w:r>
              <w:rPr>
                <w:rFonts w:ascii="Calibri" w:hAnsi="Calibri"/>
                <w:b w:val="0"/>
                <w:i w:val="0"/>
                <w:color w:val="333333"/>
                <w:sz w:val="17"/>
              </w:rPr>
              <w:t>§16</w:t>
            </w:r>
          </w:p>
        </w:tc>
      </w:tr>
      <w:tr>
        <w:tc>
          <w:tcPr>
            <w:tcW w:type="dxa" w:w="3249"/>
          </w:tcPr>
          <w:p>
            <w:pPr>
              <w:spacing w:before="40" w:after="40"/>
            </w:pPr>
            <w:r>
              <w:rPr>
                <w:rFonts w:ascii="Calibri" w:hAnsi="Calibri"/>
                <w:b w:val="0"/>
                <w:i w:val="0"/>
                <w:color w:val="333333"/>
                <w:sz w:val="17"/>
              </w:rPr>
              <w:t>Business continuity</w:t>
            </w:r>
          </w:p>
        </w:tc>
        <w:tc>
          <w:tcPr>
            <w:tcW w:type="dxa" w:w="3249"/>
          </w:tcPr>
          <w:p>
            <w:pPr>
              <w:spacing w:before="40" w:after="40"/>
            </w:pPr>
            <w:r>
              <w:rPr>
                <w:rFonts w:ascii="Calibri" w:hAnsi="Calibri"/>
                <w:b w:val="0"/>
                <w:i w:val="0"/>
                <w:color w:val="333333"/>
                <w:sz w:val="17"/>
              </w:rPr>
              <w:t>A.5.29–5.30</w:t>
            </w:r>
          </w:p>
        </w:tc>
        <w:tc>
          <w:tcPr>
            <w:tcW w:type="dxa" w:w="3249"/>
          </w:tcPr>
          <w:p>
            <w:pPr>
              <w:spacing w:before="40" w:after="40"/>
            </w:pPr>
            <w:r>
              <w:rPr>
                <w:rFonts w:ascii="Calibri" w:hAnsi="Calibri"/>
                <w:b w:val="0"/>
                <w:i w:val="0"/>
                <w:color w:val="333333"/>
                <w:sz w:val="17"/>
              </w:rPr>
              <w:t>§13</w:t>
            </w:r>
          </w:p>
        </w:tc>
      </w:tr>
      <w:tr>
        <w:tc>
          <w:tcPr>
            <w:tcW w:type="dxa" w:w="3249"/>
            <w:shd w:val="clear" w:fill="F2F6FA"/>
          </w:tcPr>
          <w:p>
            <w:pPr>
              <w:spacing w:before="40" w:after="40"/>
            </w:pPr>
            <w:r>
              <w:rPr>
                <w:rFonts w:ascii="Calibri" w:hAnsi="Calibri"/>
                <w:b w:val="0"/>
                <w:i w:val="0"/>
                <w:color w:val="333333"/>
                <w:sz w:val="17"/>
              </w:rPr>
              <w:t>Legal and contractual requirements</w:t>
            </w:r>
          </w:p>
        </w:tc>
        <w:tc>
          <w:tcPr>
            <w:tcW w:type="dxa" w:w="3249"/>
            <w:shd w:val="clear" w:fill="F2F6FA"/>
          </w:tcPr>
          <w:p>
            <w:pPr>
              <w:spacing w:before="40" w:after="40"/>
            </w:pPr>
            <w:r>
              <w:rPr>
                <w:rFonts w:ascii="Calibri" w:hAnsi="Calibri"/>
                <w:b w:val="0"/>
                <w:i w:val="0"/>
                <w:color w:val="333333"/>
                <w:sz w:val="17"/>
              </w:rPr>
              <w:t>A.5.31–5.34</w:t>
            </w:r>
          </w:p>
        </w:tc>
        <w:tc>
          <w:tcPr>
            <w:tcW w:type="dxa" w:w="3249"/>
            <w:shd w:val="clear" w:fill="F2F6FA"/>
          </w:tcPr>
          <w:p>
            <w:pPr>
              <w:spacing w:before="40" w:after="40"/>
            </w:pPr>
            <w:r>
              <w:rPr>
                <w:rFonts w:ascii="Calibri" w:hAnsi="Calibri"/>
                <w:b w:val="0"/>
                <w:i w:val="0"/>
                <w:color w:val="333333"/>
                <w:sz w:val="17"/>
              </w:rPr>
              <w:t>§1.4, §6.5</w:t>
            </w:r>
          </w:p>
        </w:tc>
      </w:tr>
      <w:tr>
        <w:tc>
          <w:tcPr>
            <w:tcW w:type="dxa" w:w="3249"/>
          </w:tcPr>
          <w:p>
            <w:pPr>
              <w:spacing w:before="40" w:after="40"/>
            </w:pPr>
            <w:r>
              <w:rPr>
                <w:rFonts w:ascii="Calibri" w:hAnsi="Calibri"/>
                <w:b w:val="0"/>
                <w:i w:val="0"/>
                <w:color w:val="333333"/>
                <w:sz w:val="17"/>
              </w:rPr>
              <w:t>Screening and terms of employment</w:t>
            </w:r>
          </w:p>
        </w:tc>
        <w:tc>
          <w:tcPr>
            <w:tcW w:type="dxa" w:w="3249"/>
          </w:tcPr>
          <w:p>
            <w:pPr>
              <w:spacing w:before="40" w:after="40"/>
            </w:pPr>
            <w:r>
              <w:rPr>
                <w:rFonts w:ascii="Calibri" w:hAnsi="Calibri"/>
                <w:b w:val="0"/>
                <w:i w:val="0"/>
                <w:color w:val="333333"/>
                <w:sz w:val="17"/>
              </w:rPr>
              <w:t>A.6.1–6.2</w:t>
            </w:r>
          </w:p>
        </w:tc>
        <w:tc>
          <w:tcPr>
            <w:tcW w:type="dxa" w:w="3249"/>
          </w:tcPr>
          <w:p>
            <w:pPr>
              <w:spacing w:before="40" w:after="40"/>
            </w:pPr>
            <w:r>
              <w:rPr>
                <w:rFonts w:ascii="Calibri" w:hAnsi="Calibri"/>
                <w:b w:val="0"/>
                <w:i w:val="0"/>
                <w:color w:val="333333"/>
                <w:sz w:val="17"/>
              </w:rPr>
              <w:t>§14.1</w:t>
            </w:r>
          </w:p>
        </w:tc>
      </w:tr>
      <w:tr>
        <w:tc>
          <w:tcPr>
            <w:tcW w:type="dxa" w:w="3249"/>
            <w:shd w:val="clear" w:fill="F2F6FA"/>
          </w:tcPr>
          <w:p>
            <w:pPr>
              <w:spacing w:before="40" w:after="40"/>
            </w:pPr>
            <w:r>
              <w:rPr>
                <w:rFonts w:ascii="Calibri" w:hAnsi="Calibri"/>
                <w:b w:val="0"/>
                <w:i w:val="0"/>
                <w:color w:val="333333"/>
                <w:sz w:val="17"/>
              </w:rPr>
              <w:t>Awareness and training</w:t>
            </w:r>
          </w:p>
        </w:tc>
        <w:tc>
          <w:tcPr>
            <w:tcW w:type="dxa" w:w="3249"/>
            <w:shd w:val="clear" w:fill="F2F6FA"/>
          </w:tcPr>
          <w:p>
            <w:pPr>
              <w:spacing w:before="40" w:after="40"/>
            </w:pPr>
            <w:r>
              <w:rPr>
                <w:rFonts w:ascii="Calibri" w:hAnsi="Calibri"/>
                <w:b w:val="0"/>
                <w:i w:val="0"/>
                <w:color w:val="333333"/>
                <w:sz w:val="17"/>
              </w:rPr>
              <w:t>A.6.3</w:t>
            </w:r>
          </w:p>
        </w:tc>
        <w:tc>
          <w:tcPr>
            <w:tcW w:type="dxa" w:w="3249"/>
            <w:shd w:val="clear" w:fill="F2F6FA"/>
          </w:tcPr>
          <w:p>
            <w:pPr>
              <w:spacing w:before="40" w:after="40"/>
            </w:pPr>
            <w:r>
              <w:rPr>
                <w:rFonts w:ascii="Calibri" w:hAnsi="Calibri"/>
                <w:b w:val="0"/>
                <w:i w:val="0"/>
                <w:color w:val="333333"/>
                <w:sz w:val="17"/>
              </w:rPr>
              <w:t>§14.5</w:t>
            </w:r>
          </w:p>
        </w:tc>
      </w:tr>
      <w:tr>
        <w:tc>
          <w:tcPr>
            <w:tcW w:type="dxa" w:w="3249"/>
          </w:tcPr>
          <w:p>
            <w:pPr>
              <w:spacing w:before="40" w:after="40"/>
            </w:pPr>
            <w:r>
              <w:rPr>
                <w:rFonts w:ascii="Calibri" w:hAnsi="Calibri"/>
                <w:b w:val="0"/>
                <w:i w:val="0"/>
                <w:color w:val="333333"/>
                <w:sz w:val="17"/>
              </w:rPr>
              <w:t>Disciplinary process</w:t>
            </w:r>
          </w:p>
        </w:tc>
        <w:tc>
          <w:tcPr>
            <w:tcW w:type="dxa" w:w="3249"/>
          </w:tcPr>
          <w:p>
            <w:pPr>
              <w:spacing w:before="40" w:after="40"/>
            </w:pPr>
            <w:r>
              <w:rPr>
                <w:rFonts w:ascii="Calibri" w:hAnsi="Calibri"/>
                <w:b w:val="0"/>
                <w:i w:val="0"/>
                <w:color w:val="333333"/>
                <w:sz w:val="17"/>
              </w:rPr>
              <w:t>A.6.4</w:t>
            </w:r>
          </w:p>
        </w:tc>
        <w:tc>
          <w:tcPr>
            <w:tcW w:type="dxa" w:w="3249"/>
          </w:tcPr>
          <w:p>
            <w:pPr>
              <w:spacing w:before="40" w:after="40"/>
            </w:pPr>
            <w:r>
              <w:rPr>
                <w:rFonts w:ascii="Calibri" w:hAnsi="Calibri"/>
                <w:b w:val="0"/>
                <w:i w:val="0"/>
                <w:color w:val="333333"/>
                <w:sz w:val="17"/>
              </w:rPr>
              <w:t>SUNU HR policy</w:t>
            </w:r>
          </w:p>
        </w:tc>
      </w:tr>
      <w:tr>
        <w:tc>
          <w:tcPr>
            <w:tcW w:type="dxa" w:w="3249"/>
            <w:shd w:val="clear" w:fill="F2F6FA"/>
          </w:tcPr>
          <w:p>
            <w:pPr>
              <w:spacing w:before="40" w:after="40"/>
            </w:pPr>
            <w:r>
              <w:rPr>
                <w:rFonts w:ascii="Calibri" w:hAnsi="Calibri"/>
                <w:b w:val="0"/>
                <w:i w:val="0"/>
                <w:color w:val="333333"/>
                <w:sz w:val="17"/>
              </w:rPr>
              <w:t>Physical security</w:t>
            </w:r>
          </w:p>
        </w:tc>
        <w:tc>
          <w:tcPr>
            <w:tcW w:type="dxa" w:w="3249"/>
            <w:shd w:val="clear" w:fill="F2F6FA"/>
          </w:tcPr>
          <w:p>
            <w:pPr>
              <w:spacing w:before="40" w:after="40"/>
            </w:pPr>
            <w:r>
              <w:rPr>
                <w:rFonts w:ascii="Calibri" w:hAnsi="Calibri"/>
                <w:b w:val="0"/>
                <w:i w:val="0"/>
                <w:color w:val="333333"/>
                <w:sz w:val="17"/>
              </w:rPr>
              <w:t>A.7.1–7.4</w:t>
            </w:r>
          </w:p>
        </w:tc>
        <w:tc>
          <w:tcPr>
            <w:tcW w:type="dxa" w:w="3249"/>
            <w:shd w:val="clear" w:fill="F2F6FA"/>
          </w:tcPr>
          <w:p>
            <w:pPr>
              <w:spacing w:before="40" w:after="40"/>
            </w:pPr>
            <w:r>
              <w:rPr>
                <w:rFonts w:ascii="Calibri" w:hAnsi="Calibri"/>
                <w:b w:val="0"/>
                <w:i w:val="0"/>
                <w:color w:val="333333"/>
                <w:sz w:val="17"/>
              </w:rPr>
              <w:t>§7.2, §14.3, hosting</w:t>
            </w:r>
          </w:p>
        </w:tc>
      </w:tr>
      <w:tr>
        <w:tc>
          <w:tcPr>
            <w:tcW w:type="dxa" w:w="3249"/>
          </w:tcPr>
          <w:p>
            <w:pPr>
              <w:spacing w:before="40" w:after="40"/>
            </w:pPr>
            <w:r>
              <w:rPr>
                <w:rFonts w:ascii="Calibri" w:hAnsi="Calibri"/>
                <w:b w:val="0"/>
                <w:i w:val="0"/>
                <w:color w:val="333333"/>
                <w:sz w:val="17"/>
              </w:rPr>
              <w:t>Equipment and secure disposal</w:t>
            </w:r>
          </w:p>
        </w:tc>
        <w:tc>
          <w:tcPr>
            <w:tcW w:type="dxa" w:w="3249"/>
          </w:tcPr>
          <w:p>
            <w:pPr>
              <w:spacing w:before="40" w:after="40"/>
            </w:pPr>
            <w:r>
              <w:rPr>
                <w:rFonts w:ascii="Calibri" w:hAnsi="Calibri"/>
                <w:b w:val="0"/>
                <w:i w:val="0"/>
                <w:color w:val="333333"/>
                <w:sz w:val="17"/>
              </w:rPr>
              <w:t>A.7.9–7.14</w:t>
            </w:r>
          </w:p>
        </w:tc>
        <w:tc>
          <w:tcPr>
            <w:tcW w:type="dxa" w:w="3249"/>
          </w:tcPr>
          <w:p>
            <w:pPr>
              <w:spacing w:before="40" w:after="40"/>
            </w:pPr>
            <w:r>
              <w:rPr>
                <w:rFonts w:ascii="Calibri" w:hAnsi="Calibri"/>
                <w:b w:val="0"/>
                <w:i w:val="0"/>
                <w:color w:val="333333"/>
                <w:sz w:val="17"/>
              </w:rPr>
              <w:t>§9, §14.1</w:t>
            </w:r>
          </w:p>
        </w:tc>
      </w:tr>
      <w:tr>
        <w:tc>
          <w:tcPr>
            <w:tcW w:type="dxa" w:w="3249"/>
            <w:shd w:val="clear" w:fill="F2F6FA"/>
          </w:tcPr>
          <w:p>
            <w:pPr>
              <w:spacing w:before="40" w:after="40"/>
            </w:pPr>
            <w:r>
              <w:rPr>
                <w:rFonts w:ascii="Calibri" w:hAnsi="Calibri"/>
                <w:b w:val="0"/>
                <w:i w:val="0"/>
                <w:color w:val="333333"/>
                <w:sz w:val="17"/>
              </w:rPr>
              <w:t>User endpoint devices</w:t>
            </w:r>
          </w:p>
        </w:tc>
        <w:tc>
          <w:tcPr>
            <w:tcW w:type="dxa" w:w="3249"/>
            <w:shd w:val="clear" w:fill="F2F6FA"/>
          </w:tcPr>
          <w:p>
            <w:pPr>
              <w:spacing w:before="40" w:after="40"/>
            </w:pPr>
            <w:r>
              <w:rPr>
                <w:rFonts w:ascii="Calibri" w:hAnsi="Calibri"/>
                <w:b w:val="0"/>
                <w:i w:val="0"/>
                <w:color w:val="333333"/>
                <w:sz w:val="17"/>
              </w:rPr>
              <w:t>A.8.1</w:t>
            </w:r>
          </w:p>
        </w:tc>
        <w:tc>
          <w:tcPr>
            <w:tcW w:type="dxa" w:w="3249"/>
            <w:shd w:val="clear" w:fill="F2F6FA"/>
          </w:tcPr>
          <w:p>
            <w:pPr>
              <w:spacing w:before="40" w:after="40"/>
            </w:pPr>
            <w:r>
              <w:rPr>
                <w:rFonts w:ascii="Calibri" w:hAnsi="Calibri"/>
                <w:b w:val="0"/>
                <w:i w:val="0"/>
                <w:color w:val="333333"/>
                <w:sz w:val="17"/>
              </w:rPr>
              <w:t>§9</w:t>
            </w:r>
          </w:p>
        </w:tc>
      </w:tr>
      <w:tr>
        <w:tc>
          <w:tcPr>
            <w:tcW w:type="dxa" w:w="3249"/>
          </w:tcPr>
          <w:p>
            <w:pPr>
              <w:spacing w:before="40" w:after="40"/>
            </w:pPr>
            <w:r>
              <w:rPr>
                <w:rFonts w:ascii="Calibri" w:hAnsi="Calibri"/>
                <w:b w:val="0"/>
                <w:i w:val="0"/>
                <w:color w:val="333333"/>
                <w:sz w:val="17"/>
              </w:rPr>
              <w:t>Privileged access rights</w:t>
            </w:r>
          </w:p>
        </w:tc>
        <w:tc>
          <w:tcPr>
            <w:tcW w:type="dxa" w:w="3249"/>
          </w:tcPr>
          <w:p>
            <w:pPr>
              <w:spacing w:before="40" w:after="40"/>
            </w:pPr>
            <w:r>
              <w:rPr>
                <w:rFonts w:ascii="Calibri" w:hAnsi="Calibri"/>
                <w:b w:val="0"/>
                <w:i w:val="0"/>
                <w:color w:val="333333"/>
                <w:sz w:val="17"/>
              </w:rPr>
              <w:t>A.8.2</w:t>
            </w:r>
          </w:p>
        </w:tc>
        <w:tc>
          <w:tcPr>
            <w:tcW w:type="dxa" w:w="3249"/>
          </w:tcPr>
          <w:p>
            <w:pPr>
              <w:spacing w:before="40" w:after="40"/>
            </w:pPr>
            <w:r>
              <w:rPr>
                <w:rFonts w:ascii="Calibri" w:hAnsi="Calibri"/>
                <w:b w:val="0"/>
                <w:i w:val="0"/>
                <w:color w:val="333333"/>
                <w:sz w:val="17"/>
              </w:rPr>
              <w:t>§5.1, §5.2</w:t>
            </w:r>
          </w:p>
        </w:tc>
      </w:tr>
      <w:tr>
        <w:tc>
          <w:tcPr>
            <w:tcW w:type="dxa" w:w="3249"/>
            <w:shd w:val="clear" w:fill="F2F6FA"/>
          </w:tcPr>
          <w:p>
            <w:pPr>
              <w:spacing w:before="40" w:after="40"/>
            </w:pPr>
            <w:r>
              <w:rPr>
                <w:rFonts w:ascii="Calibri" w:hAnsi="Calibri"/>
                <w:b w:val="0"/>
                <w:i w:val="0"/>
                <w:color w:val="333333"/>
                <w:sz w:val="17"/>
              </w:rPr>
              <w:t>Information access restriction</w:t>
            </w:r>
          </w:p>
        </w:tc>
        <w:tc>
          <w:tcPr>
            <w:tcW w:type="dxa" w:w="3249"/>
            <w:shd w:val="clear" w:fill="F2F6FA"/>
          </w:tcPr>
          <w:p>
            <w:pPr>
              <w:spacing w:before="40" w:after="40"/>
            </w:pPr>
            <w:r>
              <w:rPr>
                <w:rFonts w:ascii="Calibri" w:hAnsi="Calibri"/>
                <w:b w:val="0"/>
                <w:i w:val="0"/>
                <w:color w:val="333333"/>
                <w:sz w:val="17"/>
              </w:rPr>
              <w:t>A.8.3</w:t>
            </w:r>
          </w:p>
        </w:tc>
        <w:tc>
          <w:tcPr>
            <w:tcW w:type="dxa" w:w="3249"/>
            <w:shd w:val="clear" w:fill="F2F6FA"/>
          </w:tcPr>
          <w:p>
            <w:pPr>
              <w:spacing w:before="40" w:after="40"/>
            </w:pPr>
            <w:r>
              <w:rPr>
                <w:rFonts w:ascii="Calibri" w:hAnsi="Calibri"/>
                <w:b w:val="0"/>
                <w:i w:val="0"/>
                <w:color w:val="333333"/>
                <w:sz w:val="17"/>
              </w:rPr>
              <w:t>§5.2, §6.4</w:t>
            </w:r>
          </w:p>
        </w:tc>
      </w:tr>
      <w:tr>
        <w:tc>
          <w:tcPr>
            <w:tcW w:type="dxa" w:w="3249"/>
          </w:tcPr>
          <w:p>
            <w:pPr>
              <w:spacing w:before="40" w:after="40"/>
            </w:pPr>
            <w:r>
              <w:rPr>
                <w:rFonts w:ascii="Calibri" w:hAnsi="Calibri"/>
                <w:b w:val="0"/>
                <w:i w:val="0"/>
                <w:color w:val="333333"/>
                <w:sz w:val="17"/>
              </w:rPr>
              <w:t>Authentication</w:t>
            </w:r>
          </w:p>
        </w:tc>
        <w:tc>
          <w:tcPr>
            <w:tcW w:type="dxa" w:w="3249"/>
          </w:tcPr>
          <w:p>
            <w:pPr>
              <w:spacing w:before="40" w:after="40"/>
            </w:pPr>
            <w:r>
              <w:rPr>
                <w:rFonts w:ascii="Calibri" w:hAnsi="Calibri"/>
                <w:b w:val="0"/>
                <w:i w:val="0"/>
                <w:color w:val="333333"/>
                <w:sz w:val="17"/>
              </w:rPr>
              <w:t>A.8.5</w:t>
            </w:r>
          </w:p>
        </w:tc>
        <w:tc>
          <w:tcPr>
            <w:tcW w:type="dxa" w:w="3249"/>
          </w:tcPr>
          <w:p>
            <w:pPr>
              <w:spacing w:before="40" w:after="40"/>
            </w:pPr>
            <w:r>
              <w:rPr>
                <w:rFonts w:ascii="Calibri" w:hAnsi="Calibri"/>
                <w:b w:val="0"/>
                <w:i w:val="0"/>
                <w:color w:val="333333"/>
                <w:sz w:val="17"/>
              </w:rPr>
              <w:t>§5.1, §5.3</w:t>
            </w:r>
          </w:p>
        </w:tc>
      </w:tr>
      <w:tr>
        <w:tc>
          <w:tcPr>
            <w:tcW w:type="dxa" w:w="3249"/>
            <w:shd w:val="clear" w:fill="F2F6FA"/>
          </w:tcPr>
          <w:p>
            <w:pPr>
              <w:spacing w:before="40" w:after="40"/>
            </w:pPr>
            <w:r>
              <w:rPr>
                <w:rFonts w:ascii="Calibri" w:hAnsi="Calibri"/>
                <w:b w:val="0"/>
                <w:i w:val="0"/>
                <w:color w:val="333333"/>
                <w:sz w:val="17"/>
              </w:rPr>
              <w:t>Capacity management</w:t>
            </w:r>
          </w:p>
        </w:tc>
        <w:tc>
          <w:tcPr>
            <w:tcW w:type="dxa" w:w="3249"/>
            <w:shd w:val="clear" w:fill="F2F6FA"/>
          </w:tcPr>
          <w:p>
            <w:pPr>
              <w:spacing w:before="40" w:after="40"/>
            </w:pPr>
            <w:r>
              <w:rPr>
                <w:rFonts w:ascii="Calibri" w:hAnsi="Calibri"/>
                <w:b w:val="0"/>
                <w:i w:val="0"/>
                <w:color w:val="333333"/>
                <w:sz w:val="17"/>
              </w:rPr>
              <w:t>A.8.6</w:t>
            </w:r>
          </w:p>
        </w:tc>
        <w:tc>
          <w:tcPr>
            <w:tcW w:type="dxa" w:w="3249"/>
            <w:shd w:val="clear" w:fill="F2F6FA"/>
          </w:tcPr>
          <w:p>
            <w:pPr>
              <w:spacing w:before="40" w:after="40"/>
            </w:pPr>
            <w:r>
              <w:rPr>
                <w:rFonts w:ascii="Calibri" w:hAnsi="Calibri"/>
                <w:b w:val="0"/>
                <w:i w:val="0"/>
                <w:color w:val="333333"/>
                <w:sz w:val="17"/>
              </w:rPr>
              <w:t>Doc 1 §10.3</w:t>
            </w:r>
          </w:p>
        </w:tc>
      </w:tr>
      <w:tr>
        <w:tc>
          <w:tcPr>
            <w:tcW w:type="dxa" w:w="3249"/>
          </w:tcPr>
          <w:p>
            <w:pPr>
              <w:spacing w:before="40" w:after="40"/>
            </w:pPr>
            <w:r>
              <w:rPr>
                <w:rFonts w:ascii="Calibri" w:hAnsi="Calibri"/>
                <w:b w:val="0"/>
                <w:i w:val="0"/>
                <w:color w:val="333333"/>
                <w:sz w:val="17"/>
              </w:rPr>
              <w:t>Malware protection</w:t>
            </w:r>
          </w:p>
        </w:tc>
        <w:tc>
          <w:tcPr>
            <w:tcW w:type="dxa" w:w="3249"/>
          </w:tcPr>
          <w:p>
            <w:pPr>
              <w:spacing w:before="40" w:after="40"/>
            </w:pPr>
            <w:r>
              <w:rPr>
                <w:rFonts w:ascii="Calibri" w:hAnsi="Calibri"/>
                <w:b w:val="0"/>
                <w:i w:val="0"/>
                <w:color w:val="333333"/>
                <w:sz w:val="17"/>
              </w:rPr>
              <w:t>A.8.7</w:t>
            </w:r>
          </w:p>
        </w:tc>
        <w:tc>
          <w:tcPr>
            <w:tcW w:type="dxa" w:w="3249"/>
          </w:tcPr>
          <w:p>
            <w:pPr>
              <w:spacing w:before="40" w:after="40"/>
            </w:pPr>
            <w:r>
              <w:rPr>
                <w:rFonts w:ascii="Calibri" w:hAnsi="Calibri"/>
                <w:b w:val="0"/>
                <w:i w:val="0"/>
                <w:color w:val="333333"/>
                <w:sz w:val="17"/>
              </w:rPr>
              <w:t>§9, host hardening</w:t>
            </w:r>
          </w:p>
        </w:tc>
      </w:tr>
      <w:tr>
        <w:tc>
          <w:tcPr>
            <w:tcW w:type="dxa" w:w="3249"/>
            <w:shd w:val="clear" w:fill="F2F6FA"/>
          </w:tcPr>
          <w:p>
            <w:pPr>
              <w:spacing w:before="40" w:after="40"/>
            </w:pPr>
            <w:r>
              <w:rPr>
                <w:rFonts w:ascii="Calibri" w:hAnsi="Calibri"/>
                <w:b w:val="0"/>
                <w:i w:val="0"/>
                <w:color w:val="333333"/>
                <w:sz w:val="17"/>
              </w:rPr>
              <w:t>Vulnerability management</w:t>
            </w:r>
          </w:p>
        </w:tc>
        <w:tc>
          <w:tcPr>
            <w:tcW w:type="dxa" w:w="3249"/>
            <w:shd w:val="clear" w:fill="F2F6FA"/>
          </w:tcPr>
          <w:p>
            <w:pPr>
              <w:spacing w:before="40" w:after="40"/>
            </w:pPr>
            <w:r>
              <w:rPr>
                <w:rFonts w:ascii="Calibri" w:hAnsi="Calibri"/>
                <w:b w:val="0"/>
                <w:i w:val="0"/>
                <w:color w:val="333333"/>
                <w:sz w:val="17"/>
              </w:rPr>
              <w:t>A.8.8</w:t>
            </w:r>
          </w:p>
        </w:tc>
        <w:tc>
          <w:tcPr>
            <w:tcW w:type="dxa" w:w="3249"/>
            <w:shd w:val="clear" w:fill="F2F6FA"/>
          </w:tcPr>
          <w:p>
            <w:pPr>
              <w:spacing w:before="40" w:after="40"/>
            </w:pPr>
            <w:r>
              <w:rPr>
                <w:rFonts w:ascii="Calibri" w:hAnsi="Calibri"/>
                <w:b w:val="0"/>
                <w:i w:val="0"/>
                <w:color w:val="333333"/>
                <w:sz w:val="17"/>
              </w:rPr>
              <w:t>§12 H-10, §16.3</w:t>
            </w:r>
          </w:p>
        </w:tc>
      </w:tr>
      <w:tr>
        <w:tc>
          <w:tcPr>
            <w:tcW w:type="dxa" w:w="3249"/>
          </w:tcPr>
          <w:p>
            <w:pPr>
              <w:spacing w:before="40" w:after="40"/>
            </w:pPr>
            <w:r>
              <w:rPr>
                <w:rFonts w:ascii="Calibri" w:hAnsi="Calibri"/>
                <w:b w:val="0"/>
                <w:i w:val="0"/>
                <w:color w:val="333333"/>
                <w:sz w:val="17"/>
              </w:rPr>
              <w:t>Configuration management</w:t>
            </w:r>
          </w:p>
        </w:tc>
        <w:tc>
          <w:tcPr>
            <w:tcW w:type="dxa" w:w="3249"/>
          </w:tcPr>
          <w:p>
            <w:pPr>
              <w:spacing w:before="40" w:after="40"/>
            </w:pPr>
            <w:r>
              <w:rPr>
                <w:rFonts w:ascii="Calibri" w:hAnsi="Calibri"/>
                <w:b w:val="0"/>
                <w:i w:val="0"/>
                <w:color w:val="333333"/>
                <w:sz w:val="17"/>
              </w:rPr>
              <w:t>A.8.9</w:t>
            </w:r>
          </w:p>
        </w:tc>
        <w:tc>
          <w:tcPr>
            <w:tcW w:type="dxa" w:w="3249"/>
          </w:tcPr>
          <w:p>
            <w:pPr>
              <w:spacing w:before="40" w:after="40"/>
            </w:pPr>
            <w:r>
              <w:rPr>
                <w:rFonts w:ascii="Calibri" w:hAnsi="Calibri"/>
                <w:b w:val="0"/>
                <w:i w:val="0"/>
                <w:color w:val="333333"/>
                <w:sz w:val="17"/>
              </w:rPr>
              <w:t>§12 H-9</w:t>
            </w:r>
          </w:p>
        </w:tc>
      </w:tr>
      <w:tr>
        <w:tc>
          <w:tcPr>
            <w:tcW w:type="dxa" w:w="3249"/>
            <w:shd w:val="clear" w:fill="F2F6FA"/>
          </w:tcPr>
          <w:p>
            <w:pPr>
              <w:spacing w:before="40" w:after="40"/>
            </w:pPr>
            <w:r>
              <w:rPr>
                <w:rFonts w:ascii="Calibri" w:hAnsi="Calibri"/>
                <w:b w:val="0"/>
                <w:i w:val="0"/>
                <w:color w:val="333333"/>
                <w:sz w:val="17"/>
              </w:rPr>
              <w:t>Data masking</w:t>
            </w:r>
          </w:p>
        </w:tc>
        <w:tc>
          <w:tcPr>
            <w:tcW w:type="dxa" w:w="3249"/>
            <w:shd w:val="clear" w:fill="F2F6FA"/>
          </w:tcPr>
          <w:p>
            <w:pPr>
              <w:spacing w:before="40" w:after="40"/>
            </w:pPr>
            <w:r>
              <w:rPr>
                <w:rFonts w:ascii="Calibri" w:hAnsi="Calibri"/>
                <w:b w:val="0"/>
                <w:i w:val="0"/>
                <w:color w:val="333333"/>
                <w:sz w:val="17"/>
              </w:rPr>
              <w:t>A.8.11</w:t>
            </w:r>
          </w:p>
        </w:tc>
        <w:tc>
          <w:tcPr>
            <w:tcW w:type="dxa" w:w="3249"/>
            <w:shd w:val="clear" w:fill="F2F6FA"/>
          </w:tcPr>
          <w:p>
            <w:pPr>
              <w:spacing w:before="40" w:after="40"/>
            </w:pPr>
            <w:r>
              <w:rPr>
                <w:rFonts w:ascii="Calibri" w:hAnsi="Calibri"/>
                <w:b w:val="0"/>
                <w:i w:val="0"/>
                <w:color w:val="333333"/>
                <w:sz w:val="17"/>
              </w:rPr>
              <w:t>§6.4, §11.2</w:t>
            </w:r>
          </w:p>
        </w:tc>
      </w:tr>
      <w:tr>
        <w:tc>
          <w:tcPr>
            <w:tcW w:type="dxa" w:w="3249"/>
          </w:tcPr>
          <w:p>
            <w:pPr>
              <w:spacing w:before="40" w:after="40"/>
            </w:pPr>
            <w:r>
              <w:rPr>
                <w:rFonts w:ascii="Calibri" w:hAnsi="Calibri"/>
                <w:b w:val="0"/>
                <w:i w:val="0"/>
                <w:color w:val="333333"/>
                <w:sz w:val="17"/>
              </w:rPr>
              <w:t>Data leakage prevention</w:t>
            </w:r>
          </w:p>
        </w:tc>
        <w:tc>
          <w:tcPr>
            <w:tcW w:type="dxa" w:w="3249"/>
          </w:tcPr>
          <w:p>
            <w:pPr>
              <w:spacing w:before="40" w:after="40"/>
            </w:pPr>
            <w:r>
              <w:rPr>
                <w:rFonts w:ascii="Calibri" w:hAnsi="Calibri"/>
                <w:b w:val="0"/>
                <w:i w:val="0"/>
                <w:color w:val="333333"/>
                <w:sz w:val="17"/>
              </w:rPr>
              <w:t>A.8.12</w:t>
            </w:r>
          </w:p>
        </w:tc>
        <w:tc>
          <w:tcPr>
            <w:tcW w:type="dxa" w:w="3249"/>
          </w:tcPr>
          <w:p>
            <w:pPr>
              <w:spacing w:before="40" w:after="40"/>
            </w:pPr>
            <w:r>
              <w:rPr>
                <w:rFonts w:ascii="Calibri" w:hAnsi="Calibri"/>
                <w:b w:val="0"/>
                <w:i w:val="0"/>
                <w:color w:val="333333"/>
                <w:sz w:val="17"/>
              </w:rPr>
              <w:t>§8.4, §11.3</w:t>
            </w:r>
          </w:p>
        </w:tc>
      </w:tr>
      <w:tr>
        <w:tc>
          <w:tcPr>
            <w:tcW w:type="dxa" w:w="3249"/>
            <w:shd w:val="clear" w:fill="F2F6FA"/>
          </w:tcPr>
          <w:p>
            <w:pPr>
              <w:spacing w:before="40" w:after="40"/>
            </w:pPr>
            <w:r>
              <w:rPr>
                <w:rFonts w:ascii="Calibri" w:hAnsi="Calibri"/>
                <w:b w:val="0"/>
                <w:i w:val="0"/>
                <w:color w:val="333333"/>
                <w:sz w:val="17"/>
              </w:rPr>
              <w:t>Backup</w:t>
            </w:r>
          </w:p>
        </w:tc>
        <w:tc>
          <w:tcPr>
            <w:tcW w:type="dxa" w:w="3249"/>
            <w:shd w:val="clear" w:fill="F2F6FA"/>
          </w:tcPr>
          <w:p>
            <w:pPr>
              <w:spacing w:before="40" w:after="40"/>
            </w:pPr>
            <w:r>
              <w:rPr>
                <w:rFonts w:ascii="Calibri" w:hAnsi="Calibri"/>
                <w:b w:val="0"/>
                <w:i w:val="0"/>
                <w:color w:val="333333"/>
                <w:sz w:val="17"/>
              </w:rPr>
              <w:t>A.8.13</w:t>
            </w:r>
          </w:p>
        </w:tc>
        <w:tc>
          <w:tcPr>
            <w:tcW w:type="dxa" w:w="3249"/>
            <w:shd w:val="clear" w:fill="F2F6FA"/>
          </w:tcPr>
          <w:p>
            <w:pPr>
              <w:spacing w:before="40" w:after="40"/>
            </w:pPr>
            <w:r>
              <w:rPr>
                <w:rFonts w:ascii="Calibri" w:hAnsi="Calibri"/>
                <w:b w:val="0"/>
                <w:i w:val="0"/>
                <w:color w:val="333333"/>
                <w:sz w:val="17"/>
              </w:rPr>
              <w:t>§13</w:t>
            </w:r>
          </w:p>
        </w:tc>
      </w:tr>
      <w:tr>
        <w:tc>
          <w:tcPr>
            <w:tcW w:type="dxa" w:w="3249"/>
          </w:tcPr>
          <w:p>
            <w:pPr>
              <w:spacing w:before="40" w:after="40"/>
            </w:pPr>
            <w:r>
              <w:rPr>
                <w:rFonts w:ascii="Calibri" w:hAnsi="Calibri"/>
                <w:b w:val="0"/>
                <w:i w:val="0"/>
                <w:color w:val="333333"/>
                <w:sz w:val="17"/>
              </w:rPr>
              <w:t>Logging and monitoring</w:t>
            </w:r>
          </w:p>
        </w:tc>
        <w:tc>
          <w:tcPr>
            <w:tcW w:type="dxa" w:w="3249"/>
          </w:tcPr>
          <w:p>
            <w:pPr>
              <w:spacing w:before="40" w:after="40"/>
            </w:pPr>
            <w:r>
              <w:rPr>
                <w:rFonts w:ascii="Calibri" w:hAnsi="Calibri"/>
                <w:b w:val="0"/>
                <w:i w:val="0"/>
                <w:color w:val="333333"/>
                <w:sz w:val="17"/>
              </w:rPr>
              <w:t>A.8.15–8.16</w:t>
            </w:r>
          </w:p>
        </w:tc>
        <w:tc>
          <w:tcPr>
            <w:tcW w:type="dxa" w:w="3249"/>
          </w:tcPr>
          <w:p>
            <w:pPr>
              <w:spacing w:before="40" w:after="40"/>
            </w:pPr>
            <w:r>
              <w:rPr>
                <w:rFonts w:ascii="Calibri" w:hAnsi="Calibri"/>
                <w:b w:val="0"/>
                <w:i w:val="0"/>
                <w:color w:val="333333"/>
                <w:sz w:val="17"/>
              </w:rPr>
              <w:t>§11</w:t>
            </w:r>
          </w:p>
        </w:tc>
      </w:tr>
      <w:tr>
        <w:tc>
          <w:tcPr>
            <w:tcW w:type="dxa" w:w="3249"/>
            <w:shd w:val="clear" w:fill="F2F6FA"/>
          </w:tcPr>
          <w:p>
            <w:pPr>
              <w:spacing w:before="40" w:after="40"/>
            </w:pPr>
            <w:r>
              <w:rPr>
                <w:rFonts w:ascii="Calibri" w:hAnsi="Calibri"/>
                <w:b w:val="0"/>
                <w:i w:val="0"/>
                <w:color w:val="333333"/>
                <w:sz w:val="17"/>
              </w:rPr>
              <w:t>Network security and segregation</w:t>
            </w:r>
          </w:p>
        </w:tc>
        <w:tc>
          <w:tcPr>
            <w:tcW w:type="dxa" w:w="3249"/>
            <w:shd w:val="clear" w:fill="F2F6FA"/>
          </w:tcPr>
          <w:p>
            <w:pPr>
              <w:spacing w:before="40" w:after="40"/>
            </w:pPr>
            <w:r>
              <w:rPr>
                <w:rFonts w:ascii="Calibri" w:hAnsi="Calibri"/>
                <w:b w:val="0"/>
                <w:i w:val="0"/>
                <w:color w:val="333333"/>
                <w:sz w:val="17"/>
              </w:rPr>
              <w:t>A.8.20–8.22</w:t>
            </w:r>
          </w:p>
        </w:tc>
        <w:tc>
          <w:tcPr>
            <w:tcW w:type="dxa" w:w="3249"/>
            <w:shd w:val="clear" w:fill="F2F6FA"/>
          </w:tcPr>
          <w:p>
            <w:pPr>
              <w:spacing w:before="40" w:after="40"/>
            </w:pPr>
            <w:r>
              <w:rPr>
                <w:rFonts w:ascii="Calibri" w:hAnsi="Calibri"/>
                <w:b w:val="0"/>
                <w:i w:val="0"/>
                <w:color w:val="333333"/>
                <w:sz w:val="17"/>
              </w:rPr>
              <w:t>Doc 1 §10.2, §10</w:t>
            </w:r>
          </w:p>
        </w:tc>
      </w:tr>
      <w:tr>
        <w:tc>
          <w:tcPr>
            <w:tcW w:type="dxa" w:w="3249"/>
          </w:tcPr>
          <w:p>
            <w:pPr>
              <w:spacing w:before="40" w:after="40"/>
            </w:pPr>
            <w:r>
              <w:rPr>
                <w:rFonts w:ascii="Calibri" w:hAnsi="Calibri"/>
                <w:b w:val="0"/>
                <w:i w:val="0"/>
                <w:color w:val="333333"/>
                <w:sz w:val="17"/>
              </w:rPr>
              <w:t>Secure development</w:t>
            </w:r>
          </w:p>
        </w:tc>
        <w:tc>
          <w:tcPr>
            <w:tcW w:type="dxa" w:w="3249"/>
          </w:tcPr>
          <w:p>
            <w:pPr>
              <w:spacing w:before="40" w:after="40"/>
            </w:pPr>
            <w:r>
              <w:rPr>
                <w:rFonts w:ascii="Calibri" w:hAnsi="Calibri"/>
                <w:b w:val="0"/>
                <w:i w:val="0"/>
                <w:color w:val="333333"/>
                <w:sz w:val="17"/>
              </w:rPr>
              <w:t>A.8.25–8.29</w:t>
            </w:r>
          </w:p>
        </w:tc>
        <w:tc>
          <w:tcPr>
            <w:tcW w:type="dxa" w:w="3249"/>
          </w:tcPr>
          <w:p>
            <w:pPr>
              <w:spacing w:before="40" w:after="40"/>
            </w:pPr>
            <w:r>
              <w:rPr>
                <w:rFonts w:ascii="Calibri" w:hAnsi="Calibri"/>
                <w:b w:val="0"/>
                <w:i w:val="0"/>
                <w:color w:val="333333"/>
                <w:sz w:val="17"/>
              </w:rPr>
              <w:t>§16.3</w:t>
            </w:r>
          </w:p>
        </w:tc>
      </w:tr>
      <w:tr>
        <w:tc>
          <w:tcPr>
            <w:tcW w:type="dxa" w:w="3249"/>
            <w:shd w:val="clear" w:fill="F2F6FA"/>
          </w:tcPr>
          <w:p>
            <w:pPr>
              <w:spacing w:before="40" w:after="40"/>
            </w:pPr>
            <w:r>
              <w:rPr>
                <w:rFonts w:ascii="Calibri" w:hAnsi="Calibri"/>
                <w:b w:val="0"/>
                <w:i w:val="0"/>
                <w:color w:val="333333"/>
                <w:sz w:val="17"/>
              </w:rPr>
              <w:t>Change management</w:t>
            </w:r>
          </w:p>
        </w:tc>
        <w:tc>
          <w:tcPr>
            <w:tcW w:type="dxa" w:w="3249"/>
            <w:shd w:val="clear" w:fill="F2F6FA"/>
          </w:tcPr>
          <w:p>
            <w:pPr>
              <w:spacing w:before="40" w:after="40"/>
            </w:pPr>
            <w:r>
              <w:rPr>
                <w:rFonts w:ascii="Calibri" w:hAnsi="Calibri"/>
                <w:b w:val="0"/>
                <w:i w:val="0"/>
                <w:color w:val="333333"/>
                <w:sz w:val="17"/>
              </w:rPr>
              <w:t>A.8.32</w:t>
            </w:r>
          </w:p>
        </w:tc>
        <w:tc>
          <w:tcPr>
            <w:tcW w:type="dxa" w:w="3249"/>
            <w:shd w:val="clear" w:fill="F2F6FA"/>
          </w:tcPr>
          <w:p>
            <w:pPr>
              <w:spacing w:before="40" w:after="40"/>
            </w:pPr>
            <w:r>
              <w:rPr>
                <w:rFonts w:ascii="Calibri" w:hAnsi="Calibri"/>
                <w:b w:val="0"/>
                <w:i w:val="0"/>
                <w:color w:val="333333"/>
                <w:sz w:val="17"/>
              </w:rPr>
              <w:t>§16.3</w:t>
            </w:r>
          </w:p>
        </w:tc>
      </w:tr>
      <w:tr>
        <w:tc>
          <w:tcPr>
            <w:tcW w:type="dxa" w:w="3249"/>
          </w:tcPr>
          <w:p>
            <w:pPr>
              <w:spacing w:before="40" w:after="40"/>
            </w:pPr>
            <w:r>
              <w:rPr>
                <w:rFonts w:ascii="Calibri" w:hAnsi="Calibri"/>
                <w:b w:val="0"/>
                <w:i w:val="0"/>
                <w:color w:val="333333"/>
                <w:sz w:val="17"/>
              </w:rPr>
              <w:t>Test information</w:t>
            </w:r>
          </w:p>
        </w:tc>
        <w:tc>
          <w:tcPr>
            <w:tcW w:type="dxa" w:w="3249"/>
          </w:tcPr>
          <w:p>
            <w:pPr>
              <w:spacing w:before="40" w:after="40"/>
            </w:pPr>
            <w:r>
              <w:rPr>
                <w:rFonts w:ascii="Calibri" w:hAnsi="Calibri"/>
                <w:b w:val="0"/>
                <w:i w:val="0"/>
                <w:color w:val="333333"/>
                <w:sz w:val="17"/>
              </w:rPr>
              <w:t>A.8.33</w:t>
            </w:r>
          </w:p>
        </w:tc>
        <w:tc>
          <w:tcPr>
            <w:tcW w:type="dxa" w:w="3249"/>
          </w:tcPr>
          <w:p>
            <w:pPr>
              <w:spacing w:before="40" w:after="40"/>
            </w:pPr>
            <w:r>
              <w:rPr>
                <w:rFonts w:ascii="Calibri" w:hAnsi="Calibri"/>
                <w:b w:val="0"/>
                <w:i w:val="0"/>
                <w:color w:val="333333"/>
                <w:sz w:val="17"/>
              </w:rPr>
              <w:t>§16.3 — anonymised data in UAT</w:t>
            </w:r>
          </w:p>
        </w:tc>
      </w:tr>
    </w:tbl>
    <w:p>
      <w:pPr>
        <w:spacing w:after="40"/>
      </w:pPr>
    </w:p>
    <w:p>
      <w:pPr>
        <w:pStyle w:val="Heading1"/>
        <w:pageBreakBefore/>
        <w:spacing w:before="360" w:after="80"/>
        <w:keepNext/>
        <w:pBdr>
          <w:bottom w:val="single" w:sz="8" w:space="6" w:color="1B3A5C"/>
        </w:pBdr>
      </w:pPr>
      <w:bookmarkStart w:id="155" w:name="_Toc_s054"/>
      <w:r>
        <w:rPr>
          <w:rFonts w:ascii="Calibri" w:hAnsi="Calibri"/>
          <w:b/>
          <w:color w:val="1B3A5C"/>
          <w:sz w:val="30"/>
        </w:rPr>
        <w:t>16. Assurance</w:t>
      </w:r>
      <w:bookmarkEnd w:id="155"/>
    </w:p>
    <w:p>
      <w:pPr>
        <w:pStyle w:val="Heading2"/>
        <w:spacing w:before="280" w:after="80"/>
        <w:keepNext/>
      </w:pPr>
      <w:bookmarkStart w:id="156" w:name="_Toc_s055"/>
      <w:r>
        <w:rPr>
          <w:rFonts w:ascii="Calibri" w:hAnsi="Calibri"/>
          <w:b/>
          <w:color w:val="1B3A5C"/>
          <w:sz w:val="24"/>
        </w:rPr>
        <w:t>16.1 Incident response</w:t>
      </w:r>
      <w:bookmarkEnd w:id="156"/>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3249"/>
        <w:gridCol w:w="3249"/>
        <w:gridCol w:w="3249"/>
      </w:tblGrid>
      <w:tr>
        <w:trPr>
          <w:tblHeader w:val="true"/>
        </w:trPr>
        <w:tc>
          <w:tcPr>
            <w:tcW w:type="dxa" w:w="3249"/>
            <w:shd w:val="clear" w:fill="1B3A5C"/>
          </w:tcPr>
          <w:p>
            <w:pPr>
              <w:spacing w:before="60" w:after="60"/>
            </w:pPr>
            <w:r>
              <w:rPr>
                <w:rFonts w:ascii="Calibri" w:hAnsi="Calibri"/>
                <w:b/>
                <w:color w:val="FFFFFF"/>
                <w:sz w:val="17"/>
              </w:rPr>
              <w:t>Step</w:t>
            </w:r>
          </w:p>
        </w:tc>
        <w:tc>
          <w:tcPr>
            <w:tcW w:type="dxa" w:w="3249"/>
            <w:shd w:val="clear" w:fill="1B3A5C"/>
          </w:tcPr>
          <w:p>
            <w:pPr>
              <w:spacing w:before="60" w:after="60"/>
            </w:pPr>
            <w:r>
              <w:rPr>
                <w:rFonts w:ascii="Calibri" w:hAnsi="Calibri"/>
                <w:b/>
                <w:color w:val="FFFFFF"/>
                <w:sz w:val="17"/>
              </w:rPr>
              <w:t>Action</w:t>
            </w:r>
          </w:p>
        </w:tc>
        <w:tc>
          <w:tcPr>
            <w:tcW w:type="dxa" w:w="3249"/>
            <w:shd w:val="clear" w:fill="1B3A5C"/>
          </w:tcPr>
          <w:p>
            <w:pPr>
              <w:spacing w:before="60" w:after="60"/>
            </w:pPr>
            <w:r>
              <w:rPr>
                <w:rFonts w:ascii="Calibri" w:hAnsi="Calibri"/>
                <w:b/>
                <w:color w:val="FFFFFF"/>
                <w:sz w:val="17"/>
              </w:rPr>
              <w:t>Timing</w:t>
            </w:r>
          </w:p>
        </w:tc>
      </w:tr>
      <w:tr>
        <w:tc>
          <w:tcPr>
            <w:tcW w:type="dxa" w:w="3249"/>
          </w:tcPr>
          <w:p>
            <w:pPr>
              <w:spacing w:before="40" w:after="40"/>
            </w:pPr>
            <w:r>
              <w:rPr>
                <w:rFonts w:ascii="Calibri" w:hAnsi="Calibri"/>
                <w:b w:val="0"/>
                <w:i w:val="0"/>
                <w:color w:val="333333"/>
                <w:sz w:val="17"/>
              </w:rPr>
              <w:t>1. Detect</w:t>
            </w:r>
          </w:p>
        </w:tc>
        <w:tc>
          <w:tcPr>
            <w:tcW w:type="dxa" w:w="3249"/>
          </w:tcPr>
          <w:p>
            <w:pPr>
              <w:spacing w:before="40" w:after="40"/>
            </w:pPr>
            <w:r>
              <w:rPr>
                <w:rFonts w:ascii="Calibri" w:hAnsi="Calibri"/>
                <w:b w:val="0"/>
                <w:i w:val="0"/>
                <w:color w:val="333333"/>
                <w:sz w:val="17"/>
              </w:rPr>
              <w:t>Alert, user report, or monitoring</w:t>
            </w:r>
          </w:p>
        </w:tc>
        <w:tc>
          <w:tcPr>
            <w:tcW w:type="dxa" w:w="3249"/>
          </w:tcPr>
          <w:p>
            <w:pPr>
              <w:spacing w:before="40" w:after="40"/>
            </w:pPr>
            <w:r>
              <w:rPr>
                <w:rFonts w:ascii="Calibri" w:hAnsi="Calibri"/>
                <w:b w:val="0"/>
                <w:i w:val="0"/>
                <w:color w:val="333333"/>
                <w:sz w:val="17"/>
              </w:rPr>
              <w:t>Continuous</w:t>
            </w:r>
          </w:p>
        </w:tc>
      </w:tr>
      <w:tr>
        <w:tc>
          <w:tcPr>
            <w:tcW w:type="dxa" w:w="3249"/>
            <w:shd w:val="clear" w:fill="F2F6FA"/>
          </w:tcPr>
          <w:p>
            <w:pPr>
              <w:spacing w:before="40" w:after="40"/>
            </w:pPr>
            <w:r>
              <w:rPr>
                <w:rFonts w:ascii="Calibri" w:hAnsi="Calibri"/>
                <w:b w:val="0"/>
                <w:i w:val="0"/>
                <w:color w:val="333333"/>
                <w:sz w:val="17"/>
              </w:rPr>
              <w:t>2. Qualify</w:t>
            </w:r>
          </w:p>
        </w:tc>
        <w:tc>
          <w:tcPr>
            <w:tcW w:type="dxa" w:w="3249"/>
            <w:shd w:val="clear" w:fill="F2F6FA"/>
          </w:tcPr>
          <w:p>
            <w:pPr>
              <w:spacing w:before="40" w:after="40"/>
            </w:pPr>
            <w:r>
              <w:rPr>
                <w:rFonts w:ascii="Calibri" w:hAnsi="Calibri"/>
                <w:b w:val="0"/>
                <w:i w:val="0"/>
                <w:color w:val="333333"/>
                <w:sz w:val="17"/>
              </w:rPr>
              <w:t>Severity assessed against the scale below</w:t>
            </w:r>
          </w:p>
        </w:tc>
        <w:tc>
          <w:tcPr>
            <w:tcW w:type="dxa" w:w="3249"/>
            <w:shd w:val="clear" w:fill="F2F6FA"/>
          </w:tcPr>
          <w:p>
            <w:pPr>
              <w:spacing w:before="40" w:after="40"/>
            </w:pPr>
            <w:r>
              <w:rPr>
                <w:rFonts w:ascii="Calibri" w:hAnsi="Calibri"/>
                <w:b w:val="0"/>
                <w:i w:val="0"/>
                <w:color w:val="333333"/>
                <w:sz w:val="17"/>
              </w:rPr>
              <w:t>≤ 1 h</w:t>
            </w:r>
          </w:p>
        </w:tc>
      </w:tr>
      <w:tr>
        <w:tc>
          <w:tcPr>
            <w:tcW w:type="dxa" w:w="3249"/>
          </w:tcPr>
          <w:p>
            <w:pPr>
              <w:spacing w:before="40" w:after="40"/>
            </w:pPr>
            <w:r>
              <w:rPr>
                <w:rFonts w:ascii="Calibri" w:hAnsi="Calibri"/>
                <w:b w:val="0"/>
                <w:i w:val="0"/>
                <w:color w:val="333333"/>
                <w:sz w:val="17"/>
              </w:rPr>
              <w:t>3. Contain</w:t>
            </w:r>
          </w:p>
        </w:tc>
        <w:tc>
          <w:tcPr>
            <w:tcW w:type="dxa" w:w="3249"/>
          </w:tcPr>
          <w:p>
            <w:pPr>
              <w:spacing w:before="40" w:after="40"/>
            </w:pPr>
            <w:r>
              <w:rPr>
                <w:rFonts w:ascii="Calibri" w:hAnsi="Calibri"/>
                <w:b w:val="0"/>
                <w:i w:val="0"/>
                <w:color w:val="333333"/>
                <w:sz w:val="17"/>
              </w:rPr>
              <w:t>Disable the account, revoke the key, isolate the terminal, block the card</w:t>
            </w:r>
          </w:p>
        </w:tc>
        <w:tc>
          <w:tcPr>
            <w:tcW w:type="dxa" w:w="3249"/>
          </w:tcPr>
          <w:p>
            <w:pPr>
              <w:spacing w:before="40" w:after="40"/>
            </w:pPr>
            <w:r>
              <w:rPr>
                <w:rFonts w:ascii="Calibri" w:hAnsi="Calibri"/>
                <w:b w:val="0"/>
                <w:i w:val="0"/>
                <w:color w:val="333333"/>
                <w:sz w:val="17"/>
              </w:rPr>
              <w:t>≤ 4 h (critical)</w:t>
            </w:r>
          </w:p>
        </w:tc>
      </w:tr>
      <w:tr>
        <w:tc>
          <w:tcPr>
            <w:tcW w:type="dxa" w:w="3249"/>
            <w:shd w:val="clear" w:fill="F2F6FA"/>
          </w:tcPr>
          <w:p>
            <w:pPr>
              <w:spacing w:before="40" w:after="40"/>
            </w:pPr>
            <w:r>
              <w:rPr>
                <w:rFonts w:ascii="Calibri" w:hAnsi="Calibri"/>
                <w:b w:val="0"/>
                <w:i w:val="0"/>
                <w:color w:val="333333"/>
                <w:sz w:val="17"/>
              </w:rPr>
              <w:t>4. Notify</w:t>
            </w:r>
          </w:p>
        </w:tc>
        <w:tc>
          <w:tcPr>
            <w:tcW w:type="dxa" w:w="3249"/>
            <w:shd w:val="clear" w:fill="F2F6FA"/>
          </w:tcPr>
          <w:p>
            <w:pPr>
              <w:spacing w:before="40" w:after="40"/>
            </w:pPr>
            <w:r>
              <w:rPr>
                <w:rFonts w:ascii="Calibri" w:hAnsi="Calibri"/>
                <w:b w:val="0"/>
                <w:i w:val="0"/>
                <w:color w:val="333333"/>
                <w:sz w:val="17"/>
              </w:rPr>
              <w:t>SUNU incident contact; CIL if personal data is breached; insured persons if legally required</w:t>
            </w:r>
          </w:p>
        </w:tc>
        <w:tc>
          <w:tcPr>
            <w:tcW w:type="dxa" w:w="3249"/>
            <w:shd w:val="clear" w:fill="F2F6FA"/>
          </w:tcPr>
          <w:p>
            <w:pPr>
              <w:spacing w:before="40" w:after="40"/>
            </w:pPr>
            <w:r>
              <w:rPr>
                <w:rFonts w:ascii="Calibri" w:hAnsi="Calibri"/>
                <w:b w:val="0"/>
                <w:i w:val="0"/>
                <w:color w:val="333333"/>
                <w:sz w:val="17"/>
              </w:rPr>
              <w:t>Per legal deadline</w:t>
            </w:r>
          </w:p>
        </w:tc>
      </w:tr>
      <w:tr>
        <w:tc>
          <w:tcPr>
            <w:tcW w:type="dxa" w:w="3249"/>
          </w:tcPr>
          <w:p>
            <w:pPr>
              <w:spacing w:before="40" w:after="40"/>
            </w:pPr>
            <w:r>
              <w:rPr>
                <w:rFonts w:ascii="Calibri" w:hAnsi="Calibri"/>
                <w:b w:val="0"/>
                <w:i w:val="0"/>
                <w:color w:val="333333"/>
                <w:sz w:val="17"/>
              </w:rPr>
              <w:t>5. Eradicate and restore</w:t>
            </w:r>
          </w:p>
        </w:tc>
        <w:tc>
          <w:tcPr>
            <w:tcW w:type="dxa" w:w="3249"/>
          </w:tcPr>
          <w:p>
            <w:pPr>
              <w:spacing w:before="40" w:after="40"/>
            </w:pPr>
            <w:r>
              <w:rPr>
                <w:rFonts w:ascii="Calibri" w:hAnsi="Calibri"/>
                <w:b w:val="0"/>
                <w:i w:val="0"/>
                <w:color w:val="333333"/>
                <w:sz w:val="17"/>
              </w:rPr>
              <w:t>Fix, restore from backup if needed, verify integrity</w:t>
            </w:r>
          </w:p>
        </w:tc>
        <w:tc>
          <w:tcPr>
            <w:tcW w:type="dxa" w:w="3249"/>
          </w:tcPr>
          <w:p>
            <w:pPr>
              <w:spacing w:before="40" w:after="40"/>
            </w:pPr>
            <w:r>
              <w:rPr>
                <w:rFonts w:ascii="Calibri" w:hAnsi="Calibri"/>
                <w:b w:val="0"/>
                <w:i w:val="0"/>
                <w:color w:val="333333"/>
                <w:sz w:val="17"/>
              </w:rPr>
              <w:t>Per severity</w:t>
            </w:r>
          </w:p>
        </w:tc>
      </w:tr>
      <w:tr>
        <w:tc>
          <w:tcPr>
            <w:tcW w:type="dxa" w:w="3249"/>
            <w:shd w:val="clear" w:fill="F2F6FA"/>
          </w:tcPr>
          <w:p>
            <w:pPr>
              <w:spacing w:before="40" w:after="40"/>
            </w:pPr>
            <w:r>
              <w:rPr>
                <w:rFonts w:ascii="Calibri" w:hAnsi="Calibri"/>
                <w:b w:val="0"/>
                <w:i w:val="0"/>
                <w:color w:val="333333"/>
                <w:sz w:val="17"/>
              </w:rPr>
              <w:t>6. Review</w:t>
            </w:r>
          </w:p>
        </w:tc>
        <w:tc>
          <w:tcPr>
            <w:tcW w:type="dxa" w:w="3249"/>
            <w:shd w:val="clear" w:fill="F2F6FA"/>
          </w:tcPr>
          <w:p>
            <w:pPr>
              <w:spacing w:before="40" w:after="40"/>
            </w:pPr>
            <w:r>
              <w:rPr>
                <w:rFonts w:ascii="Calibri" w:hAnsi="Calibri"/>
                <w:b w:val="0"/>
                <w:i w:val="0"/>
                <w:color w:val="333333"/>
                <w:sz w:val="17"/>
              </w:rPr>
              <w:t>Written post-incident report, root cause, corrective actions with owners and dates</w:t>
            </w:r>
          </w:p>
        </w:tc>
        <w:tc>
          <w:tcPr>
            <w:tcW w:type="dxa" w:w="3249"/>
            <w:shd w:val="clear" w:fill="F2F6FA"/>
          </w:tcPr>
          <w:p>
            <w:pPr>
              <w:spacing w:before="40" w:after="40"/>
            </w:pPr>
            <w:r>
              <w:rPr>
                <w:rFonts w:ascii="Calibri" w:hAnsi="Calibri"/>
                <w:b w:val="0"/>
                <w:i w:val="0"/>
                <w:color w:val="333333"/>
                <w:sz w:val="17"/>
              </w:rPr>
              <w:t>≤ 10 working days</w:t>
            </w:r>
          </w:p>
        </w:tc>
      </w:tr>
    </w:tbl>
    <w:p>
      <w:pPr>
        <w:spacing w:after="40"/>
      </w:pPr>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3249"/>
        <w:gridCol w:w="3249"/>
        <w:gridCol w:w="3249"/>
      </w:tblGrid>
      <w:tr>
        <w:trPr>
          <w:tblHeader w:val="true"/>
        </w:trPr>
        <w:tc>
          <w:tcPr>
            <w:tcW w:type="dxa" w:w="3249"/>
            <w:shd w:val="clear" w:fill="1B3A5C"/>
          </w:tcPr>
          <w:p>
            <w:pPr>
              <w:spacing w:before="60" w:after="60"/>
            </w:pPr>
            <w:r>
              <w:rPr>
                <w:rFonts w:ascii="Calibri" w:hAnsi="Calibri"/>
                <w:b/>
                <w:color w:val="FFFFFF"/>
                <w:sz w:val="17"/>
              </w:rPr>
              <w:t>Severity</w:t>
            </w:r>
          </w:p>
        </w:tc>
        <w:tc>
          <w:tcPr>
            <w:tcW w:type="dxa" w:w="3249"/>
            <w:shd w:val="clear" w:fill="1B3A5C"/>
          </w:tcPr>
          <w:p>
            <w:pPr>
              <w:spacing w:before="60" w:after="60"/>
            </w:pPr>
            <w:r>
              <w:rPr>
                <w:rFonts w:ascii="Calibri" w:hAnsi="Calibri"/>
                <w:b/>
                <w:color w:val="FFFFFF"/>
                <w:sz w:val="17"/>
              </w:rPr>
              <w:t>Definition</w:t>
            </w:r>
          </w:p>
        </w:tc>
        <w:tc>
          <w:tcPr>
            <w:tcW w:type="dxa" w:w="3249"/>
            <w:shd w:val="clear" w:fill="1B3A5C"/>
          </w:tcPr>
          <w:p>
            <w:pPr>
              <w:spacing w:before="60" w:after="60"/>
            </w:pPr>
            <w:r>
              <w:rPr>
                <w:rFonts w:ascii="Calibri" w:hAnsi="Calibri"/>
                <w:b/>
                <w:color w:val="FFFFFF"/>
                <w:sz w:val="17"/>
              </w:rPr>
              <w:t>Examples</w:t>
            </w:r>
          </w:p>
        </w:tc>
      </w:tr>
      <w:tr>
        <w:tc>
          <w:tcPr>
            <w:tcW w:type="dxa" w:w="3249"/>
          </w:tcPr>
          <w:p>
            <w:pPr>
              <w:spacing w:before="40" w:after="40"/>
            </w:pPr>
            <w:r>
              <w:rPr>
                <w:rFonts w:ascii="Calibri" w:hAnsi="Calibri"/>
                <w:b/>
                <w:i w:val="0"/>
                <w:color w:val="333333"/>
                <w:sz w:val="17"/>
              </w:rPr>
              <w:t>Critical</w:t>
            </w:r>
          </w:p>
        </w:tc>
        <w:tc>
          <w:tcPr>
            <w:tcW w:type="dxa" w:w="3249"/>
          </w:tcPr>
          <w:p>
            <w:pPr>
              <w:spacing w:before="40" w:after="40"/>
            </w:pPr>
            <w:r>
              <w:rPr>
                <w:rFonts w:ascii="Calibri" w:hAnsi="Calibri"/>
                <w:b w:val="0"/>
                <w:i w:val="0"/>
                <w:color w:val="333333"/>
                <w:sz w:val="17"/>
              </w:rPr>
              <w:t>Personal-data breach, systemic fraud, total outage</w:t>
            </w:r>
          </w:p>
        </w:tc>
        <w:tc>
          <w:tcPr>
            <w:tcW w:type="dxa" w:w="3249"/>
          </w:tcPr>
          <w:p>
            <w:pPr>
              <w:spacing w:before="40" w:after="40"/>
            </w:pPr>
            <w:r>
              <w:rPr>
                <w:rFonts w:ascii="Calibri" w:hAnsi="Calibri"/>
                <w:b w:val="0"/>
                <w:i w:val="0"/>
                <w:color w:val="333333"/>
                <w:sz w:val="17"/>
              </w:rPr>
              <w:t>Database exfiltration, compromise of an administrator account</w:t>
            </w:r>
          </w:p>
        </w:tc>
      </w:tr>
      <w:tr>
        <w:tc>
          <w:tcPr>
            <w:tcW w:type="dxa" w:w="3249"/>
            <w:shd w:val="clear" w:fill="F2F6FA"/>
          </w:tcPr>
          <w:p>
            <w:pPr>
              <w:spacing w:before="40" w:after="40"/>
            </w:pPr>
            <w:r>
              <w:rPr>
                <w:rFonts w:ascii="Calibri" w:hAnsi="Calibri"/>
                <w:b/>
                <w:i w:val="0"/>
                <w:color w:val="333333"/>
                <w:sz w:val="17"/>
              </w:rPr>
              <w:t>High</w:t>
            </w:r>
          </w:p>
        </w:tc>
        <w:tc>
          <w:tcPr>
            <w:tcW w:type="dxa" w:w="3249"/>
            <w:shd w:val="clear" w:fill="F2F6FA"/>
          </w:tcPr>
          <w:p>
            <w:pPr>
              <w:spacing w:before="40" w:after="40"/>
            </w:pPr>
            <w:r>
              <w:rPr>
                <w:rFonts w:ascii="Calibri" w:hAnsi="Calibri"/>
                <w:b w:val="0"/>
                <w:i w:val="0"/>
                <w:color w:val="333333"/>
                <w:sz w:val="17"/>
              </w:rPr>
              <w:t>Localised fraud, loss of a terminal with data, integration compromise</w:t>
            </w:r>
          </w:p>
        </w:tc>
        <w:tc>
          <w:tcPr>
            <w:tcW w:type="dxa" w:w="3249"/>
            <w:shd w:val="clear" w:fill="F2F6FA"/>
          </w:tcPr>
          <w:p>
            <w:pPr>
              <w:spacing w:before="40" w:after="40"/>
            </w:pPr>
            <w:r>
              <w:rPr>
                <w:rFonts w:ascii="Calibri" w:hAnsi="Calibri"/>
                <w:b w:val="0"/>
                <w:i w:val="0"/>
                <w:color w:val="333333"/>
                <w:sz w:val="17"/>
              </w:rPr>
              <w:t>Dishonest collector, stolen terminal</w:t>
            </w:r>
          </w:p>
        </w:tc>
      </w:tr>
      <w:tr>
        <w:tc>
          <w:tcPr>
            <w:tcW w:type="dxa" w:w="3249"/>
          </w:tcPr>
          <w:p>
            <w:pPr>
              <w:spacing w:before="40" w:after="40"/>
            </w:pPr>
            <w:r>
              <w:rPr>
                <w:rFonts w:ascii="Calibri" w:hAnsi="Calibri"/>
                <w:b/>
                <w:i w:val="0"/>
                <w:color w:val="333333"/>
                <w:sz w:val="17"/>
              </w:rPr>
              <w:t>Medium</w:t>
            </w:r>
          </w:p>
        </w:tc>
        <w:tc>
          <w:tcPr>
            <w:tcW w:type="dxa" w:w="3249"/>
          </w:tcPr>
          <w:p>
            <w:pPr>
              <w:spacing w:before="40" w:after="40"/>
            </w:pPr>
            <w:r>
              <w:rPr>
                <w:rFonts w:ascii="Calibri" w:hAnsi="Calibri"/>
                <w:b w:val="0"/>
                <w:i w:val="0"/>
                <w:color w:val="333333"/>
                <w:sz w:val="17"/>
              </w:rPr>
              <w:t>Attempt without impact, isolated malfunction</w:t>
            </w:r>
          </w:p>
        </w:tc>
        <w:tc>
          <w:tcPr>
            <w:tcW w:type="dxa" w:w="3249"/>
          </w:tcPr>
          <w:p>
            <w:pPr>
              <w:spacing w:before="40" w:after="40"/>
            </w:pPr>
            <w:r>
              <w:rPr>
                <w:rFonts w:ascii="Calibri" w:hAnsi="Calibri"/>
                <w:b w:val="0"/>
                <w:i w:val="0"/>
                <w:color w:val="333333"/>
                <w:sz w:val="17"/>
              </w:rPr>
              <w:t>Brute-force attempt blocked</w:t>
            </w:r>
          </w:p>
        </w:tc>
      </w:tr>
      <w:tr>
        <w:tc>
          <w:tcPr>
            <w:tcW w:type="dxa" w:w="3249"/>
            <w:shd w:val="clear" w:fill="F2F6FA"/>
          </w:tcPr>
          <w:p>
            <w:pPr>
              <w:spacing w:before="40" w:after="40"/>
            </w:pPr>
            <w:r>
              <w:rPr>
                <w:rFonts w:ascii="Calibri" w:hAnsi="Calibri"/>
                <w:b/>
                <w:i w:val="0"/>
                <w:color w:val="333333"/>
                <w:sz w:val="17"/>
              </w:rPr>
              <w:t>Low</w:t>
            </w:r>
          </w:p>
        </w:tc>
        <w:tc>
          <w:tcPr>
            <w:tcW w:type="dxa" w:w="3249"/>
            <w:shd w:val="clear" w:fill="F2F6FA"/>
          </w:tcPr>
          <w:p>
            <w:pPr>
              <w:spacing w:before="40" w:after="40"/>
            </w:pPr>
            <w:r>
              <w:rPr>
                <w:rFonts w:ascii="Calibri" w:hAnsi="Calibri"/>
                <w:b w:val="0"/>
                <w:i w:val="0"/>
                <w:color w:val="333333"/>
                <w:sz w:val="17"/>
              </w:rPr>
              <w:t>Minor anomaly</w:t>
            </w:r>
          </w:p>
        </w:tc>
        <w:tc>
          <w:tcPr>
            <w:tcW w:type="dxa" w:w="3249"/>
            <w:shd w:val="clear" w:fill="F2F6FA"/>
          </w:tcPr>
          <w:p>
            <w:pPr>
              <w:spacing w:before="40" w:after="40"/>
            </w:pPr>
            <w:r>
              <w:rPr>
                <w:rFonts w:ascii="Calibri" w:hAnsi="Calibri"/>
                <w:b w:val="0"/>
                <w:i w:val="0"/>
                <w:color w:val="333333"/>
                <w:sz w:val="17"/>
              </w:rPr>
              <w:t>Isolated configuration error</w:t>
            </w:r>
          </w:p>
        </w:tc>
      </w:tr>
    </w:tbl>
    <w:p>
      <w:pPr>
        <w:spacing w:after="40"/>
      </w:pPr>
    </w:p>
    <w:p>
      <w:pPr>
        <w:pStyle w:val="Heading2"/>
        <w:spacing w:before="280" w:after="80"/>
        <w:keepNext/>
      </w:pPr>
      <w:bookmarkStart w:id="157" w:name="_Toc_s056"/>
      <w:r>
        <w:rPr>
          <w:rFonts w:ascii="Calibri" w:hAnsi="Calibri"/>
          <w:b/>
          <w:color w:val="1B3A5C"/>
          <w:sz w:val="24"/>
        </w:rPr>
        <w:t>16.2 Testing before go-live</w:t>
      </w:r>
      <w:bookmarkEnd w:id="157"/>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3249"/>
        <w:gridCol w:w="3249"/>
        <w:gridCol w:w="3249"/>
      </w:tblGrid>
      <w:tr>
        <w:trPr>
          <w:tblHeader w:val="true"/>
        </w:trPr>
        <w:tc>
          <w:tcPr>
            <w:tcW w:type="dxa" w:w="3249"/>
            <w:shd w:val="clear" w:fill="1B3A5C"/>
          </w:tcPr>
          <w:p>
            <w:pPr>
              <w:spacing w:before="60" w:after="60"/>
            </w:pPr>
            <w:r>
              <w:rPr>
                <w:rFonts w:ascii="Calibri" w:hAnsi="Calibri"/>
                <w:b/>
                <w:color w:val="FFFFFF"/>
                <w:sz w:val="17"/>
              </w:rPr>
              <w:t>Test</w:t>
            </w:r>
          </w:p>
        </w:tc>
        <w:tc>
          <w:tcPr>
            <w:tcW w:type="dxa" w:w="3249"/>
            <w:shd w:val="clear" w:fill="1B3A5C"/>
          </w:tcPr>
          <w:p>
            <w:pPr>
              <w:spacing w:before="60" w:after="60"/>
            </w:pPr>
            <w:r>
              <w:rPr>
                <w:rFonts w:ascii="Calibri" w:hAnsi="Calibri"/>
                <w:b/>
                <w:color w:val="FFFFFF"/>
                <w:sz w:val="17"/>
              </w:rPr>
              <w:t>Scope</w:t>
            </w:r>
          </w:p>
        </w:tc>
        <w:tc>
          <w:tcPr>
            <w:tcW w:type="dxa" w:w="3249"/>
            <w:shd w:val="clear" w:fill="1B3A5C"/>
          </w:tcPr>
          <w:p>
            <w:pPr>
              <w:spacing w:before="60" w:after="60"/>
            </w:pPr>
            <w:r>
              <w:rPr>
                <w:rFonts w:ascii="Calibri" w:hAnsi="Calibri"/>
                <w:b/>
                <w:color w:val="FFFFFF"/>
                <w:sz w:val="17"/>
              </w:rPr>
              <w:t>When</w:t>
            </w:r>
          </w:p>
        </w:tc>
      </w:tr>
      <w:tr>
        <w:tc>
          <w:tcPr>
            <w:tcW w:type="dxa" w:w="3249"/>
          </w:tcPr>
          <w:p>
            <w:pPr>
              <w:spacing w:before="40" w:after="40"/>
            </w:pPr>
            <w:r>
              <w:rPr>
                <w:rFonts w:ascii="Calibri" w:hAnsi="Calibri"/>
                <w:b w:val="0"/>
                <w:i w:val="0"/>
                <w:color w:val="333333"/>
                <w:sz w:val="17"/>
              </w:rPr>
              <w:t>Authentication and RBAC test</w:t>
            </w:r>
          </w:p>
        </w:tc>
        <w:tc>
          <w:tcPr>
            <w:tcW w:type="dxa" w:w="3249"/>
          </w:tcPr>
          <w:p>
            <w:pPr>
              <w:spacing w:before="40" w:after="40"/>
            </w:pPr>
            <w:r>
              <w:rPr>
                <w:rFonts w:ascii="Calibri" w:hAnsi="Calibri"/>
                <w:b w:val="0"/>
                <w:i w:val="0"/>
                <w:color w:val="333333"/>
                <w:sz w:val="17"/>
              </w:rPr>
              <w:t>Every profile against every restricted action, including negative tests</w:t>
            </w:r>
          </w:p>
        </w:tc>
        <w:tc>
          <w:tcPr>
            <w:tcW w:type="dxa" w:w="3249"/>
          </w:tcPr>
          <w:p>
            <w:pPr>
              <w:spacing w:before="40" w:after="40"/>
            </w:pPr>
            <w:r>
              <w:rPr>
                <w:rFonts w:ascii="Calibri" w:hAnsi="Calibri"/>
                <w:b w:val="0"/>
                <w:i w:val="0"/>
                <w:color w:val="333333"/>
                <w:sz w:val="17"/>
              </w:rPr>
              <w:t>Before UAT</w:t>
            </w:r>
          </w:p>
        </w:tc>
      </w:tr>
      <w:tr>
        <w:tc>
          <w:tcPr>
            <w:tcW w:type="dxa" w:w="3249"/>
            <w:shd w:val="clear" w:fill="F2F6FA"/>
          </w:tcPr>
          <w:p>
            <w:pPr>
              <w:spacing w:before="40" w:after="40"/>
            </w:pPr>
            <w:r>
              <w:rPr>
                <w:rFonts w:ascii="Calibri" w:hAnsi="Calibri"/>
                <w:b w:val="0"/>
                <w:i w:val="0"/>
                <w:color w:val="333333"/>
                <w:sz w:val="17"/>
              </w:rPr>
              <w:t>Application vulnerability scan</w:t>
            </w:r>
          </w:p>
        </w:tc>
        <w:tc>
          <w:tcPr>
            <w:tcW w:type="dxa" w:w="3249"/>
            <w:shd w:val="clear" w:fill="F2F6FA"/>
          </w:tcPr>
          <w:p>
            <w:pPr>
              <w:spacing w:before="40" w:after="40"/>
            </w:pPr>
            <w:r>
              <w:rPr>
                <w:rFonts w:ascii="Calibri" w:hAnsi="Calibri"/>
                <w:b w:val="0"/>
                <w:i w:val="0"/>
                <w:color w:val="333333"/>
                <w:sz w:val="17"/>
              </w:rPr>
              <w:t>Back office and API — OWASP Top 10</w:t>
            </w:r>
          </w:p>
        </w:tc>
        <w:tc>
          <w:tcPr>
            <w:tcW w:type="dxa" w:w="3249"/>
            <w:shd w:val="clear" w:fill="F2F6FA"/>
          </w:tcPr>
          <w:p>
            <w:pPr>
              <w:spacing w:before="40" w:after="40"/>
            </w:pPr>
            <w:r>
              <w:rPr>
                <w:rFonts w:ascii="Calibri" w:hAnsi="Calibri"/>
                <w:b w:val="0"/>
                <w:i w:val="0"/>
                <w:color w:val="333333"/>
                <w:sz w:val="17"/>
              </w:rPr>
              <w:t>Before UAT and before production</w:t>
            </w:r>
          </w:p>
        </w:tc>
      </w:tr>
      <w:tr>
        <w:tc>
          <w:tcPr>
            <w:tcW w:type="dxa" w:w="3249"/>
          </w:tcPr>
          <w:p>
            <w:pPr>
              <w:spacing w:before="40" w:after="40"/>
            </w:pPr>
            <w:r>
              <w:rPr>
                <w:rFonts w:ascii="Calibri" w:hAnsi="Calibri"/>
                <w:b w:val="0"/>
                <w:i w:val="0"/>
                <w:color w:val="333333"/>
                <w:sz w:val="17"/>
              </w:rPr>
              <w:t>POS application review</w:t>
            </w:r>
          </w:p>
        </w:tc>
        <w:tc>
          <w:tcPr>
            <w:tcW w:type="dxa" w:w="3249"/>
          </w:tcPr>
          <w:p>
            <w:pPr>
              <w:spacing w:before="40" w:after="40"/>
            </w:pPr>
            <w:r>
              <w:rPr>
                <w:rFonts w:ascii="Calibri" w:hAnsi="Calibri"/>
                <w:b w:val="0"/>
                <w:i w:val="0"/>
                <w:color w:val="333333"/>
                <w:sz w:val="17"/>
              </w:rPr>
              <w:t>MASVS-aligned: storage, cryptography, transport, anti-tamper</w:t>
            </w:r>
          </w:p>
        </w:tc>
        <w:tc>
          <w:tcPr>
            <w:tcW w:type="dxa" w:w="3249"/>
          </w:tcPr>
          <w:p>
            <w:pPr>
              <w:spacing w:before="40" w:after="40"/>
            </w:pPr>
            <w:r>
              <w:rPr>
                <w:rFonts w:ascii="Calibri" w:hAnsi="Calibri"/>
                <w:b w:val="0"/>
                <w:i w:val="0"/>
                <w:color w:val="333333"/>
                <w:sz w:val="17"/>
              </w:rPr>
              <w:t>Before pilot</w:t>
            </w:r>
          </w:p>
        </w:tc>
      </w:tr>
      <w:tr>
        <w:tc>
          <w:tcPr>
            <w:tcW w:type="dxa" w:w="3249"/>
            <w:shd w:val="clear" w:fill="F2F6FA"/>
          </w:tcPr>
          <w:p>
            <w:pPr>
              <w:spacing w:before="40" w:after="40"/>
            </w:pPr>
            <w:r>
              <w:rPr>
                <w:rFonts w:ascii="Calibri" w:hAnsi="Calibri"/>
                <w:b w:val="0"/>
                <w:i w:val="0"/>
                <w:color w:val="333333"/>
                <w:sz w:val="17"/>
              </w:rPr>
              <w:t>Fraud scenario testing</w:t>
            </w:r>
          </w:p>
        </w:tc>
        <w:tc>
          <w:tcPr>
            <w:tcW w:type="dxa" w:w="3249"/>
            <w:shd w:val="clear" w:fill="F2F6FA"/>
          </w:tcPr>
          <w:p>
            <w:pPr>
              <w:spacing w:before="40" w:after="40"/>
            </w:pPr>
            <w:r>
              <w:rPr>
                <w:rFonts w:ascii="Calibri" w:hAnsi="Calibri"/>
                <w:b w:val="0"/>
                <w:i w:val="0"/>
                <w:color w:val="333333"/>
                <w:sz w:val="17"/>
              </w:rPr>
              <w:t>Each scenario of §3.2 replayed in UAT</w:t>
            </w:r>
          </w:p>
        </w:tc>
        <w:tc>
          <w:tcPr>
            <w:tcW w:type="dxa" w:w="3249"/>
            <w:shd w:val="clear" w:fill="F2F6FA"/>
          </w:tcPr>
          <w:p>
            <w:pPr>
              <w:spacing w:before="40" w:after="40"/>
            </w:pPr>
            <w:r>
              <w:rPr>
                <w:rFonts w:ascii="Calibri" w:hAnsi="Calibri"/>
                <w:b w:val="0"/>
                <w:i w:val="0"/>
                <w:color w:val="333333"/>
                <w:sz w:val="17"/>
              </w:rPr>
              <w:t>During UAT</w:t>
            </w:r>
          </w:p>
        </w:tc>
      </w:tr>
      <w:tr>
        <w:tc>
          <w:tcPr>
            <w:tcW w:type="dxa" w:w="3249"/>
          </w:tcPr>
          <w:p>
            <w:pPr>
              <w:spacing w:before="40" w:after="40"/>
            </w:pPr>
            <w:r>
              <w:rPr>
                <w:rFonts w:ascii="Calibri" w:hAnsi="Calibri"/>
                <w:b w:val="0"/>
                <w:i w:val="0"/>
                <w:color w:val="333333"/>
                <w:sz w:val="17"/>
              </w:rPr>
              <w:t>Restore test</w:t>
            </w:r>
          </w:p>
        </w:tc>
        <w:tc>
          <w:tcPr>
            <w:tcW w:type="dxa" w:w="3249"/>
          </w:tcPr>
          <w:p>
            <w:pPr>
              <w:spacing w:before="40" w:after="40"/>
            </w:pPr>
            <w:r>
              <w:rPr>
                <w:rFonts w:ascii="Calibri" w:hAnsi="Calibri"/>
                <w:b w:val="0"/>
                <w:i w:val="0"/>
                <w:color w:val="333333"/>
                <w:sz w:val="17"/>
              </w:rPr>
              <w:t>Full restoration from backup into a clean environment</w:t>
            </w:r>
          </w:p>
        </w:tc>
        <w:tc>
          <w:tcPr>
            <w:tcW w:type="dxa" w:w="3249"/>
          </w:tcPr>
          <w:p>
            <w:pPr>
              <w:spacing w:before="40" w:after="40"/>
            </w:pPr>
            <w:r>
              <w:rPr>
                <w:rFonts w:ascii="Calibri" w:hAnsi="Calibri"/>
                <w:b w:val="0"/>
                <w:i w:val="0"/>
                <w:color w:val="333333"/>
                <w:sz w:val="17"/>
              </w:rPr>
              <w:t>Before production</w:t>
            </w:r>
          </w:p>
        </w:tc>
      </w:tr>
      <w:tr>
        <w:tc>
          <w:tcPr>
            <w:tcW w:type="dxa" w:w="3249"/>
            <w:shd w:val="clear" w:fill="F2F6FA"/>
          </w:tcPr>
          <w:p>
            <w:pPr>
              <w:spacing w:before="40" w:after="40"/>
            </w:pPr>
            <w:r>
              <w:rPr>
                <w:rFonts w:ascii="Calibri" w:hAnsi="Calibri"/>
                <w:b w:val="0"/>
                <w:i w:val="0"/>
                <w:color w:val="333333"/>
                <w:sz w:val="17"/>
              </w:rPr>
              <w:t>Load test</w:t>
            </w:r>
          </w:p>
        </w:tc>
        <w:tc>
          <w:tcPr>
            <w:tcW w:type="dxa" w:w="3249"/>
            <w:shd w:val="clear" w:fill="F2F6FA"/>
          </w:tcPr>
          <w:p>
            <w:pPr>
              <w:spacing w:before="40" w:after="40"/>
            </w:pPr>
            <w:r>
              <w:rPr>
                <w:rFonts w:ascii="Calibri" w:hAnsi="Calibri"/>
                <w:b w:val="0"/>
                <w:i w:val="0"/>
                <w:color w:val="333333"/>
                <w:sz w:val="17"/>
              </w:rPr>
              <w:t>Peak collection volume</w:t>
            </w:r>
          </w:p>
        </w:tc>
        <w:tc>
          <w:tcPr>
            <w:tcW w:type="dxa" w:w="3249"/>
            <w:shd w:val="clear" w:fill="F2F6FA"/>
          </w:tcPr>
          <w:p>
            <w:pPr>
              <w:spacing w:before="40" w:after="40"/>
            </w:pPr>
            <w:r>
              <w:rPr>
                <w:rFonts w:ascii="Calibri" w:hAnsi="Calibri"/>
                <w:b w:val="0"/>
                <w:i w:val="0"/>
                <w:color w:val="333333"/>
                <w:sz w:val="17"/>
              </w:rPr>
              <w:t>Before production</w:t>
            </w:r>
          </w:p>
        </w:tc>
      </w:tr>
      <w:tr>
        <w:tc>
          <w:tcPr>
            <w:tcW w:type="dxa" w:w="3249"/>
          </w:tcPr>
          <w:p>
            <w:pPr>
              <w:spacing w:before="40" w:after="40"/>
            </w:pPr>
            <w:r>
              <w:rPr>
                <w:rFonts w:ascii="Calibri" w:hAnsi="Calibri"/>
                <w:b w:val="0"/>
                <w:i w:val="0"/>
                <w:color w:val="333333"/>
                <w:sz w:val="17"/>
              </w:rPr>
              <w:t>Independent penetration test</w:t>
            </w:r>
          </w:p>
        </w:tc>
        <w:tc>
          <w:tcPr>
            <w:tcW w:type="dxa" w:w="3249"/>
          </w:tcPr>
          <w:p>
            <w:pPr>
              <w:spacing w:before="40" w:after="40"/>
            </w:pPr>
            <w:r>
              <w:rPr>
                <w:rFonts w:ascii="Calibri" w:hAnsi="Calibri"/>
                <w:b w:val="0"/>
                <w:i w:val="0"/>
                <w:color w:val="333333"/>
                <w:sz w:val="17"/>
              </w:rPr>
              <w:t>Recommended, commissioned by SUNU</w:t>
            </w:r>
          </w:p>
        </w:tc>
        <w:tc>
          <w:tcPr>
            <w:tcW w:type="dxa" w:w="3249"/>
          </w:tcPr>
          <w:p>
            <w:pPr>
              <w:spacing w:before="40" w:after="40"/>
            </w:pPr>
            <w:r>
              <w:rPr>
                <w:rFonts w:ascii="Calibri" w:hAnsi="Calibri"/>
                <w:b w:val="0"/>
                <w:i w:val="0"/>
                <w:color w:val="333333"/>
                <w:sz w:val="17"/>
              </w:rPr>
              <w:t>Recommended before production</w:t>
            </w:r>
          </w:p>
        </w:tc>
      </w:tr>
    </w:tbl>
    <w:p>
      <w:pPr>
        <w:spacing w:after="40"/>
      </w:pPr>
    </w:p>
    <w:p>
      <w:pPr>
        <w:pStyle w:val="Heading2"/>
        <w:spacing w:before="280" w:after="80"/>
        <w:keepNext/>
      </w:pPr>
      <w:bookmarkStart w:id="158" w:name="_Toc_s057"/>
      <w:r>
        <w:rPr>
          <w:rFonts w:ascii="Calibri" w:hAnsi="Calibri"/>
          <w:b/>
          <w:color w:val="1B3A5C"/>
          <w:sz w:val="24"/>
        </w:rPr>
        <w:t>16.3 Secure development and change management</w:t>
      </w:r>
      <w:bookmarkEnd w:id="158"/>
    </w:p>
    <w:p>
      <w:r>
        <w:rPr>
          <w:rFonts w:ascii="Calibri" w:hAnsi="Calibri"/>
          <w:b w:val="0"/>
          <w:i w:val="0"/>
          <w:color w:val="333333"/>
          <w:sz w:val="20"/>
        </w:rPr>
        <w:t>Version-controlled source; peer review before merge; no secret in the repository; separate environments with no real data in UAT; releases versioned, changelogged and approved by SUNU before production; documented rollback for every release; monthly dependency vulnerability scan; critical patches within 7 days.</w:t>
      </w:r>
    </w:p>
    <w:p>
      <w:pPr>
        <w:pStyle w:val="Heading1"/>
        <w:pageBreakBefore/>
        <w:spacing w:before="360" w:after="80"/>
        <w:keepNext/>
        <w:pBdr>
          <w:bottom w:val="single" w:sz="8" w:space="6" w:color="1B3A5C"/>
        </w:pBdr>
      </w:pPr>
      <w:bookmarkStart w:id="159" w:name="_Toc_s058"/>
      <w:r>
        <w:rPr>
          <w:rFonts w:ascii="Calibri" w:hAnsi="Calibri"/>
          <w:b/>
          <w:color w:val="1B3A5C"/>
          <w:sz w:val="30"/>
        </w:rPr>
        <w:t>17. Responsibility Matrix</w:t>
      </w:r>
      <w:bookmarkEnd w:id="159"/>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3249"/>
        <w:gridCol w:w="3249"/>
        <w:gridCol w:w="3249"/>
      </w:tblGrid>
      <w:tr>
        <w:trPr>
          <w:tblHeader w:val="true"/>
        </w:trPr>
        <w:tc>
          <w:tcPr>
            <w:tcW w:type="dxa" w:w="3249"/>
            <w:shd w:val="clear" w:fill="1B3A5C"/>
          </w:tcPr>
          <w:p>
            <w:pPr>
              <w:spacing w:before="60" w:after="60"/>
            </w:pPr>
            <w:r>
              <w:rPr>
                <w:rFonts w:ascii="Calibri" w:hAnsi="Calibri"/>
                <w:b/>
                <w:color w:val="FFFFFF"/>
                <w:sz w:val="17"/>
              </w:rPr>
              <w:t>Domain</w:t>
            </w:r>
          </w:p>
        </w:tc>
        <w:tc>
          <w:tcPr>
            <w:tcW w:type="dxa" w:w="3249"/>
            <w:shd w:val="clear" w:fill="1B3A5C"/>
          </w:tcPr>
          <w:p>
            <w:pPr>
              <w:spacing w:before="60" w:after="60"/>
            </w:pPr>
            <w:r>
              <w:rPr>
                <w:rFonts w:ascii="Calibri" w:hAnsi="Calibri"/>
                <w:b/>
                <w:color w:val="FFFFFF"/>
                <w:sz w:val="17"/>
              </w:rPr>
              <w:t>SUNU</w:t>
            </w:r>
          </w:p>
        </w:tc>
        <w:tc>
          <w:tcPr>
            <w:tcW w:type="dxa" w:w="3249"/>
            <w:shd w:val="clear" w:fill="1B3A5C"/>
          </w:tcPr>
          <w:p>
            <w:pPr>
              <w:spacing w:before="60" w:after="60"/>
            </w:pPr>
            <w:r>
              <w:rPr>
                <w:rFonts w:ascii="Calibri" w:hAnsi="Calibri"/>
                <w:b/>
                <w:color w:val="FFFFFF"/>
                <w:sz w:val="17"/>
              </w:rPr>
              <w:t>DBS</w:t>
            </w:r>
          </w:p>
        </w:tc>
      </w:tr>
      <w:tr>
        <w:tc>
          <w:tcPr>
            <w:tcW w:type="dxa" w:w="3249"/>
          </w:tcPr>
          <w:p>
            <w:pPr>
              <w:spacing w:before="40" w:after="40"/>
            </w:pPr>
            <w:r>
              <w:rPr>
                <w:rFonts w:ascii="Calibri" w:hAnsi="Calibri"/>
                <w:b w:val="0"/>
                <w:i w:val="0"/>
                <w:color w:val="333333"/>
                <w:sz w:val="17"/>
              </w:rPr>
              <w:t>Data controller status, CIL declaration</w:t>
            </w:r>
          </w:p>
        </w:tc>
        <w:tc>
          <w:tcPr>
            <w:tcW w:type="dxa" w:w="3249"/>
          </w:tcPr>
          <w:p>
            <w:pPr>
              <w:spacing w:before="40" w:after="40"/>
            </w:pPr>
            <w:r>
              <w:rPr>
                <w:rFonts w:ascii="Calibri" w:hAnsi="Calibri"/>
                <w:b/>
                <w:i w:val="0"/>
                <w:color w:val="333333"/>
                <w:sz w:val="17"/>
              </w:rPr>
              <w:t>Owner</w:t>
            </w:r>
          </w:p>
        </w:tc>
        <w:tc>
          <w:tcPr>
            <w:tcW w:type="dxa" w:w="3249"/>
          </w:tcPr>
          <w:p>
            <w:pPr>
              <w:spacing w:before="40" w:after="40"/>
            </w:pPr>
            <w:r>
              <w:rPr>
                <w:rFonts w:ascii="Calibri" w:hAnsi="Calibri"/>
                <w:b w:val="0"/>
                <w:i w:val="0"/>
                <w:color w:val="333333"/>
                <w:sz w:val="17"/>
              </w:rPr>
              <w:t>Provides the technical description</w:t>
            </w:r>
          </w:p>
        </w:tc>
      </w:tr>
      <w:tr>
        <w:tc>
          <w:tcPr>
            <w:tcW w:type="dxa" w:w="3249"/>
            <w:shd w:val="clear" w:fill="F2F6FA"/>
          </w:tcPr>
          <w:p>
            <w:pPr>
              <w:spacing w:before="40" w:after="40"/>
            </w:pPr>
            <w:r>
              <w:rPr>
                <w:rFonts w:ascii="Calibri" w:hAnsi="Calibri"/>
                <w:b w:val="0"/>
                <w:i w:val="0"/>
                <w:color w:val="333333"/>
                <w:sz w:val="17"/>
              </w:rPr>
              <w:t>Application and infrastructure security</w:t>
            </w:r>
          </w:p>
        </w:tc>
        <w:tc>
          <w:tcPr>
            <w:tcW w:type="dxa" w:w="3249"/>
            <w:shd w:val="clear" w:fill="F2F6FA"/>
          </w:tcPr>
          <w:p>
            <w:pPr>
              <w:spacing w:before="40" w:after="40"/>
            </w:pPr>
            <w:r>
              <w:rPr>
                <w:rFonts w:ascii="Calibri" w:hAnsi="Calibri"/>
                <w:b w:val="0"/>
                <w:i w:val="0"/>
                <w:color w:val="333333"/>
                <w:sz w:val="17"/>
              </w:rPr>
              <w:t>Validates</w:t>
            </w:r>
          </w:p>
        </w:tc>
        <w:tc>
          <w:tcPr>
            <w:tcW w:type="dxa" w:w="3249"/>
            <w:shd w:val="clear" w:fill="F2F6FA"/>
          </w:tcPr>
          <w:p>
            <w:pPr>
              <w:spacing w:before="40" w:after="40"/>
            </w:pPr>
            <w:r>
              <w:rPr>
                <w:rFonts w:ascii="Calibri" w:hAnsi="Calibri"/>
                <w:b/>
                <w:i w:val="0"/>
                <w:color w:val="333333"/>
                <w:sz w:val="17"/>
              </w:rPr>
              <w:t>Owner</w:t>
            </w:r>
          </w:p>
        </w:tc>
      </w:tr>
      <w:tr>
        <w:tc>
          <w:tcPr>
            <w:tcW w:type="dxa" w:w="3249"/>
          </w:tcPr>
          <w:p>
            <w:pPr>
              <w:spacing w:before="40" w:after="40"/>
            </w:pPr>
            <w:r>
              <w:rPr>
                <w:rFonts w:ascii="Calibri" w:hAnsi="Calibri"/>
                <w:b w:val="0"/>
                <w:i w:val="0"/>
                <w:color w:val="333333"/>
                <w:sz w:val="17"/>
              </w:rPr>
              <w:t>Hosting security (if SUNU-hosted)</w:t>
            </w:r>
          </w:p>
        </w:tc>
        <w:tc>
          <w:tcPr>
            <w:tcW w:type="dxa" w:w="3249"/>
          </w:tcPr>
          <w:p>
            <w:pPr>
              <w:spacing w:before="40" w:after="40"/>
            </w:pPr>
            <w:r>
              <w:rPr>
                <w:rFonts w:ascii="Calibri" w:hAnsi="Calibri"/>
                <w:b/>
                <w:i w:val="0"/>
                <w:color w:val="333333"/>
                <w:sz w:val="17"/>
              </w:rPr>
              <w:t>Owner</w:t>
            </w:r>
          </w:p>
        </w:tc>
        <w:tc>
          <w:tcPr>
            <w:tcW w:type="dxa" w:w="3249"/>
          </w:tcPr>
          <w:p>
            <w:pPr>
              <w:spacing w:before="40" w:after="40"/>
            </w:pPr>
            <w:r>
              <w:rPr>
                <w:rFonts w:ascii="Calibri" w:hAnsi="Calibri"/>
                <w:b w:val="0"/>
                <w:i w:val="0"/>
                <w:color w:val="333333"/>
                <w:sz w:val="17"/>
              </w:rPr>
              <w:t>Advises</w:t>
            </w:r>
          </w:p>
        </w:tc>
      </w:tr>
      <w:tr>
        <w:tc>
          <w:tcPr>
            <w:tcW w:type="dxa" w:w="3249"/>
            <w:shd w:val="clear" w:fill="F2F6FA"/>
          </w:tcPr>
          <w:p>
            <w:pPr>
              <w:spacing w:before="40" w:after="40"/>
            </w:pPr>
            <w:r>
              <w:rPr>
                <w:rFonts w:ascii="Calibri" w:hAnsi="Calibri"/>
                <w:b w:val="0"/>
                <w:i w:val="0"/>
                <w:color w:val="333333"/>
                <w:sz w:val="17"/>
              </w:rPr>
              <w:t>User account creation and review</w:t>
            </w:r>
          </w:p>
        </w:tc>
        <w:tc>
          <w:tcPr>
            <w:tcW w:type="dxa" w:w="3249"/>
            <w:shd w:val="clear" w:fill="F2F6FA"/>
          </w:tcPr>
          <w:p>
            <w:pPr>
              <w:spacing w:before="40" w:after="40"/>
            </w:pPr>
            <w:r>
              <w:rPr>
                <w:rFonts w:ascii="Calibri" w:hAnsi="Calibri"/>
                <w:b/>
                <w:i w:val="0"/>
                <w:color w:val="333333"/>
                <w:sz w:val="17"/>
              </w:rPr>
              <w:t>Owner</w:t>
            </w:r>
          </w:p>
        </w:tc>
        <w:tc>
          <w:tcPr>
            <w:tcW w:type="dxa" w:w="3249"/>
            <w:shd w:val="clear" w:fill="F2F6FA"/>
          </w:tcPr>
          <w:p>
            <w:pPr>
              <w:spacing w:before="40" w:after="40"/>
            </w:pPr>
            <w:r>
              <w:rPr>
                <w:rFonts w:ascii="Calibri" w:hAnsi="Calibri"/>
                <w:b w:val="0"/>
                <w:i w:val="0"/>
                <w:color w:val="333333"/>
                <w:sz w:val="17"/>
              </w:rPr>
              <w:t>Provides tooling and procedure</w:t>
            </w:r>
          </w:p>
        </w:tc>
      </w:tr>
      <w:tr>
        <w:tc>
          <w:tcPr>
            <w:tcW w:type="dxa" w:w="3249"/>
          </w:tcPr>
          <w:p>
            <w:pPr>
              <w:spacing w:before="40" w:after="40"/>
            </w:pPr>
            <w:r>
              <w:rPr>
                <w:rFonts w:ascii="Calibri" w:hAnsi="Calibri"/>
                <w:b w:val="0"/>
                <w:i w:val="0"/>
                <w:color w:val="333333"/>
                <w:sz w:val="17"/>
              </w:rPr>
              <w:t>Collector vetting and onboarding</w:t>
            </w:r>
          </w:p>
        </w:tc>
        <w:tc>
          <w:tcPr>
            <w:tcW w:type="dxa" w:w="3249"/>
          </w:tcPr>
          <w:p>
            <w:pPr>
              <w:spacing w:before="40" w:after="40"/>
            </w:pPr>
            <w:r>
              <w:rPr>
                <w:rFonts w:ascii="Calibri" w:hAnsi="Calibri"/>
                <w:b/>
                <w:i w:val="0"/>
                <w:color w:val="333333"/>
                <w:sz w:val="17"/>
              </w:rPr>
              <w:t>Owner</w:t>
            </w:r>
          </w:p>
        </w:tc>
        <w:tc>
          <w:tcPr>
            <w:tcW w:type="dxa" w:w="3249"/>
          </w:tcPr>
          <w:p>
            <w:pPr>
              <w:spacing w:before="40" w:after="40"/>
            </w:pPr>
            <w:r>
              <w:rPr>
                <w:rFonts w:ascii="Calibri" w:hAnsi="Calibri"/>
                <w:b w:val="0"/>
                <w:i w:val="0"/>
                <w:color w:val="333333"/>
                <w:sz w:val="17"/>
              </w:rPr>
              <w:t>Provides the security briefing content</w:t>
            </w:r>
          </w:p>
        </w:tc>
      </w:tr>
      <w:tr>
        <w:tc>
          <w:tcPr>
            <w:tcW w:type="dxa" w:w="3249"/>
            <w:shd w:val="clear" w:fill="F2F6FA"/>
          </w:tcPr>
          <w:p>
            <w:pPr>
              <w:spacing w:before="40" w:after="40"/>
            </w:pPr>
            <w:r>
              <w:rPr>
                <w:rFonts w:ascii="Calibri" w:hAnsi="Calibri"/>
                <w:b w:val="0"/>
                <w:i w:val="0"/>
                <w:color w:val="333333"/>
                <w:sz w:val="17"/>
              </w:rPr>
              <w:t>Physical custody of terminals and card stock</w:t>
            </w:r>
          </w:p>
        </w:tc>
        <w:tc>
          <w:tcPr>
            <w:tcW w:type="dxa" w:w="3249"/>
            <w:shd w:val="clear" w:fill="F2F6FA"/>
          </w:tcPr>
          <w:p>
            <w:pPr>
              <w:spacing w:before="40" w:after="40"/>
            </w:pPr>
            <w:r>
              <w:rPr>
                <w:rFonts w:ascii="Calibri" w:hAnsi="Calibri"/>
                <w:b/>
                <w:i w:val="0"/>
                <w:color w:val="333333"/>
                <w:sz w:val="17"/>
              </w:rPr>
              <w:t>Owner</w:t>
            </w:r>
          </w:p>
        </w:tc>
        <w:tc>
          <w:tcPr>
            <w:tcW w:type="dxa" w:w="3249"/>
            <w:shd w:val="clear" w:fill="F2F6FA"/>
          </w:tcPr>
          <w:p>
            <w:pPr>
              <w:spacing w:before="40" w:after="40"/>
            </w:pPr>
            <w:r>
              <w:rPr>
                <w:rFonts w:ascii="Calibri" w:hAnsi="Calibri"/>
                <w:b w:val="0"/>
                <w:i w:val="0"/>
                <w:color w:val="333333"/>
                <w:sz w:val="17"/>
              </w:rPr>
              <w:t>Provides registry and procedures</w:t>
            </w:r>
          </w:p>
        </w:tc>
      </w:tr>
      <w:tr>
        <w:tc>
          <w:tcPr>
            <w:tcW w:type="dxa" w:w="3249"/>
          </w:tcPr>
          <w:p>
            <w:pPr>
              <w:spacing w:before="40" w:after="40"/>
            </w:pPr>
            <w:r>
              <w:rPr>
                <w:rFonts w:ascii="Calibri" w:hAnsi="Calibri"/>
                <w:b w:val="0"/>
                <w:i w:val="0"/>
                <w:color w:val="333333"/>
                <w:sz w:val="17"/>
              </w:rPr>
              <w:t>Cap definition and pay-in confirmation</w:t>
            </w:r>
          </w:p>
        </w:tc>
        <w:tc>
          <w:tcPr>
            <w:tcW w:type="dxa" w:w="3249"/>
          </w:tcPr>
          <w:p>
            <w:pPr>
              <w:spacing w:before="40" w:after="40"/>
            </w:pPr>
            <w:r>
              <w:rPr>
                <w:rFonts w:ascii="Calibri" w:hAnsi="Calibri"/>
                <w:b/>
                <w:i w:val="0"/>
                <w:color w:val="333333"/>
                <w:sz w:val="17"/>
              </w:rPr>
              <w:t>Owner</w:t>
            </w:r>
          </w:p>
        </w:tc>
        <w:tc>
          <w:tcPr>
            <w:tcW w:type="dxa" w:w="3249"/>
          </w:tcPr>
          <w:p>
            <w:pPr>
              <w:spacing w:before="40" w:after="40"/>
            </w:pPr>
            <w:r>
              <w:rPr>
                <w:rFonts w:ascii="Calibri" w:hAnsi="Calibri"/>
                <w:b w:val="0"/>
                <w:i w:val="0"/>
                <w:color w:val="333333"/>
                <w:sz w:val="17"/>
              </w:rPr>
              <w:t>Provides the mechanism</w:t>
            </w:r>
          </w:p>
        </w:tc>
      </w:tr>
      <w:tr>
        <w:tc>
          <w:tcPr>
            <w:tcW w:type="dxa" w:w="3249"/>
            <w:shd w:val="clear" w:fill="F2F6FA"/>
          </w:tcPr>
          <w:p>
            <w:pPr>
              <w:spacing w:before="40" w:after="40"/>
            </w:pPr>
            <w:r>
              <w:rPr>
                <w:rFonts w:ascii="Calibri" w:hAnsi="Calibri"/>
                <w:b w:val="0"/>
                <w:i w:val="0"/>
                <w:color w:val="333333"/>
                <w:sz w:val="17"/>
              </w:rPr>
              <w:t>Monitoring and alert handling</w:t>
            </w:r>
          </w:p>
        </w:tc>
        <w:tc>
          <w:tcPr>
            <w:tcW w:type="dxa" w:w="3249"/>
            <w:shd w:val="clear" w:fill="F2F6FA"/>
          </w:tcPr>
          <w:p>
            <w:pPr>
              <w:spacing w:before="40" w:after="40"/>
            </w:pPr>
            <w:r>
              <w:rPr>
                <w:rFonts w:ascii="Calibri" w:hAnsi="Calibri"/>
                <w:b w:val="0"/>
                <w:i w:val="0"/>
                <w:color w:val="333333"/>
                <w:sz w:val="17"/>
              </w:rPr>
              <w:t>Handles business alerts</w:t>
            </w:r>
          </w:p>
        </w:tc>
        <w:tc>
          <w:tcPr>
            <w:tcW w:type="dxa" w:w="3249"/>
            <w:shd w:val="clear" w:fill="F2F6FA"/>
          </w:tcPr>
          <w:p>
            <w:pPr>
              <w:spacing w:before="40" w:after="40"/>
            </w:pPr>
            <w:r>
              <w:rPr>
                <w:rFonts w:ascii="Calibri" w:hAnsi="Calibri"/>
                <w:b w:val="0"/>
                <w:i w:val="0"/>
                <w:color w:val="333333"/>
                <w:sz w:val="17"/>
              </w:rPr>
              <w:t>Handles technical alerts</w:t>
            </w:r>
          </w:p>
        </w:tc>
      </w:tr>
      <w:tr>
        <w:tc>
          <w:tcPr>
            <w:tcW w:type="dxa" w:w="3249"/>
          </w:tcPr>
          <w:p>
            <w:pPr>
              <w:spacing w:before="40" w:after="40"/>
            </w:pPr>
            <w:r>
              <w:rPr>
                <w:rFonts w:ascii="Calibri" w:hAnsi="Calibri"/>
                <w:b w:val="0"/>
                <w:i w:val="0"/>
                <w:color w:val="333333"/>
                <w:sz w:val="17"/>
              </w:rPr>
              <w:t>Incident response</w:t>
            </w:r>
          </w:p>
        </w:tc>
        <w:tc>
          <w:tcPr>
            <w:tcW w:type="dxa" w:w="3249"/>
          </w:tcPr>
          <w:p>
            <w:pPr>
              <w:spacing w:before="40" w:after="40"/>
            </w:pPr>
            <w:r>
              <w:rPr>
                <w:rFonts w:ascii="Calibri" w:hAnsi="Calibri"/>
                <w:b w:val="0"/>
                <w:i w:val="0"/>
                <w:color w:val="333333"/>
                <w:sz w:val="17"/>
              </w:rPr>
              <w:t>Decides, notifies authorities</w:t>
            </w:r>
          </w:p>
        </w:tc>
        <w:tc>
          <w:tcPr>
            <w:tcW w:type="dxa" w:w="3249"/>
          </w:tcPr>
          <w:p>
            <w:pPr>
              <w:spacing w:before="40" w:after="40"/>
            </w:pPr>
            <w:r>
              <w:rPr>
                <w:rFonts w:ascii="Calibri" w:hAnsi="Calibri"/>
                <w:b w:val="0"/>
                <w:i w:val="0"/>
                <w:color w:val="333333"/>
                <w:sz w:val="17"/>
              </w:rPr>
              <w:t>Investigates, contains, remediates</w:t>
            </w:r>
          </w:p>
        </w:tc>
      </w:tr>
      <w:tr>
        <w:tc>
          <w:tcPr>
            <w:tcW w:type="dxa" w:w="3249"/>
            <w:shd w:val="clear" w:fill="F2F6FA"/>
          </w:tcPr>
          <w:p>
            <w:pPr>
              <w:spacing w:before="40" w:after="40"/>
            </w:pPr>
            <w:r>
              <w:rPr>
                <w:rFonts w:ascii="Calibri" w:hAnsi="Calibri"/>
                <w:b w:val="0"/>
                <w:i w:val="0"/>
                <w:color w:val="333333"/>
                <w:sz w:val="17"/>
              </w:rPr>
              <w:t>Backups and restore testing</w:t>
            </w:r>
          </w:p>
        </w:tc>
        <w:tc>
          <w:tcPr>
            <w:tcW w:type="dxa" w:w="3249"/>
            <w:shd w:val="clear" w:fill="F2F6FA"/>
          </w:tcPr>
          <w:p>
            <w:pPr>
              <w:spacing w:before="40" w:after="40"/>
            </w:pPr>
            <w:r>
              <w:rPr>
                <w:rFonts w:ascii="Calibri" w:hAnsi="Calibri"/>
                <w:b w:val="0"/>
                <w:i w:val="0"/>
                <w:color w:val="333333"/>
                <w:sz w:val="17"/>
              </w:rPr>
              <w:t>Validates results</w:t>
            </w:r>
          </w:p>
        </w:tc>
        <w:tc>
          <w:tcPr>
            <w:tcW w:type="dxa" w:w="3249"/>
            <w:shd w:val="clear" w:fill="F2F6FA"/>
          </w:tcPr>
          <w:p>
            <w:pPr>
              <w:spacing w:before="40" w:after="40"/>
            </w:pPr>
            <w:r>
              <w:rPr>
                <w:rFonts w:ascii="Calibri" w:hAnsi="Calibri"/>
                <w:b/>
                <w:i w:val="0"/>
                <w:color w:val="333333"/>
                <w:sz w:val="17"/>
              </w:rPr>
              <w:t>Owner</w:t>
            </w:r>
            <w:r>
              <w:rPr>
                <w:rFonts w:ascii="Calibri" w:hAnsi="Calibri"/>
                <w:b w:val="0"/>
                <w:i w:val="0"/>
                <w:color w:val="333333"/>
                <w:sz w:val="17"/>
              </w:rPr>
              <w:t xml:space="preserve"> (executes)</w:t>
            </w:r>
          </w:p>
        </w:tc>
      </w:tr>
      <w:tr>
        <w:tc>
          <w:tcPr>
            <w:tcW w:type="dxa" w:w="3249"/>
          </w:tcPr>
          <w:p>
            <w:pPr>
              <w:spacing w:before="40" w:after="40"/>
            </w:pPr>
            <w:r>
              <w:rPr>
                <w:rFonts w:ascii="Calibri" w:hAnsi="Calibri"/>
                <w:b w:val="0"/>
                <w:i w:val="0"/>
                <w:color w:val="333333"/>
                <w:sz w:val="17"/>
              </w:rPr>
              <w:t>Security patching</w:t>
            </w:r>
          </w:p>
        </w:tc>
        <w:tc>
          <w:tcPr>
            <w:tcW w:type="dxa" w:w="3249"/>
          </w:tcPr>
          <w:p>
            <w:pPr>
              <w:spacing w:before="40" w:after="40"/>
            </w:pPr>
            <w:r>
              <w:rPr>
                <w:rFonts w:ascii="Calibri" w:hAnsi="Calibri"/>
                <w:b w:val="0"/>
                <w:i w:val="0"/>
                <w:color w:val="333333"/>
                <w:sz w:val="17"/>
              </w:rPr>
              <w:t>Approves windows</w:t>
            </w:r>
          </w:p>
        </w:tc>
        <w:tc>
          <w:tcPr>
            <w:tcW w:type="dxa" w:w="3249"/>
          </w:tcPr>
          <w:p>
            <w:pPr>
              <w:spacing w:before="40" w:after="40"/>
            </w:pPr>
            <w:r>
              <w:rPr>
                <w:rFonts w:ascii="Calibri" w:hAnsi="Calibri"/>
                <w:b/>
                <w:i w:val="0"/>
                <w:color w:val="333333"/>
                <w:sz w:val="17"/>
              </w:rPr>
              <w:t>Owner</w:t>
            </w:r>
          </w:p>
        </w:tc>
      </w:tr>
      <w:tr>
        <w:tc>
          <w:tcPr>
            <w:tcW w:type="dxa" w:w="3249"/>
            <w:shd w:val="clear" w:fill="F2F6FA"/>
          </w:tcPr>
          <w:p>
            <w:pPr>
              <w:spacing w:before="40" w:after="40"/>
            </w:pPr>
            <w:r>
              <w:rPr>
                <w:rFonts w:ascii="Calibri" w:hAnsi="Calibri"/>
                <w:b w:val="0"/>
                <w:i w:val="0"/>
                <w:color w:val="333333"/>
                <w:sz w:val="17"/>
              </w:rPr>
              <w:t>SUNULIFE-side security</w:t>
            </w:r>
          </w:p>
        </w:tc>
        <w:tc>
          <w:tcPr>
            <w:tcW w:type="dxa" w:w="3249"/>
            <w:shd w:val="clear" w:fill="F2F6FA"/>
          </w:tcPr>
          <w:p>
            <w:pPr>
              <w:spacing w:before="40" w:after="40"/>
            </w:pPr>
            <w:r>
              <w:rPr>
                <w:rFonts w:ascii="Calibri" w:hAnsi="Calibri"/>
                <w:b/>
                <w:i w:val="0"/>
                <w:color w:val="333333"/>
                <w:sz w:val="17"/>
              </w:rPr>
              <w:t>Owner</w:t>
            </w:r>
          </w:p>
        </w:tc>
        <w:tc>
          <w:tcPr>
            <w:tcW w:type="dxa" w:w="3249"/>
            <w:shd w:val="clear" w:fill="F2F6FA"/>
          </w:tcPr>
          <w:p>
            <w:pPr>
              <w:spacing w:before="40" w:after="40"/>
            </w:pPr>
            <w:r>
              <w:rPr>
                <w:rFonts w:ascii="Calibri" w:hAnsi="Calibri"/>
                <w:b w:val="0"/>
                <w:i w:val="0"/>
                <w:color w:val="333333"/>
                <w:sz w:val="17"/>
              </w:rPr>
              <w:t>Secures the integration endpoint on our side</w:t>
            </w:r>
          </w:p>
        </w:tc>
      </w:tr>
    </w:tbl>
    <w:p>
      <w:pPr>
        <w:spacing w:after="40"/>
      </w:pPr>
    </w:p>
    <w:p>
      <w:pPr>
        <w:pStyle w:val="Heading1"/>
        <w:pageBreakBefore/>
        <w:spacing w:before="360" w:after="80"/>
        <w:keepNext/>
        <w:pBdr>
          <w:bottom w:val="single" w:sz="8" w:space="6" w:color="1B3A5C"/>
        </w:pBdr>
      </w:pPr>
      <w:bookmarkStart w:id="160" w:name="_Toc_s059"/>
      <w:r>
        <w:rPr>
          <w:rFonts w:ascii="Calibri" w:hAnsi="Calibri"/>
          <w:b/>
          <w:color w:val="1B3A5C"/>
          <w:sz w:val="30"/>
        </w:rPr>
        <w:t>18. Security Acceptance Checklist (go-live gate)</w:t>
      </w:r>
      <w:bookmarkEnd w:id="160"/>
    </w:p>
    <w:p>
      <w:r>
        <w:rPr>
          <w:rFonts w:ascii="Calibri" w:hAnsi="Calibri"/>
          <w:b w:val="0"/>
          <w:i w:val="0"/>
          <w:color w:val="333333"/>
          <w:sz w:val="20"/>
        </w:rPr>
        <w:t>To be signed jointly before the production launch.</w:t>
      </w:r>
    </w:p>
    <w:p>
      <w:r>
        <w:rPr>
          <w:rFonts w:ascii="Calibri" w:hAnsi="Calibri"/>
          <w:b/>
          <w:i w:val="0"/>
          <w:color w:val="333333"/>
          <w:sz w:val="20"/>
        </w:rPr>
        <w:t>Blocking — no production launch without these</w:t>
      </w:r>
    </w:p>
    <w:p>
      <w:pPr>
        <w:spacing w:after="40"/>
        <w:ind w:left="312" w:hanging="198"/>
      </w:pPr>
      <w:r>
        <w:rPr>
          <w:rFonts w:ascii="Calibri" w:hAnsi="Calibri"/>
          <w:b/>
          <w:color w:val="2C5F8A"/>
          <w:sz w:val="20"/>
        </w:rPr>
        <w:t xml:space="preserve">☐  </w:t>
      </w:r>
      <w:r>
        <w:rPr>
          <w:rFonts w:ascii="Calibri" w:hAnsi="Calibri"/>
          <w:b w:val="0"/>
          <w:i w:val="0"/>
          <w:color w:val="333333"/>
          <w:sz w:val="20"/>
        </w:rPr>
        <w:t>HTTPS/TLS 1.2+ enforced on every channel; plaintext HTTP refused (H-1)</w:t>
      </w:r>
    </w:p>
    <w:p>
      <w:pPr>
        <w:spacing w:after="40"/>
        <w:ind w:left="312" w:hanging="198"/>
      </w:pPr>
      <w:r>
        <w:rPr>
          <w:rFonts w:ascii="Calibri" w:hAnsi="Calibri"/>
          <w:b/>
          <w:color w:val="2C5F8A"/>
          <w:sz w:val="20"/>
        </w:rPr>
        <w:t xml:space="preserve">☐  </w:t>
      </w:r>
      <w:r>
        <w:rPr>
          <w:rFonts w:ascii="Calibri" w:hAnsi="Calibri"/>
          <w:b w:val="0"/>
          <w:i w:val="0"/>
          <w:color w:val="333333"/>
          <w:sz w:val="20"/>
        </w:rPr>
        <w:t>Certificate pinning active in the POS application (H-1)</w:t>
      </w:r>
    </w:p>
    <w:p>
      <w:pPr>
        <w:spacing w:after="40"/>
        <w:ind w:left="312" w:hanging="198"/>
      </w:pPr>
      <w:r>
        <w:rPr>
          <w:rFonts w:ascii="Calibri" w:hAnsi="Calibri"/>
          <w:b/>
          <w:color w:val="2C5F8A"/>
          <w:sz w:val="20"/>
        </w:rPr>
        <w:t xml:space="preserve">☐  </w:t>
      </w:r>
      <w:r>
        <w:rPr>
          <w:rFonts w:ascii="Calibri" w:hAnsi="Calibri"/>
          <w:b w:val="0"/>
          <w:i w:val="0"/>
          <w:color w:val="333333"/>
          <w:sz w:val="20"/>
        </w:rPr>
        <w:t>Hardcoded mobile cryptographic key removed; per-device keys and authenticated encryption in place (H-4)</w:t>
      </w:r>
    </w:p>
    <w:p>
      <w:pPr>
        <w:spacing w:after="40"/>
        <w:ind w:left="312" w:hanging="198"/>
      </w:pPr>
      <w:r>
        <w:rPr>
          <w:rFonts w:ascii="Calibri" w:hAnsi="Calibri"/>
          <w:b/>
          <w:color w:val="2C5F8A"/>
          <w:sz w:val="20"/>
        </w:rPr>
        <w:t xml:space="preserve">☐  </w:t>
      </w:r>
      <w:r>
        <w:rPr>
          <w:rFonts w:ascii="Calibri" w:hAnsi="Calibri"/>
          <w:b w:val="0"/>
          <w:i w:val="0"/>
          <w:color w:val="333333"/>
          <w:sz w:val="20"/>
        </w:rPr>
        <w:t>Plaintext one-time-code logging disabled and removed from the production configuration (H-6)</w:t>
      </w:r>
    </w:p>
    <w:p>
      <w:pPr>
        <w:spacing w:after="40"/>
        <w:ind w:left="312" w:hanging="198"/>
      </w:pPr>
      <w:r>
        <w:rPr>
          <w:rFonts w:ascii="Calibri" w:hAnsi="Calibri"/>
          <w:b/>
          <w:color w:val="2C5F8A"/>
          <w:sz w:val="20"/>
        </w:rPr>
        <w:t xml:space="preserve">☐  </w:t>
      </w:r>
      <w:r>
        <w:rPr>
          <w:rFonts w:ascii="Calibri" w:hAnsi="Calibri"/>
          <w:b w:val="0"/>
          <w:i w:val="0"/>
          <w:color w:val="333333"/>
          <w:sz w:val="20"/>
        </w:rPr>
        <w:t>Bounded, revocable collector session tokens in place (H-2)</w:t>
      </w:r>
    </w:p>
    <w:p>
      <w:pPr>
        <w:spacing w:after="40"/>
        <w:ind w:left="312" w:hanging="198"/>
      </w:pPr>
      <w:r>
        <w:rPr>
          <w:rFonts w:ascii="Calibri" w:hAnsi="Calibri"/>
          <w:b/>
          <w:color w:val="2C5F8A"/>
          <w:sz w:val="20"/>
        </w:rPr>
        <w:t xml:space="preserve">☐  </w:t>
      </w:r>
      <w:r>
        <w:rPr>
          <w:rFonts w:ascii="Calibri" w:hAnsi="Calibri"/>
          <w:b w:val="0"/>
          <w:i w:val="0"/>
          <w:color w:val="333333"/>
          <w:sz w:val="20"/>
        </w:rPr>
        <w:t>API rate limiting active (H-3)</w:t>
      </w:r>
    </w:p>
    <w:p>
      <w:pPr>
        <w:spacing w:after="40"/>
        <w:ind w:left="312" w:hanging="198"/>
      </w:pPr>
      <w:r>
        <w:rPr>
          <w:rFonts w:ascii="Calibri" w:hAnsi="Calibri"/>
          <w:b/>
          <w:color w:val="2C5F8A"/>
          <w:sz w:val="20"/>
        </w:rPr>
        <w:t xml:space="preserve">☐  </w:t>
      </w:r>
      <w:r>
        <w:rPr>
          <w:rFonts w:ascii="Calibri" w:hAnsi="Calibri"/>
          <w:b w:val="0"/>
          <w:i w:val="0"/>
          <w:color w:val="333333"/>
          <w:sz w:val="20"/>
        </w:rPr>
        <w:t>MFA enforced for Administrator and IT profiles (H-5)</w:t>
      </w:r>
    </w:p>
    <w:p>
      <w:pPr>
        <w:spacing w:after="40"/>
        <w:ind w:left="312" w:hanging="198"/>
      </w:pPr>
      <w:r>
        <w:rPr>
          <w:rFonts w:ascii="Calibri" w:hAnsi="Calibri"/>
          <w:b/>
          <w:color w:val="2C5F8A"/>
          <w:sz w:val="20"/>
        </w:rPr>
        <w:t xml:space="preserve">☐  </w:t>
      </w:r>
      <w:r>
        <w:rPr>
          <w:rFonts w:ascii="Calibri" w:hAnsi="Calibri"/>
          <w:b w:val="0"/>
          <w:i w:val="0"/>
          <w:color w:val="333333"/>
          <w:sz w:val="20"/>
        </w:rPr>
        <w:t>Every profile tested against every restricted action, including negative tests</w:t>
      </w:r>
    </w:p>
    <w:p>
      <w:pPr>
        <w:spacing w:after="40"/>
        <w:ind w:left="312" w:hanging="198"/>
      </w:pPr>
      <w:r>
        <w:rPr>
          <w:rFonts w:ascii="Calibri" w:hAnsi="Calibri"/>
          <w:b/>
          <w:color w:val="2C5F8A"/>
          <w:sz w:val="20"/>
        </w:rPr>
        <w:t xml:space="preserve">☐  </w:t>
      </w:r>
      <w:r>
        <w:rPr>
          <w:rFonts w:ascii="Calibri" w:hAnsi="Calibri"/>
          <w:b w:val="0"/>
          <w:i w:val="0"/>
          <w:color w:val="333333"/>
          <w:sz w:val="20"/>
        </w:rPr>
        <w:t>Encrypted backup running and a full restore successfully tested</w:t>
      </w:r>
    </w:p>
    <w:p>
      <w:pPr>
        <w:spacing w:after="40"/>
        <w:ind w:left="312" w:hanging="198"/>
      </w:pPr>
      <w:r>
        <w:rPr>
          <w:rFonts w:ascii="Calibri" w:hAnsi="Calibri"/>
          <w:b/>
          <w:color w:val="2C5F8A"/>
          <w:sz w:val="20"/>
        </w:rPr>
        <w:t xml:space="preserve">☐  </w:t>
      </w:r>
      <w:r>
        <w:rPr>
          <w:rFonts w:ascii="Calibri" w:hAnsi="Calibri"/>
          <w:b w:val="0"/>
          <w:i w:val="0"/>
          <w:color w:val="333333"/>
          <w:sz w:val="20"/>
        </w:rPr>
        <w:t>Audit trail verified complete on collection, pay-in and card operations</w:t>
      </w:r>
    </w:p>
    <w:p>
      <w:pPr>
        <w:spacing w:after="40"/>
        <w:ind w:left="312" w:hanging="198"/>
      </w:pPr>
      <w:r>
        <w:rPr>
          <w:rFonts w:ascii="Calibri" w:hAnsi="Calibri"/>
          <w:b/>
          <w:color w:val="2C5F8A"/>
          <w:sz w:val="20"/>
        </w:rPr>
        <w:t xml:space="preserve">☐  </w:t>
      </w:r>
      <w:r>
        <w:rPr>
          <w:rFonts w:ascii="Calibri" w:hAnsi="Calibri"/>
          <w:b w:val="0"/>
          <w:i w:val="0"/>
          <w:color w:val="333333"/>
          <w:sz w:val="20"/>
        </w:rPr>
        <w:t>Duplicate-reference rejection verified at database level</w:t>
      </w:r>
    </w:p>
    <w:p>
      <w:pPr>
        <w:spacing w:after="40"/>
        <w:ind w:left="312" w:hanging="198"/>
      </w:pPr>
      <w:r>
        <w:rPr>
          <w:rFonts w:ascii="Calibri" w:hAnsi="Calibri"/>
          <w:b/>
          <w:color w:val="2C5F8A"/>
          <w:sz w:val="20"/>
        </w:rPr>
        <w:t xml:space="preserve">☐  </w:t>
      </w:r>
      <w:r>
        <w:rPr>
          <w:rFonts w:ascii="Calibri" w:hAnsi="Calibri"/>
          <w:b w:val="0"/>
          <w:i w:val="0"/>
          <w:color w:val="333333"/>
          <w:sz w:val="20"/>
        </w:rPr>
        <w:t>No secret present in the source repository or in the APK</w:t>
      </w:r>
    </w:p>
    <w:p>
      <w:pPr>
        <w:spacing w:after="40"/>
        <w:ind w:left="312" w:hanging="198"/>
      </w:pPr>
      <w:r>
        <w:rPr>
          <w:rFonts w:ascii="Calibri" w:hAnsi="Calibri"/>
          <w:b/>
          <w:color w:val="2C5F8A"/>
          <w:sz w:val="20"/>
        </w:rPr>
        <w:t xml:space="preserve">☐  </w:t>
      </w:r>
      <w:r>
        <w:rPr>
          <w:rFonts w:ascii="Calibri" w:hAnsi="Calibri"/>
          <w:b w:val="0"/>
          <w:i w:val="0"/>
          <w:color w:val="333333"/>
          <w:sz w:val="20"/>
        </w:rPr>
        <w:t>CIL declaration filed by SUNU</w:t>
      </w:r>
    </w:p>
    <w:p>
      <w:pPr>
        <w:spacing w:after="40"/>
        <w:ind w:left="312" w:hanging="198"/>
      </w:pPr>
      <w:r>
        <w:rPr>
          <w:rFonts w:ascii="Calibri" w:hAnsi="Calibri"/>
          <w:b/>
          <w:color w:val="2C5F8A"/>
          <w:sz w:val="20"/>
        </w:rPr>
        <w:t xml:space="preserve">☐  </w:t>
      </w:r>
      <w:r>
        <w:rPr>
          <w:rFonts w:ascii="Calibri" w:hAnsi="Calibri"/>
          <w:b w:val="0"/>
          <w:i w:val="0"/>
          <w:color w:val="333333"/>
          <w:sz w:val="20"/>
        </w:rPr>
        <w:t>Data-processing agreement signed</w:t>
      </w:r>
    </w:p>
    <w:p>
      <w:r>
        <w:rPr>
          <w:rFonts w:ascii="Calibri" w:hAnsi="Calibri"/>
          <w:b/>
          <w:i w:val="0"/>
          <w:color w:val="333333"/>
          <w:sz w:val="20"/>
        </w:rPr>
        <w:t>Required before production</w:t>
      </w:r>
    </w:p>
    <w:p>
      <w:pPr>
        <w:spacing w:after="40"/>
        <w:ind w:left="312" w:hanging="198"/>
      </w:pPr>
      <w:r>
        <w:rPr>
          <w:rFonts w:ascii="Calibri" w:hAnsi="Calibri"/>
          <w:b/>
          <w:color w:val="2C5F8A"/>
          <w:sz w:val="20"/>
        </w:rPr>
        <w:t xml:space="preserve">☐  </w:t>
      </w:r>
      <w:r>
        <w:rPr>
          <w:rFonts w:ascii="Calibri" w:hAnsi="Calibri"/>
          <w:b w:val="0"/>
          <w:i w:val="0"/>
          <w:color w:val="333333"/>
          <w:sz w:val="20"/>
        </w:rPr>
        <w:t>Security headers configured (H-8)</w:t>
      </w:r>
    </w:p>
    <w:p>
      <w:pPr>
        <w:spacing w:after="40"/>
        <w:ind w:left="312" w:hanging="198"/>
      </w:pPr>
      <w:r>
        <w:rPr>
          <w:rFonts w:ascii="Calibri" w:hAnsi="Calibri"/>
          <w:b/>
          <w:color w:val="2C5F8A"/>
          <w:sz w:val="20"/>
        </w:rPr>
        <w:t xml:space="preserve">☐  </w:t>
      </w:r>
      <w:r>
        <w:rPr>
          <w:rFonts w:ascii="Calibri" w:hAnsi="Calibri"/>
          <w:b w:val="0"/>
          <w:i w:val="0"/>
          <w:color w:val="333333"/>
          <w:sz w:val="20"/>
        </w:rPr>
        <w:t>API key lookup hardened (H-7)</w:t>
      </w:r>
    </w:p>
    <w:p>
      <w:pPr>
        <w:spacing w:after="40"/>
        <w:ind w:left="312" w:hanging="198"/>
      </w:pPr>
      <w:r>
        <w:rPr>
          <w:rFonts w:ascii="Calibri" w:hAnsi="Calibri"/>
          <w:b/>
          <w:color w:val="2C5F8A"/>
          <w:sz w:val="20"/>
        </w:rPr>
        <w:t xml:space="preserve">☐  </w:t>
      </w:r>
      <w:r>
        <w:rPr>
          <w:rFonts w:ascii="Calibri" w:hAnsi="Calibri"/>
          <w:b w:val="0"/>
          <w:i w:val="0"/>
          <w:color w:val="333333"/>
          <w:sz w:val="20"/>
        </w:rPr>
        <w:t>Secrets management procedure applied and rotation documented (H-9)</w:t>
      </w:r>
    </w:p>
    <w:p>
      <w:pPr>
        <w:spacing w:after="40"/>
        <w:ind w:left="312" w:hanging="198"/>
      </w:pPr>
      <w:r>
        <w:rPr>
          <w:rFonts w:ascii="Calibri" w:hAnsi="Calibri"/>
          <w:b/>
          <w:color w:val="2C5F8A"/>
          <w:sz w:val="20"/>
        </w:rPr>
        <w:t xml:space="preserve">☐  </w:t>
      </w:r>
      <w:r>
        <w:rPr>
          <w:rFonts w:ascii="Calibri" w:hAnsi="Calibri"/>
          <w:b w:val="0"/>
          <w:i w:val="0"/>
          <w:color w:val="333333"/>
          <w:sz w:val="20"/>
        </w:rPr>
        <w:t>Vulnerability scan run with no unresolved critical or high finding</w:t>
      </w:r>
    </w:p>
    <w:p>
      <w:pPr>
        <w:spacing w:after="40"/>
        <w:ind w:left="312" w:hanging="198"/>
      </w:pPr>
      <w:r>
        <w:rPr>
          <w:rFonts w:ascii="Calibri" w:hAnsi="Calibri"/>
          <w:b/>
          <w:color w:val="2C5F8A"/>
          <w:sz w:val="20"/>
        </w:rPr>
        <w:t xml:space="preserve">☐  </w:t>
      </w:r>
      <w:r>
        <w:rPr>
          <w:rFonts w:ascii="Calibri" w:hAnsi="Calibri"/>
          <w:b w:val="0"/>
          <w:i w:val="0"/>
          <w:color w:val="333333"/>
          <w:sz w:val="20"/>
        </w:rPr>
        <w:t>Alerts configured and routed to named recipients</w:t>
      </w:r>
    </w:p>
    <w:p>
      <w:pPr>
        <w:spacing w:after="40"/>
        <w:ind w:left="312" w:hanging="198"/>
      </w:pPr>
      <w:r>
        <w:rPr>
          <w:rFonts w:ascii="Calibri" w:hAnsi="Calibri"/>
          <w:b/>
          <w:color w:val="2C5F8A"/>
          <w:sz w:val="20"/>
        </w:rPr>
        <w:t xml:space="preserve">☐  </w:t>
      </w:r>
      <w:r>
        <w:rPr>
          <w:rFonts w:ascii="Calibri" w:hAnsi="Calibri"/>
          <w:b w:val="0"/>
          <w:i w:val="0"/>
          <w:color w:val="333333"/>
          <w:sz w:val="20"/>
        </w:rPr>
        <w:t>Terminals hardened: kiosk mode, unknown sources disabled, screen lock</w:t>
      </w:r>
    </w:p>
    <w:p>
      <w:pPr>
        <w:spacing w:after="40"/>
        <w:ind w:left="312" w:hanging="198"/>
      </w:pPr>
      <w:r>
        <w:rPr>
          <w:rFonts w:ascii="Calibri" w:hAnsi="Calibri"/>
          <w:b/>
          <w:color w:val="2C5F8A"/>
          <w:sz w:val="20"/>
        </w:rPr>
        <w:t xml:space="preserve">☐  </w:t>
      </w:r>
      <w:r>
        <w:rPr>
          <w:rFonts w:ascii="Calibri" w:hAnsi="Calibri"/>
          <w:b w:val="0"/>
          <w:i w:val="0"/>
          <w:color w:val="333333"/>
          <w:sz w:val="20"/>
        </w:rPr>
        <w:t>Collector security briefings signed</w:t>
      </w:r>
    </w:p>
    <w:p>
      <w:pPr>
        <w:spacing w:after="40"/>
        <w:ind w:left="312" w:hanging="198"/>
      </w:pPr>
      <w:r>
        <w:rPr>
          <w:rFonts w:ascii="Calibri" w:hAnsi="Calibri"/>
          <w:b/>
          <w:color w:val="2C5F8A"/>
          <w:sz w:val="20"/>
        </w:rPr>
        <w:t xml:space="preserve">☐  </w:t>
      </w:r>
      <w:r>
        <w:rPr>
          <w:rFonts w:ascii="Calibri" w:hAnsi="Calibri"/>
          <w:b w:val="0"/>
          <w:i w:val="0"/>
          <w:color w:val="333333"/>
          <w:sz w:val="20"/>
        </w:rPr>
        <w:t>Incident response contacts published on both sides</w:t>
      </w:r>
    </w:p>
    <w:p>
      <w:pPr>
        <w:spacing w:after="40"/>
        <w:ind w:left="312" w:hanging="198"/>
      </w:pPr>
      <w:r>
        <w:rPr>
          <w:rFonts w:ascii="Calibri" w:hAnsi="Calibri"/>
          <w:b/>
          <w:color w:val="2C5F8A"/>
          <w:sz w:val="20"/>
        </w:rPr>
        <w:t xml:space="preserve">☐  </w:t>
      </w:r>
      <w:r>
        <w:rPr>
          <w:rFonts w:ascii="Calibri" w:hAnsi="Calibri"/>
          <w:b w:val="0"/>
          <w:i w:val="0"/>
          <w:color w:val="333333"/>
          <w:sz w:val="20"/>
        </w:rPr>
        <w:t>Access review procedure scheduled and owner named</w:t>
      </w:r>
    </w:p>
    <w:p>
      <w:pPr>
        <w:spacing w:before="40" w:after="120"/>
        <w:pBdr>
          <w:bottom w:val="single" w:sz="6" w:space="6" w:color="D8DEE6"/>
        </w:pBdr>
      </w:pPr>
    </w:p>
    <w:p>
      <w:pPr>
        <w:spacing w:before="280"/>
        <w:jc w:val="center"/>
      </w:pPr>
      <w:r>
        <w:rPr>
          <w:rFonts w:ascii="Calibri" w:hAnsi="Calibri"/>
          <w:i/>
          <w:color w:val="666666"/>
          <w:sz w:val="18"/>
        </w:rPr>
        <w:t>End of Document 2.</w:t>
      </w:r>
    </w:p>
    <w:sectPr w:rsidR="00FC693F" w:rsidRPr="0006063C" w:rsidSect="00034616">
      <w:headerReference w:type="default" r:id="rId9"/>
      <w:footerReference w:type="default" r:id="rId10"/>
      <w:pgSz w:w="12240" w:h="15840"/>
      <w:pgMar w:top="1247" w:right="1247" w:bottom="1134" w:left="1247" w:header="624"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11" w:val="right"/>
      </w:tabs>
      <w:jc w:val="left"/>
      <w:pBdr>
        <w:bottom w:val="single" w:sz="6" w:space="6" w:color="C9D4E0"/>
      </w:pBdr>
    </w:pPr>
    <w:r/>
    <w:r>
      <w:drawing>
        <wp:inline xmlns:a="http://schemas.openxmlformats.org/drawingml/2006/main" xmlns:pic="http://schemas.openxmlformats.org/drawingml/2006/picture">
          <wp:extent cx="518644" cy="270000"/>
          <wp:docPr id="1" name="Picture 1"/>
          <wp:cNvGraphicFramePr>
            <a:graphicFrameLocks noChangeAspect="1"/>
          </wp:cNvGraphicFramePr>
          <a:graphic>
            <a:graphicData uri="http://schemas.openxmlformats.org/drawingml/2006/picture">
              <pic:pic>
                <pic:nvPicPr>
                  <pic:cNvPr id="0" name="dbs_logo.png"/>
                  <pic:cNvPicPr/>
                </pic:nvPicPr>
                <pic:blipFill>
                  <a:blip r:embed="rId1"/>
                  <a:stretch>
                    <a:fillRect/>
                  </a:stretch>
                </pic:blipFill>
                <pic:spPr>
                  <a:xfrm>
                    <a:off x="0" y="0"/>
                    <a:ext cx="518644" cy="270000"/>
                  </a:xfrm>
                  <a:prstGeom prst="rect"/>
                </pic:spPr>
              </pic:pic>
            </a:graphicData>
          </a:graphic>
        </wp:inline>
      </w:drawing>
    </w:r>
    <w:r>
      <w:rPr>
        <w:rFonts w:ascii="Calibri" w:hAnsi="Calibri"/>
        <w:color w:val="666666"/>
        <w:sz w:val="16"/>
      </w:rPr>
      <w:tab/>
      <w:t>Document 2 · Security Architecture, Procedures and Controls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2 — Security Architecture, Procedures and Controls</dc:title>
  <dc:subject>Security Architecture &amp; Procedures</dc:subject>
  <dc:creator>DBS SA — Digital Business Services</dc:creator>
  <cp:keywords/>
  <dc:description>SUNU Assurances Vie Burkina Faso — Confidential — SUNU Assurances Vie and DBS SA</dc:description>
  <cp:lastModifiedBy/>
  <cp:revision>1</cp:revision>
  <dcterms:created xsi:type="dcterms:W3CDTF">2013-12-23T23:15:00Z</dcterms:created>
  <dcterms:modified xsi:type="dcterms:W3CDTF">2013-12-23T23:15:00Z</dcterms:modified>
  <cp:category>Mobile Premium Collection Solution on POS Terminals</cp:category>
</cp:coreProperties>
</file>