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Solution mobile de collecte de primes sur terminaux TPE</w:t>
      </w:r>
    </w:p>
    <w:p>
      <w:pPr>
        <w:spacing w:after="40"/>
      </w:pPr>
      <w:r>
        <w:rPr>
          <w:rFonts w:ascii="Calibri" w:hAnsi="Calibri"/>
          <w:b/>
          <w:color w:val="2C5F8A"/>
          <w:sz w:val="20"/>
        </w:rPr>
        <w:t>DOCUMENT 4</w:t>
      </w:r>
    </w:p>
    <w:p>
      <w:pPr>
        <w:pBdr>
          <w:bottom w:val="single" w:sz="12" w:space="6" w:color="1B3A5C"/>
        </w:pBdr>
        <w:spacing w:after="520"/>
      </w:pPr>
      <w:r>
        <w:rPr>
          <w:rFonts w:ascii="Calibri" w:hAnsi="Calibri"/>
          <w:b/>
          <w:color w:val="1B3A5C"/>
          <w:sz w:val="52"/>
        </w:rPr>
        <w:t>Plan et calendrier de déploiement</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Objet</w:t>
            </w:r>
          </w:p>
        </w:tc>
        <w:tc>
          <w:tcPr>
            <w:tcW w:type="dxa" w:w="6803"/>
          </w:tcPr>
          <w:p>
            <w:r>
              <w:rPr>
                <w:rFonts w:ascii="Calibri" w:hAnsi="Calibri"/>
                <w:color w:val="333333"/>
                <w:sz w:val="18"/>
              </w:rPr>
              <w:t>Plan et calendrier de déploiement</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 — projet soumis à revue</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31 août 2026</w:t>
            </w:r>
          </w:p>
        </w:tc>
      </w:tr>
      <w:tr>
        <w:tc>
          <w:tcPr>
            <w:tcW w:type="dxa" w:w="2268"/>
          </w:tcPr>
          <w:p>
            <w:r>
              <w:rPr>
                <w:rFonts w:ascii="Calibri" w:hAnsi="Calibri"/>
                <w:b/>
                <w:color w:val="2C5F8A"/>
                <w:sz w:val="18"/>
              </w:rPr>
              <w:t>Destinataire</w:t>
            </w:r>
          </w:p>
        </w:tc>
        <w:tc>
          <w:tcPr>
            <w:tcW w:type="dxa" w:w="6803"/>
          </w:tcPr>
          <w:p>
            <w:r>
              <w:rPr>
                <w:rFonts w:ascii="Calibri" w:hAnsi="Calibri"/>
                <w:color w:val="333333"/>
                <w:sz w:val="18"/>
              </w:rPr>
              <w:t>SUNU Assurances Vie Burkina Faso — Direction Centrale des Opérations</w:t>
            </w:r>
          </w:p>
        </w:tc>
      </w:tr>
      <w:tr>
        <w:tc>
          <w:tcPr>
            <w:tcW w:type="dxa" w:w="2268"/>
          </w:tcPr>
          <w:p>
            <w:r>
              <w:rPr>
                <w:rFonts w:ascii="Calibri" w:hAnsi="Calibri"/>
                <w:b/>
                <w:color w:val="2C5F8A"/>
                <w:sz w:val="18"/>
              </w:rPr>
              <w:t>Émetteur</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Confidentiel — SUNU Assurances Vie et DBS SA</w:t>
            </w:r>
          </w:p>
        </w:tc>
      </w:tr>
    </w:tbl>
    <w:p>
      <w:r>
        <w:br w:type="page"/>
      </w:r>
    </w:p>
    <w:p>
      <w:pPr>
        <w:spacing w:after="80"/>
      </w:pPr>
      <w:r>
        <w:rPr>
          <w:rFonts w:ascii="Calibri" w:hAnsi="Calibri"/>
          <w:b/>
          <w:color w:val="1B3A5C"/>
          <w:sz w:val="32"/>
        </w:rPr>
        <w:t>Sommaire</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Objectifs et dates fixes</w:t>
        </w:r>
      </w:hyperlink>
    </w:p>
    <w:p>
      <w:pPr>
        <w:spacing w:before="100" w:after="30"/>
        <w:ind w:left="0"/>
      </w:pPr>
      <w:hyperlink w:anchor="_Toc_s001" w:history="1">
        <w:r>
          <w:rPr>
            <w:rFonts w:ascii="Calibri" w:hAnsi="Calibri"/>
            <w:b/>
            <w:color w:val="1B3A5C"/>
            <w:sz w:val="21"/>
          </w:rPr>
          <w:t xml:space="preserve">2. Appréciation honnête du calendrier</w:t>
        </w:r>
      </w:hyperlink>
    </w:p>
    <w:p>
      <w:pPr>
        <w:spacing w:before="0" w:after="30"/>
        <w:ind w:left="340"/>
      </w:pPr>
      <w:hyperlink w:anchor="_Toc_s002" w:history="1">
        <w:r>
          <w:rPr>
            <w:rFonts w:ascii="Calibri" w:hAnsi="Calibri"/>
            <w:color w:val="333333"/>
            <w:sz w:val="19"/>
          </w:rPr>
          <w:t xml:space="preserve">2.1 Ce qui rend la date atteignable</w:t>
        </w:r>
      </w:hyperlink>
    </w:p>
    <w:p>
      <w:pPr>
        <w:spacing w:before="0" w:after="30"/>
        <w:ind w:left="340"/>
      </w:pPr>
      <w:hyperlink w:anchor="_Toc_s003" w:history="1">
        <w:r>
          <w:rPr>
            <w:rFonts w:ascii="Calibri" w:hAnsi="Calibri"/>
            <w:color w:val="333333"/>
            <w:sz w:val="19"/>
          </w:rPr>
          <w:t xml:space="preserve">2.2 Ce qui menace réellement la date</w:t>
        </w:r>
      </w:hyperlink>
    </w:p>
    <w:p>
      <w:pPr>
        <w:spacing w:before="0" w:after="30"/>
        <w:ind w:left="340"/>
      </w:pPr>
      <w:hyperlink w:anchor="_Toc_s004" w:history="1">
        <w:r>
          <w:rPr>
            <w:rFonts w:ascii="Calibri" w:hAnsi="Calibri"/>
            <w:color w:val="333333"/>
            <w:sz w:val="19"/>
          </w:rPr>
          <w:t xml:space="preserve">2.3 La décision de cadrage qui protège la date</w:t>
        </w:r>
      </w:hyperlink>
    </w:p>
    <w:p>
      <w:pPr>
        <w:spacing w:before="100" w:after="30"/>
        <w:ind w:left="0"/>
      </w:pPr>
      <w:hyperlink w:anchor="_Toc_s005" w:history="1">
        <w:r>
          <w:rPr>
            <w:rFonts w:ascii="Calibri" w:hAnsi="Calibri"/>
            <w:b/>
            <w:color w:val="1B3A5C"/>
            <w:sz w:val="21"/>
          </w:rPr>
          <w:t xml:space="preserve">3. Calendrier — septembre (jusqu'au pilote)</w:t>
        </w:r>
      </w:hyperlink>
    </w:p>
    <w:p>
      <w:pPr>
        <w:spacing w:before="0" w:after="30"/>
        <w:ind w:left="340"/>
      </w:pPr>
      <w:hyperlink w:anchor="_Toc_s006" w:history="1">
        <w:r>
          <w:rPr>
            <w:rFonts w:ascii="Calibri" w:hAnsi="Calibri"/>
            <w:color w:val="333333"/>
            <w:sz w:val="19"/>
          </w:rPr>
          <w:t xml:space="preserve">Semaine 1 · 1er–6 septembre — Fondations et levée des blocages</w:t>
        </w:r>
      </w:hyperlink>
    </w:p>
    <w:p>
      <w:pPr>
        <w:spacing w:before="0" w:after="30"/>
        <w:ind w:left="340"/>
      </w:pPr>
      <w:hyperlink w:anchor="_Toc_s007" w:history="1">
        <w:r>
          <w:rPr>
            <w:rFonts w:ascii="Calibri" w:hAnsi="Calibri"/>
            <w:color w:val="333333"/>
            <w:sz w:val="19"/>
          </w:rPr>
          <w:t xml:space="preserve">Semaine 2 · 7–13 septembre — Construction du cœur</w:t>
        </w:r>
      </w:hyperlink>
    </w:p>
    <w:p>
      <w:pPr>
        <w:spacing w:before="0" w:after="30"/>
        <w:ind w:left="340"/>
      </w:pPr>
      <w:hyperlink w:anchor="_Toc_s008" w:history="1">
        <w:r>
          <w:rPr>
            <w:rFonts w:ascii="Calibri" w:hAnsi="Calibri"/>
            <w:color w:val="333333"/>
            <w:sz w:val="19"/>
          </w:rPr>
          <w:t xml:space="preserve">Semaine 3 · 14–20 septembre — Recette</w:t>
        </w:r>
      </w:hyperlink>
    </w:p>
    <w:p>
      <w:pPr>
        <w:spacing w:before="0" w:after="30"/>
        <w:ind w:left="340"/>
      </w:pPr>
      <w:hyperlink w:anchor="_Toc_s009" w:history="1">
        <w:r>
          <w:rPr>
            <w:rFonts w:ascii="Calibri" w:hAnsi="Calibri"/>
            <w:color w:val="333333"/>
            <w:sz w:val="19"/>
          </w:rPr>
          <w:t xml:space="preserve">Semaine 4 · 21–27 septembre — Réception et préparation</w:t>
        </w:r>
      </w:hyperlink>
    </w:p>
    <w:p>
      <w:pPr>
        <w:spacing w:before="0" w:after="30"/>
        <w:ind w:left="340"/>
      </w:pPr>
      <w:hyperlink w:anchor="_Toc_s010" w:history="1">
        <w:r>
          <w:rPr>
            <w:rFonts w:ascii="Calibri" w:hAnsi="Calibri"/>
            <w:color w:val="333333"/>
            <w:sz w:val="19"/>
          </w:rPr>
          <w:t xml:space="preserve">Semaine 5 · 28–30 septembre — Lancement du pilote</w:t>
        </w:r>
      </w:hyperlink>
    </w:p>
    <w:p>
      <w:pPr>
        <w:spacing w:before="0" w:after="30"/>
        <w:ind w:left="340"/>
      </w:pPr>
      <w:hyperlink w:anchor="_Toc_s011" w:history="1">
        <w:r>
          <w:rPr>
            <w:rFonts w:ascii="Calibri" w:hAnsi="Calibri"/>
            <w:color w:val="333333"/>
            <w:sz w:val="19"/>
          </w:rPr>
          <w:t xml:space="preserve">1er octobre — M4, réunion de direction</w:t>
        </w:r>
      </w:hyperlink>
    </w:p>
    <w:p>
      <w:pPr>
        <w:spacing w:before="100" w:after="30"/>
        <w:ind w:left="0"/>
      </w:pPr>
      <w:hyperlink w:anchor="_Toc_s012" w:history="1">
        <w:r>
          <w:rPr>
            <w:rFonts w:ascii="Calibri" w:hAnsi="Calibri"/>
            <w:b/>
            <w:color w:val="1B3A5C"/>
            <w:sz w:val="21"/>
          </w:rPr>
          <w:t xml:space="preserve">4. Calendrier — octobre et novembre (jusqu'à la production)</w:t>
        </w:r>
      </w:hyperlink>
    </w:p>
    <w:p>
      <w:pPr>
        <w:spacing w:before="0" w:after="30"/>
        <w:ind w:left="340"/>
      </w:pPr>
      <w:hyperlink w:anchor="_Toc_s013" w:history="1">
        <w:r>
          <w:rPr>
            <w:rFonts w:ascii="Calibri" w:hAnsi="Calibri"/>
            <w:color w:val="333333"/>
            <w:sz w:val="19"/>
          </w:rPr>
          <w:t xml:space="preserve">Octobre · semaines 1 à 4 — Exploitation du pilote et achèvement</w:t>
        </w:r>
      </w:hyperlink>
    </w:p>
    <w:p>
      <w:pPr>
        <w:spacing w:before="0" w:after="30"/>
        <w:ind w:left="340"/>
      </w:pPr>
      <w:hyperlink w:anchor="_Toc_s014" w:history="1">
        <w:r>
          <w:rPr>
            <w:rFonts w:ascii="Calibri" w:hAnsi="Calibri"/>
            <w:color w:val="333333"/>
            <w:sz w:val="19"/>
          </w:rPr>
          <w:t xml:space="preserve">Novembre — Lancement en production</w:t>
        </w:r>
      </w:hyperlink>
    </w:p>
    <w:p>
      <w:pPr>
        <w:spacing w:before="100" w:after="30"/>
        <w:ind w:left="0"/>
      </w:pPr>
      <w:hyperlink w:anchor="_Toc_s015" w:history="1">
        <w:r>
          <w:rPr>
            <w:rFonts w:ascii="Calibri" w:hAnsi="Calibri"/>
            <w:b/>
            <w:color w:val="1B3A5C"/>
            <w:sz w:val="21"/>
          </w:rPr>
          <w:t xml:space="preserve">5. Critères de réception et jalons go/no-go</w:t>
        </w:r>
      </w:hyperlink>
    </w:p>
    <w:p>
      <w:pPr>
        <w:spacing w:before="0" w:after="30"/>
        <w:ind w:left="340"/>
      </w:pPr>
      <w:hyperlink w:anchor="_Toc_s016" w:history="1">
        <w:r>
          <w:rPr>
            <w:rFonts w:ascii="Calibri" w:hAnsi="Calibri"/>
            <w:color w:val="333333"/>
            <w:sz w:val="19"/>
          </w:rPr>
          <w:t xml:space="preserve">5.1 Scénarios de réception en recette (M2)</w:t>
        </w:r>
      </w:hyperlink>
    </w:p>
    <w:p>
      <w:pPr>
        <w:spacing w:before="0" w:after="30"/>
        <w:ind w:left="340"/>
      </w:pPr>
      <w:hyperlink w:anchor="_Toc_s017" w:history="1">
        <w:r>
          <w:rPr>
            <w:rFonts w:ascii="Calibri" w:hAnsi="Calibri"/>
            <w:color w:val="333333"/>
            <w:sz w:val="19"/>
          </w:rPr>
          <w:t xml:space="preserve">5.2 Jalon G4 — go/no-go du pilote (27 septembre)</w:t>
        </w:r>
      </w:hyperlink>
    </w:p>
    <w:p>
      <w:pPr>
        <w:spacing w:before="0" w:after="30"/>
        <w:ind w:left="340"/>
      </w:pPr>
      <w:hyperlink w:anchor="_Toc_s018" w:history="1">
        <w:r>
          <w:rPr>
            <w:rFonts w:ascii="Calibri" w:hAnsi="Calibri"/>
            <w:color w:val="333333"/>
            <w:sz w:val="19"/>
          </w:rPr>
          <w:t xml:space="preserve">5.3 Jalon M6 — go/no-go de production (28 octobre)</w:t>
        </w:r>
      </w:hyperlink>
    </w:p>
    <w:p>
      <w:pPr>
        <w:spacing w:before="100" w:after="30"/>
        <w:ind w:left="0"/>
      </w:pPr>
      <w:hyperlink w:anchor="_Toc_s019" w:history="1">
        <w:r>
          <w:rPr>
            <w:rFonts w:ascii="Calibri" w:hAnsi="Calibri"/>
            <w:b/>
            <w:color w:val="1B3A5C"/>
            <w:sz w:val="21"/>
          </w:rPr>
          <w:t xml:space="preserve">6. Dépendances vis-à-vis de SUNU — datées</w:t>
        </w:r>
      </w:hyperlink>
    </w:p>
    <w:p>
      <w:pPr>
        <w:spacing w:before="100" w:after="30"/>
        <w:ind w:left="0"/>
      </w:pPr>
      <w:hyperlink w:anchor="_Toc_s020" w:history="1">
        <w:r>
          <w:rPr>
            <w:rFonts w:ascii="Calibri" w:hAnsi="Calibri"/>
            <w:b/>
            <w:color w:val="1B3A5C"/>
            <w:sz w:val="21"/>
          </w:rPr>
          <w:t xml:space="preserve">7. Registre des risques</w:t>
        </w:r>
      </w:hyperlink>
    </w:p>
    <w:p>
      <w:pPr>
        <w:spacing w:before="100" w:after="30"/>
        <w:ind w:left="0"/>
      </w:pPr>
      <w:hyperlink w:anchor="_Toc_s021" w:history="1">
        <w:r>
          <w:rPr>
            <w:rFonts w:ascii="Calibri" w:hAnsi="Calibri"/>
            <w:b/>
            <w:color w:val="1B3A5C"/>
            <w:sz w:val="21"/>
          </w:rPr>
          <w:t xml:space="preserve">8. Responsabilités (RACI)</w:t>
        </w:r>
      </w:hyperlink>
    </w:p>
    <w:p>
      <w:pPr>
        <w:spacing w:before="100" w:after="30"/>
        <w:ind w:left="0"/>
      </w:pPr>
      <w:hyperlink w:anchor="_Toc_s022" w:history="1">
        <w:r>
          <w:rPr>
            <w:rFonts w:ascii="Calibri" w:hAnsi="Calibri"/>
            <w:b/>
            <w:color w:val="1B3A5C"/>
            <w:sz w:val="21"/>
          </w:rPr>
          <w:t xml:space="preserve">9. Livrables</w:t>
        </w:r>
      </w:hyperlink>
    </w:p>
    <w:p>
      <w:pPr>
        <w:spacing w:before="100" w:after="30"/>
        <w:ind w:left="0"/>
      </w:pPr>
      <w:hyperlink w:anchor="_Toc_s023" w:history="1">
        <w:r>
          <w:rPr>
            <w:rFonts w:ascii="Calibri" w:hAnsi="Calibri"/>
            <w:b/>
            <w:color w:val="1B3A5C"/>
            <w:sz w:val="21"/>
          </w:rPr>
          <w:t xml:space="preserve">10. Modèle de support</w:t>
        </w:r>
      </w:hyperlink>
    </w:p>
    <w:p>
      <w:pPr>
        <w:spacing w:before="100" w:after="30"/>
        <w:ind w:left="0"/>
      </w:pPr>
      <w:hyperlink w:anchor="_Toc_s024" w:history="1">
        <w:r>
          <w:rPr>
            <w:rFonts w:ascii="Calibri" w:hAnsi="Calibri"/>
            <w:b/>
            <w:color w:val="1B3A5C"/>
            <w:sz w:val="21"/>
          </w:rPr>
          <w:t xml:space="preserve">11. Retour arrière</w:t>
        </w:r>
      </w:hyperlink>
    </w:p>
    <w:p>
      <w:pPr>
        <w:spacing w:before="100" w:after="30"/>
        <w:ind w:left="0"/>
      </w:pPr>
      <w:hyperlink w:anchor="_Toc_s025" w:history="1">
        <w:r>
          <w:rPr>
            <w:rFonts w:ascii="Calibri" w:hAnsi="Calibri"/>
            <w:b/>
            <w:color w:val="1B3A5C"/>
            <w:sz w:val="21"/>
          </w:rPr>
          <w:t xml:space="preserve">12. Feuille de route post-lancement</w:t>
        </w:r>
      </w:hyperlink>
    </w:p>
    <w:p>
      <w:pPr>
        <w:spacing w:before="100" w:after="30"/>
        <w:ind w:left="0"/>
      </w:pPr>
      <w:hyperlink w:anchor="_Toc_s026" w:history="1">
        <w:r>
          <w:rPr>
            <w:rFonts w:ascii="Calibri" w:hAnsi="Calibri"/>
            <w:b/>
            <w:color w:val="1B3A5C"/>
            <w:sz w:val="21"/>
          </w:rPr>
          <w:t xml:space="preserve">13. Synthèse — le calendrier en un coup d'œil</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Objectifs et dates fixes</w:t>
      </w:r>
      <w:bookmarkEnd w:id="10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Jalon</w:t>
            </w:r>
          </w:p>
        </w:tc>
        <w:tc>
          <w:tcPr>
            <w:tcW w:type="dxa" w:w="2835"/>
            <w:shd w:val="clear" w:fill="1B3A5C"/>
          </w:tcPr>
          <w:p>
            <w:pPr>
              <w:spacing w:before="60" w:after="60"/>
            </w:pPr>
            <w:r>
              <w:rPr>
                <w:rFonts w:ascii="Calibri" w:hAnsi="Calibri"/>
                <w:b/>
                <w:color w:val="FFFFFF"/>
                <w:sz w:val="17"/>
              </w:rPr>
              <w:t>Date</w:t>
            </w:r>
          </w:p>
        </w:tc>
        <w:tc>
          <w:tcPr>
            <w:tcW w:type="dxa" w:w="2835"/>
            <w:shd w:val="clear" w:fill="1B3A5C"/>
          </w:tcPr>
          <w:p>
            <w:pPr>
              <w:spacing w:before="60" w:after="60"/>
            </w:pPr>
            <w:r>
              <w:rPr>
                <w:rFonts w:ascii="Calibri" w:hAnsi="Calibri"/>
                <w:b/>
                <w:color w:val="FFFFFF"/>
                <w:sz w:val="17"/>
              </w:rPr>
              <w:t>Origine</w:t>
            </w:r>
          </w:p>
        </w:tc>
      </w:tr>
      <w:tr>
        <w:tc>
          <w:tcPr>
            <w:tcW w:type="dxa" w:w="907"/>
          </w:tcPr>
          <w:p>
            <w:pPr>
              <w:spacing w:before="40" w:after="40"/>
            </w:pPr>
            <w:r>
              <w:rPr>
                <w:rFonts w:ascii="Calibri" w:hAnsi="Calibri"/>
                <w:b/>
                <w:i w:val="0"/>
                <w:color w:val="333333"/>
                <w:sz w:val="17"/>
              </w:rPr>
              <w:t>M0</w:t>
            </w:r>
          </w:p>
        </w:tc>
        <w:tc>
          <w:tcPr>
            <w:tcW w:type="dxa" w:w="2835"/>
          </w:tcPr>
          <w:p>
            <w:pPr>
              <w:spacing w:before="40" w:after="40"/>
            </w:pPr>
            <w:r>
              <w:rPr>
                <w:rFonts w:ascii="Calibri" w:hAnsi="Calibri"/>
                <w:b w:val="0"/>
                <w:i w:val="0"/>
                <w:color w:val="333333"/>
                <w:sz w:val="17"/>
              </w:rPr>
              <w:t>Documentation projet remise à SUNU pour revue</w:t>
            </w:r>
          </w:p>
        </w:tc>
        <w:tc>
          <w:tcPr>
            <w:tcW w:type="dxa" w:w="2835"/>
          </w:tcPr>
          <w:p>
            <w:pPr>
              <w:spacing w:before="40" w:after="40"/>
            </w:pPr>
            <w:r>
              <w:rPr>
                <w:rFonts w:ascii="Calibri" w:hAnsi="Calibri"/>
                <w:b/>
                <w:i w:val="0"/>
                <w:color w:val="333333"/>
                <w:sz w:val="17"/>
              </w:rPr>
              <w:t>début septembre 2026</w:t>
            </w:r>
          </w:p>
        </w:tc>
        <w:tc>
          <w:tcPr>
            <w:tcW w:type="dxa" w:w="2835"/>
          </w:tcPr>
          <w:p>
            <w:pPr>
              <w:spacing w:before="40" w:after="40"/>
            </w:pPr>
            <w:r>
              <w:rPr>
                <w:rFonts w:ascii="Calibri" w:hAnsi="Calibri"/>
                <w:b w:val="0"/>
                <w:i w:val="0"/>
                <w:color w:val="333333"/>
                <w:sz w:val="17"/>
              </w:rPr>
              <w:t>Le présent ensemble de quatre documents</w:t>
            </w:r>
          </w:p>
        </w:tc>
      </w:tr>
      <w:tr>
        <w:tc>
          <w:tcPr>
            <w:tcW w:type="dxa" w:w="907"/>
            <w:shd w:val="clear" w:fill="F2F6FA"/>
          </w:tcPr>
          <w:p>
            <w:pPr>
              <w:spacing w:before="40" w:after="40"/>
            </w:pPr>
            <w:r>
              <w:rPr>
                <w:rFonts w:ascii="Calibri" w:hAnsi="Calibri"/>
                <w:b/>
                <w:i w:val="0"/>
                <w:color w:val="333333"/>
                <w:sz w:val="17"/>
              </w:rPr>
              <w:t>M1</w:t>
            </w:r>
          </w:p>
        </w:tc>
        <w:tc>
          <w:tcPr>
            <w:tcW w:type="dxa" w:w="2835"/>
            <w:shd w:val="clear" w:fill="F2F6FA"/>
          </w:tcPr>
          <w:p>
            <w:pPr>
              <w:spacing w:before="40" w:after="40"/>
            </w:pPr>
            <w:r>
              <w:rPr>
                <w:rFonts w:ascii="Calibri" w:hAnsi="Calibri"/>
                <w:b w:val="0"/>
                <w:i w:val="0"/>
                <w:color w:val="333333"/>
                <w:sz w:val="17"/>
              </w:rPr>
              <w:t>Environnement de recette mis à disposition de SUNU</w:t>
            </w:r>
          </w:p>
        </w:tc>
        <w:tc>
          <w:tcPr>
            <w:tcW w:type="dxa" w:w="2835"/>
            <w:shd w:val="clear" w:fill="F2F6FA"/>
          </w:tcPr>
          <w:p>
            <w:pPr>
              <w:spacing w:before="40" w:after="40"/>
            </w:pPr>
            <w:r>
              <w:rPr>
                <w:rFonts w:ascii="Calibri" w:hAnsi="Calibri"/>
                <w:b/>
                <w:i w:val="0"/>
                <w:color w:val="333333"/>
                <w:sz w:val="17"/>
              </w:rPr>
              <w:t>14 septembre 2026</w:t>
            </w:r>
          </w:p>
        </w:tc>
        <w:tc>
          <w:tcPr>
            <w:tcW w:type="dxa" w:w="2835"/>
            <w:shd w:val="clear" w:fill="F2F6FA"/>
          </w:tcPr>
          <w:p>
            <w:pPr>
              <w:spacing w:before="40" w:after="40"/>
            </w:pPr>
            <w:r>
              <w:rPr>
                <w:rFonts w:ascii="Calibri" w:hAnsi="Calibri"/>
                <w:b w:val="0"/>
                <w:i w:val="0"/>
                <w:color w:val="333333"/>
                <w:sz w:val="17"/>
              </w:rPr>
              <w:t>Déduit — prérequis de M2</w:t>
            </w:r>
          </w:p>
        </w:tc>
      </w:tr>
      <w:tr>
        <w:tc>
          <w:tcPr>
            <w:tcW w:type="dxa" w:w="907"/>
          </w:tcPr>
          <w:p>
            <w:pPr>
              <w:spacing w:before="40" w:after="40"/>
            </w:pPr>
            <w:r>
              <w:rPr>
                <w:rFonts w:ascii="Calibri" w:hAnsi="Calibri"/>
                <w:b/>
                <w:i w:val="0"/>
                <w:color w:val="333333"/>
                <w:sz w:val="17"/>
              </w:rPr>
              <w:t>M2</w:t>
            </w:r>
          </w:p>
        </w:tc>
        <w:tc>
          <w:tcPr>
            <w:tcW w:type="dxa" w:w="2835"/>
          </w:tcPr>
          <w:p>
            <w:pPr>
              <w:spacing w:before="40" w:after="40"/>
            </w:pPr>
            <w:r>
              <w:rPr>
                <w:rFonts w:ascii="Calibri" w:hAnsi="Calibri"/>
                <w:b w:val="0"/>
                <w:i w:val="0"/>
                <w:color w:val="333333"/>
                <w:sz w:val="17"/>
              </w:rPr>
              <w:t>Tests de réception achevés et signés</w:t>
            </w:r>
          </w:p>
        </w:tc>
        <w:tc>
          <w:tcPr>
            <w:tcW w:type="dxa" w:w="2835"/>
          </w:tcPr>
          <w:p>
            <w:pPr>
              <w:spacing w:before="40" w:after="40"/>
            </w:pPr>
            <w:r>
              <w:rPr>
                <w:rFonts w:ascii="Calibri" w:hAnsi="Calibri"/>
                <w:b/>
                <w:i w:val="0"/>
                <w:color w:val="333333"/>
                <w:sz w:val="17"/>
              </w:rPr>
              <w:t>25 septembre 2026</w:t>
            </w:r>
          </w:p>
        </w:tc>
        <w:tc>
          <w:tcPr>
            <w:tcW w:type="dxa" w:w="2835"/>
          </w:tcPr>
          <w:p>
            <w:pPr>
              <w:spacing w:before="40" w:after="40"/>
            </w:pPr>
            <w:r>
              <w:rPr>
                <w:rFonts w:ascii="Calibri" w:hAnsi="Calibri"/>
                <w:b w:val="0"/>
                <w:i w:val="0"/>
                <w:color w:val="333333"/>
                <w:sz w:val="17"/>
              </w:rPr>
              <w:t>Déduit — prérequis de M3</w:t>
            </w:r>
          </w:p>
        </w:tc>
      </w:tr>
      <w:tr>
        <w:tc>
          <w:tcPr>
            <w:tcW w:type="dxa" w:w="907"/>
            <w:shd w:val="clear" w:fill="F2F6FA"/>
          </w:tcPr>
          <w:p>
            <w:pPr>
              <w:spacing w:before="40" w:after="40"/>
            </w:pPr>
            <w:r>
              <w:rPr>
                <w:rFonts w:ascii="Calibri" w:hAnsi="Calibri"/>
                <w:b/>
                <w:i w:val="0"/>
                <w:color w:val="333333"/>
                <w:sz w:val="17"/>
              </w:rPr>
              <w:t>M3</w:t>
            </w:r>
          </w:p>
        </w:tc>
        <w:tc>
          <w:tcPr>
            <w:tcW w:type="dxa" w:w="2835"/>
            <w:shd w:val="clear" w:fill="F2F6FA"/>
          </w:tcPr>
          <w:p>
            <w:pPr>
              <w:spacing w:before="40" w:after="40"/>
            </w:pPr>
            <w:r>
              <w:rPr>
                <w:rFonts w:ascii="Calibri" w:hAnsi="Calibri"/>
                <w:b/>
                <w:i w:val="0"/>
                <w:color w:val="333333"/>
                <w:sz w:val="17"/>
              </w:rPr>
              <w:t>Déploiement initial (pilote) en service sur le terrain</w:t>
            </w:r>
          </w:p>
        </w:tc>
        <w:tc>
          <w:tcPr>
            <w:tcW w:type="dxa" w:w="2835"/>
            <w:shd w:val="clear" w:fill="F2F6FA"/>
          </w:tcPr>
          <w:p>
            <w:pPr>
              <w:spacing w:before="40" w:after="40"/>
            </w:pPr>
            <w:r>
              <w:rPr>
                <w:rFonts w:ascii="Calibri" w:hAnsi="Calibri"/>
                <w:b/>
                <w:i w:val="0"/>
                <w:color w:val="333333"/>
                <w:sz w:val="17"/>
              </w:rPr>
              <w:t>30 septembre 2026</w:t>
            </w:r>
          </w:p>
        </w:tc>
        <w:tc>
          <w:tcPr>
            <w:tcW w:type="dxa" w:w="2835"/>
            <w:shd w:val="clear" w:fill="F2F6FA"/>
          </w:tcPr>
          <w:p>
            <w:pPr>
              <w:spacing w:before="40" w:after="40"/>
            </w:pPr>
            <w:r>
              <w:rPr>
                <w:rFonts w:ascii="Calibri" w:hAnsi="Calibri"/>
                <w:b/>
                <w:i w:val="0"/>
                <w:color w:val="333333"/>
                <w:sz w:val="17"/>
              </w:rPr>
              <w:t>SUNU — exigence ferme</w:t>
            </w:r>
          </w:p>
        </w:tc>
      </w:tr>
      <w:tr>
        <w:tc>
          <w:tcPr>
            <w:tcW w:type="dxa" w:w="907"/>
          </w:tcPr>
          <w:p>
            <w:pPr>
              <w:spacing w:before="40" w:after="40"/>
            </w:pPr>
            <w:r>
              <w:rPr>
                <w:rFonts w:ascii="Calibri" w:hAnsi="Calibri"/>
                <w:b/>
                <w:i w:val="0"/>
                <w:color w:val="333333"/>
                <w:sz w:val="17"/>
              </w:rPr>
              <w:t>M4</w:t>
            </w:r>
          </w:p>
        </w:tc>
        <w:tc>
          <w:tcPr>
            <w:tcW w:type="dxa" w:w="2835"/>
          </w:tcPr>
          <w:p>
            <w:pPr>
              <w:spacing w:before="40" w:after="40"/>
            </w:pPr>
            <w:r>
              <w:rPr>
                <w:rFonts w:ascii="Calibri" w:hAnsi="Calibri"/>
                <w:b/>
                <w:i w:val="0"/>
                <w:color w:val="333333"/>
                <w:sz w:val="17"/>
              </w:rPr>
              <w:t>Présentation de la solution à la Direction Générale de SUNU</w:t>
            </w:r>
          </w:p>
        </w:tc>
        <w:tc>
          <w:tcPr>
            <w:tcW w:type="dxa" w:w="2835"/>
          </w:tcPr>
          <w:p>
            <w:pPr>
              <w:spacing w:before="40" w:after="40"/>
            </w:pPr>
            <w:r>
              <w:rPr>
                <w:rFonts w:ascii="Calibri" w:hAnsi="Calibri"/>
                <w:b/>
                <w:i w:val="0"/>
                <w:color w:val="333333"/>
                <w:sz w:val="17"/>
              </w:rPr>
              <w:t>1er octobre 2026</w:t>
            </w:r>
          </w:p>
        </w:tc>
        <w:tc>
          <w:tcPr>
            <w:tcW w:type="dxa" w:w="2835"/>
          </w:tcPr>
          <w:p>
            <w:pPr>
              <w:spacing w:before="40" w:after="40"/>
            </w:pPr>
            <w:r>
              <w:rPr>
                <w:rFonts w:ascii="Calibri" w:hAnsi="Calibri"/>
                <w:b/>
                <w:i w:val="0"/>
                <w:color w:val="333333"/>
                <w:sz w:val="17"/>
              </w:rPr>
              <w:t>SUNU — date fixe</w:t>
            </w:r>
          </w:p>
        </w:tc>
      </w:tr>
      <w:tr>
        <w:tc>
          <w:tcPr>
            <w:tcW w:type="dxa" w:w="907"/>
            <w:shd w:val="clear" w:fill="F2F6FA"/>
          </w:tcPr>
          <w:p>
            <w:pPr>
              <w:spacing w:before="40" w:after="40"/>
            </w:pPr>
            <w:r>
              <w:rPr>
                <w:rFonts w:ascii="Calibri" w:hAnsi="Calibri"/>
                <w:b/>
                <w:i w:val="0"/>
                <w:color w:val="333333"/>
                <w:sz w:val="17"/>
              </w:rPr>
              <w:t>M5</w:t>
            </w:r>
          </w:p>
        </w:tc>
        <w:tc>
          <w:tcPr>
            <w:tcW w:type="dxa" w:w="2835"/>
            <w:shd w:val="clear" w:fill="F2F6FA"/>
          </w:tcPr>
          <w:p>
            <w:pPr>
              <w:spacing w:before="40" w:after="40"/>
            </w:pPr>
            <w:r>
              <w:rPr>
                <w:rFonts w:ascii="Calibri" w:hAnsi="Calibri"/>
                <w:b w:val="0"/>
                <w:i w:val="0"/>
                <w:color w:val="333333"/>
                <w:sz w:val="17"/>
              </w:rPr>
              <w:t>Période d'exploitation du pilote, corrections, durcissement</w:t>
            </w:r>
          </w:p>
        </w:tc>
        <w:tc>
          <w:tcPr>
            <w:tcW w:type="dxa" w:w="2835"/>
            <w:shd w:val="clear" w:fill="F2F6FA"/>
          </w:tcPr>
          <w:p>
            <w:pPr>
              <w:spacing w:before="40" w:after="40"/>
            </w:pPr>
            <w:r>
              <w:rPr>
                <w:rFonts w:ascii="Calibri" w:hAnsi="Calibri"/>
                <w:b w:val="0"/>
                <w:i w:val="0"/>
                <w:color w:val="333333"/>
                <w:sz w:val="17"/>
              </w:rPr>
              <w:t>1er–31 octobre 2026</w:t>
            </w:r>
          </w:p>
        </w:tc>
        <w:tc>
          <w:tcPr>
            <w:tcW w:type="dxa" w:w="2835"/>
            <w:shd w:val="clear" w:fill="F2F6FA"/>
          </w:tcPr>
          <w:p>
            <w:pPr>
              <w:spacing w:before="40" w:after="40"/>
            </w:pPr>
            <w:r>
              <w:rPr>
                <w:rFonts w:ascii="Calibri" w:hAnsi="Calibri"/>
                <w:b w:val="0"/>
                <w:i w:val="0"/>
                <w:color w:val="333333"/>
                <w:sz w:val="17"/>
              </w:rPr>
              <w:t>Déduit</w:t>
            </w:r>
          </w:p>
        </w:tc>
      </w:tr>
      <w:tr>
        <w:tc>
          <w:tcPr>
            <w:tcW w:type="dxa" w:w="907"/>
          </w:tcPr>
          <w:p>
            <w:pPr>
              <w:spacing w:before="40" w:after="40"/>
            </w:pPr>
            <w:r>
              <w:rPr>
                <w:rFonts w:ascii="Calibri" w:hAnsi="Calibri"/>
                <w:b/>
                <w:i w:val="0"/>
                <w:color w:val="333333"/>
                <w:sz w:val="17"/>
              </w:rPr>
              <w:t>M6</w:t>
            </w:r>
          </w:p>
        </w:tc>
        <w:tc>
          <w:tcPr>
            <w:tcW w:type="dxa" w:w="2835"/>
          </w:tcPr>
          <w:p>
            <w:pPr>
              <w:spacing w:before="40" w:after="40"/>
            </w:pPr>
            <w:r>
              <w:rPr>
                <w:rFonts w:ascii="Calibri" w:hAnsi="Calibri"/>
                <w:b w:val="0"/>
                <w:i w:val="0"/>
                <w:color w:val="333333"/>
                <w:sz w:val="17"/>
              </w:rPr>
              <w:t>Décision de passage en production (go/no-go)</w:t>
            </w:r>
          </w:p>
        </w:tc>
        <w:tc>
          <w:tcPr>
            <w:tcW w:type="dxa" w:w="2835"/>
          </w:tcPr>
          <w:p>
            <w:pPr>
              <w:spacing w:before="40" w:after="40"/>
            </w:pPr>
            <w:r>
              <w:rPr>
                <w:rFonts w:ascii="Calibri" w:hAnsi="Calibri"/>
                <w:b/>
                <w:i w:val="0"/>
                <w:color w:val="333333"/>
                <w:sz w:val="17"/>
              </w:rPr>
              <w:t>28 octobre 2026</w:t>
            </w:r>
          </w:p>
        </w:tc>
        <w:tc>
          <w:tcPr>
            <w:tcW w:type="dxa" w:w="2835"/>
          </w:tcPr>
          <w:p>
            <w:pPr>
              <w:spacing w:before="40" w:after="40"/>
            </w:pPr>
            <w:r>
              <w:rPr>
                <w:rFonts w:ascii="Calibri" w:hAnsi="Calibri"/>
                <w:b w:val="0"/>
                <w:i w:val="0"/>
                <w:color w:val="333333"/>
                <w:sz w:val="17"/>
              </w:rPr>
              <w:t>Déduit</w:t>
            </w:r>
          </w:p>
        </w:tc>
      </w:tr>
      <w:tr>
        <w:tc>
          <w:tcPr>
            <w:tcW w:type="dxa" w:w="907"/>
            <w:shd w:val="clear" w:fill="F2F6FA"/>
          </w:tcPr>
          <w:p>
            <w:pPr>
              <w:spacing w:before="40" w:after="40"/>
            </w:pPr>
            <w:r>
              <w:rPr>
                <w:rFonts w:ascii="Calibri" w:hAnsi="Calibri"/>
                <w:b/>
                <w:i w:val="0"/>
                <w:color w:val="333333"/>
                <w:sz w:val="17"/>
              </w:rPr>
              <w:t>M7</w:t>
            </w:r>
          </w:p>
        </w:tc>
        <w:tc>
          <w:tcPr>
            <w:tcW w:type="dxa" w:w="2835"/>
            <w:shd w:val="clear" w:fill="F2F6FA"/>
          </w:tcPr>
          <w:p>
            <w:pPr>
              <w:spacing w:before="40" w:after="40"/>
            </w:pPr>
            <w:r>
              <w:rPr>
                <w:rFonts w:ascii="Calibri" w:hAnsi="Calibri"/>
                <w:b/>
                <w:i w:val="0"/>
                <w:color w:val="333333"/>
                <w:sz w:val="17"/>
              </w:rPr>
              <w:t>Lancement effectif en production</w:t>
            </w:r>
          </w:p>
        </w:tc>
        <w:tc>
          <w:tcPr>
            <w:tcW w:type="dxa" w:w="2835"/>
            <w:shd w:val="clear" w:fill="F2F6FA"/>
          </w:tcPr>
          <w:p>
            <w:pPr>
              <w:spacing w:before="40" w:after="40"/>
            </w:pPr>
            <w:r>
              <w:rPr>
                <w:rFonts w:ascii="Calibri" w:hAnsi="Calibri"/>
                <w:b/>
                <w:i w:val="0"/>
                <w:color w:val="333333"/>
                <w:sz w:val="17"/>
              </w:rPr>
              <w:t>début novembre 2026</w:t>
            </w:r>
          </w:p>
        </w:tc>
        <w:tc>
          <w:tcPr>
            <w:tcW w:type="dxa" w:w="2835"/>
            <w:shd w:val="clear" w:fill="F2F6FA"/>
          </w:tcPr>
          <w:p>
            <w:pPr>
              <w:spacing w:before="40" w:after="40"/>
            </w:pPr>
            <w:r>
              <w:rPr>
                <w:rFonts w:ascii="Calibri" w:hAnsi="Calibri"/>
                <w:b/>
                <w:i w:val="0"/>
                <w:color w:val="333333"/>
                <w:sz w:val="17"/>
              </w:rPr>
              <w:t>SUNU — exigence ferme</w:t>
            </w:r>
          </w:p>
        </w:tc>
      </w:tr>
    </w:tbl>
    <w:p>
      <w:pPr>
        <w:spacing w:after="40"/>
      </w:pPr>
    </w:p>
    <w:p>
      <w:r>
        <w:rPr>
          <w:rFonts w:ascii="Calibri" w:hAnsi="Calibri"/>
          <w:b/>
          <w:i w:val="0"/>
          <w:color w:val="333333"/>
          <w:sz w:val="20"/>
        </w:rPr>
        <w:t>M3 et M4 sont à trois et quatre semaines.</w:t>
      </w:r>
      <w:r>
        <w:rPr>
          <w:rFonts w:ascii="Calibri" w:hAnsi="Calibri"/>
          <w:b w:val="0"/>
          <w:i w:val="0"/>
          <w:color w:val="333333"/>
          <w:sz w:val="20"/>
        </w:rPr>
        <w:t xml:space="preserve"> Le présent plan est construit à rebours de ces dates et énonce clairement ce qui doit être vrai pour qu'elles tiennent.</w:t>
      </w:r>
    </w:p>
    <w:p>
      <w:pPr>
        <w:pStyle w:val="Heading1"/>
        <w:pageBreakBefore/>
        <w:spacing w:before="360" w:after="80"/>
        <w:keepNext/>
        <w:pBdr>
          <w:bottom w:val="single" w:sz="8" w:space="6" w:color="1B3A5C"/>
        </w:pBdr>
      </w:pPr>
      <w:bookmarkStart w:id="102" w:name="_Toc_s001"/>
      <w:r>
        <w:rPr>
          <w:rFonts w:ascii="Calibri" w:hAnsi="Calibri"/>
          <w:b/>
          <w:color w:val="1B3A5C"/>
          <w:sz w:val="30"/>
        </w:rPr>
        <w:t>2. Appréciation honnête du calendrier</w:t>
      </w:r>
      <w:bookmarkEnd w:id="102"/>
    </w:p>
    <w:p>
      <w:r>
        <w:rPr>
          <w:rFonts w:ascii="Calibri" w:hAnsi="Calibri"/>
          <w:b w:val="0"/>
          <w:i w:val="0"/>
          <w:color w:val="333333"/>
          <w:sz w:val="20"/>
        </w:rPr>
        <w:t>SUNU a souligné « l'importance du strict respect du calendrier pour le déploiement initial ». Cela mérite une réponse franche plutôt qu'optimiste.</w:t>
      </w:r>
    </w:p>
    <w:p>
      <w:pPr>
        <w:pStyle w:val="Heading2"/>
        <w:spacing w:before="280" w:after="80"/>
        <w:keepNext/>
      </w:pPr>
      <w:bookmarkStart w:id="103" w:name="_Toc_s002"/>
      <w:r>
        <w:rPr>
          <w:rFonts w:ascii="Calibri" w:hAnsi="Calibri"/>
          <w:b/>
          <w:color w:val="1B3A5C"/>
          <w:sz w:val="24"/>
        </w:rPr>
        <w:t>2.1 Ce qui rend la date atteignable</w:t>
      </w:r>
      <w:bookmarkEnd w:id="103"/>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La solution est une </w:t>
      </w:r>
      <w:r>
        <w:rPr>
          <w:rFonts w:ascii="Calibri" w:hAnsi="Calibri"/>
          <w:b/>
          <w:i w:val="0"/>
          <w:color w:val="333333"/>
          <w:sz w:val="20"/>
        </w:rPr>
        <w:t>personnalisation d'une plateforme déjà en production</w:t>
      </w:r>
      <w:r>
        <w:rPr>
          <w:rFonts w:ascii="Calibri" w:hAnsi="Calibri"/>
          <w:b w:val="0"/>
          <w:i w:val="0"/>
          <w:color w:val="333333"/>
          <w:sz w:val="20"/>
        </w:rPr>
        <w:t>, non une construction nouvelle (Doc 1 §2.1, §4). Les agents, les terminaux, les rôles et habilitations, les clients, les cartes avec leur cycle de vie complet, les transactions avec frais et commissions, la piste d'audit, le SMS, les restitutions avec export Excel, le fonctionnement hors ligne du TPE, l'impression des reçus et la lecture/écriture NFC des cartes existent et fonctionnent aujourd'hui.</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La plateforme comporte déjà un </w:t>
      </w:r>
      <w:r>
        <w:rPr>
          <w:rFonts w:ascii="Calibri" w:hAnsi="Calibri"/>
          <w:b/>
          <w:i w:val="0"/>
          <w:color w:val="333333"/>
          <w:sz w:val="20"/>
        </w:rPr>
        <w:t>module d'affiliation volontaire et de cotisations périodiques</w:t>
      </w:r>
      <w:r>
        <w:rPr>
          <w:rFonts w:ascii="Calibri" w:hAnsi="Calibri"/>
          <w:b w:val="0"/>
          <w:i w:val="0"/>
          <w:color w:val="333333"/>
          <w:sz w:val="20"/>
        </w:rPr>
        <w:t xml:space="preserve"> structurellement identique au modèle proposition → police → prime de SUNU. Il s'agit d'une adaptation, non d'une invention.</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Le pilote porte délibérément sur </w:t>
      </w:r>
      <w:r>
        <w:rPr>
          <w:rFonts w:ascii="Calibri" w:hAnsi="Calibri"/>
          <w:b/>
          <w:i w:val="0"/>
          <w:color w:val="333333"/>
          <w:sz w:val="20"/>
        </w:rPr>
        <w:t>15 terminaux dans un périmètre maîtrisé</w:t>
      </w:r>
      <w:r>
        <w:rPr>
          <w:rFonts w:ascii="Calibri" w:hAnsi="Calibri"/>
          <w:b w:val="0"/>
          <w:i w:val="0"/>
          <w:color w:val="333333"/>
          <w:sz w:val="20"/>
        </w:rPr>
        <w:t>, non sur un déploiement national.</w:t>
      </w:r>
    </w:p>
    <w:p>
      <w:pPr>
        <w:pStyle w:val="Heading2"/>
        <w:spacing w:before="280" w:after="80"/>
        <w:keepNext/>
      </w:pPr>
      <w:bookmarkStart w:id="104" w:name="_Toc_s003"/>
      <w:r>
        <w:rPr>
          <w:rFonts w:ascii="Calibri" w:hAnsi="Calibri"/>
          <w:b/>
          <w:color w:val="1B3A5C"/>
          <w:sz w:val="24"/>
        </w:rPr>
        <w:t>2.2 Ce qui menace réellement la date</w:t>
      </w:r>
      <w:bookmarkEnd w:id="10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Menace</w:t>
            </w:r>
          </w:p>
        </w:tc>
        <w:tc>
          <w:tcPr>
            <w:tcW w:type="dxa" w:w="2835"/>
            <w:shd w:val="clear" w:fill="1B3A5C"/>
          </w:tcPr>
          <w:p>
            <w:pPr>
              <w:spacing w:before="60" w:after="60"/>
            </w:pPr>
            <w:r>
              <w:rPr>
                <w:rFonts w:ascii="Calibri" w:hAnsi="Calibri"/>
                <w:b/>
                <w:color w:val="FFFFFF"/>
                <w:sz w:val="17"/>
              </w:rPr>
              <w:t>Nature</w:t>
            </w:r>
          </w:p>
        </w:tc>
        <w:tc>
          <w:tcPr>
            <w:tcW w:type="dxa" w:w="2835"/>
            <w:shd w:val="clear" w:fill="1B3A5C"/>
          </w:tcPr>
          <w:p>
            <w:pPr>
              <w:spacing w:before="60" w:after="60"/>
            </w:pPr>
            <w:r>
              <w:rPr>
                <w:rFonts w:ascii="Calibri" w:hAnsi="Calibri"/>
                <w:b/>
                <w:color w:val="FFFFFF"/>
                <w:sz w:val="17"/>
              </w:rPr>
              <w:t>Responsable</w:t>
            </w:r>
          </w:p>
        </w:tc>
      </w:tr>
      <w:tr>
        <w:tc>
          <w:tcPr>
            <w:tcW w:type="dxa" w:w="907"/>
          </w:tcPr>
          <w:p>
            <w:pPr>
              <w:spacing w:before="40" w:after="40"/>
            </w:pPr>
            <w:r>
              <w:rPr>
                <w:rFonts w:ascii="Calibri" w:hAnsi="Calibri"/>
                <w:b/>
                <w:i w:val="0"/>
                <w:color w:val="333333"/>
                <w:sz w:val="17"/>
              </w:rPr>
              <w:t>1</w:t>
            </w:r>
          </w:p>
        </w:tc>
        <w:tc>
          <w:tcPr>
            <w:tcW w:type="dxa" w:w="2835"/>
          </w:tcPr>
          <w:p>
            <w:pPr>
              <w:spacing w:before="40" w:after="40"/>
            </w:pPr>
            <w:r>
              <w:rPr>
                <w:rFonts w:ascii="Calibri" w:hAnsi="Calibri"/>
                <w:b/>
                <w:i w:val="0"/>
                <w:color w:val="333333"/>
                <w:sz w:val="17"/>
              </w:rPr>
              <w:t>Approvisionnement matériel</w:t>
            </w:r>
            <w:r>
              <w:rPr>
                <w:rFonts w:ascii="Calibri" w:hAnsi="Calibri"/>
                <w:b w:val="0"/>
                <w:i w:val="0"/>
                <w:color w:val="333333"/>
                <w:sz w:val="17"/>
              </w:rPr>
              <w:t xml:space="preserve"> : 15 terminaux, 5 000 cartes, la station de personnalisation</w:t>
            </w:r>
          </w:p>
        </w:tc>
        <w:tc>
          <w:tcPr>
            <w:tcW w:type="dxa" w:w="2835"/>
          </w:tcPr>
          <w:p>
            <w:pPr>
              <w:spacing w:before="40" w:after="40"/>
            </w:pPr>
            <w:r>
              <w:rPr>
                <w:rFonts w:ascii="Calibri" w:hAnsi="Calibri"/>
                <w:b w:val="0"/>
                <w:i w:val="0"/>
                <w:color w:val="333333"/>
                <w:sz w:val="17"/>
              </w:rPr>
              <w:t>Hors logiciel. Les délais dépendent du fournisseur et de la douane et ne se compriment pas en travaillant davantage</w:t>
            </w:r>
          </w:p>
        </w:tc>
        <w:tc>
          <w:tcPr>
            <w:tcW w:type="dxa" w:w="2835"/>
          </w:tcPr>
          <w:p>
            <w:pPr>
              <w:spacing w:before="40" w:after="40"/>
            </w:pPr>
            <w:r>
              <w:rPr>
                <w:rFonts w:ascii="Calibri" w:hAnsi="Calibri"/>
                <w:b w:val="0"/>
                <w:i w:val="0"/>
                <w:color w:val="333333"/>
                <w:sz w:val="17"/>
              </w:rPr>
              <w:t>SUNU + fournisseur</w:t>
            </w:r>
          </w:p>
        </w:tc>
      </w:tr>
      <w:tr>
        <w:tc>
          <w:tcPr>
            <w:tcW w:type="dxa" w:w="907"/>
            <w:shd w:val="clear" w:fill="F2F6FA"/>
          </w:tcPr>
          <w:p>
            <w:pPr>
              <w:spacing w:before="40" w:after="40"/>
            </w:pPr>
            <w:r>
              <w:rPr>
                <w:rFonts w:ascii="Calibri" w:hAnsi="Calibri"/>
                <w:b/>
                <w:i w:val="0"/>
                <w:color w:val="333333"/>
                <w:sz w:val="17"/>
              </w:rPr>
              <w:t>2</w:t>
            </w:r>
          </w:p>
        </w:tc>
        <w:tc>
          <w:tcPr>
            <w:tcW w:type="dxa" w:w="2835"/>
            <w:shd w:val="clear" w:fill="F2F6FA"/>
          </w:tcPr>
          <w:p>
            <w:pPr>
              <w:spacing w:before="40" w:after="40"/>
            </w:pPr>
            <w:r>
              <w:rPr>
                <w:rFonts w:ascii="Calibri" w:hAnsi="Calibri"/>
                <w:b/>
                <w:i w:val="0"/>
                <w:color w:val="333333"/>
                <w:sz w:val="17"/>
              </w:rPr>
              <w:t>Enrôlement Mobile Money</w:t>
            </w:r>
            <w:r>
              <w:rPr>
                <w:rFonts w:ascii="Calibri" w:hAnsi="Calibri"/>
                <w:b w:val="0"/>
                <w:i w:val="0"/>
                <w:color w:val="333333"/>
                <w:sz w:val="17"/>
              </w:rPr>
              <w:t xml:space="preserve"> auprès des opérateurs ou d'un agrégateur</w:t>
            </w:r>
          </w:p>
        </w:tc>
        <w:tc>
          <w:tcPr>
            <w:tcW w:type="dxa" w:w="2835"/>
            <w:shd w:val="clear" w:fill="F2F6FA"/>
          </w:tcPr>
          <w:p>
            <w:pPr>
              <w:spacing w:before="40" w:after="40"/>
            </w:pPr>
            <w:r>
              <w:rPr>
                <w:rFonts w:ascii="Calibri" w:hAnsi="Calibri"/>
                <w:b w:val="0"/>
                <w:i w:val="0"/>
                <w:color w:val="333333"/>
                <w:sz w:val="17"/>
              </w:rPr>
              <w:t>Processus commercial et KYC chez un tiers ; généralement plusieurs semaines</w:t>
            </w:r>
          </w:p>
        </w:tc>
        <w:tc>
          <w:tcPr>
            <w:tcW w:type="dxa" w:w="2835"/>
            <w:shd w:val="clear" w:fill="F2F6FA"/>
          </w:tcPr>
          <w:p>
            <w:pPr>
              <w:spacing w:before="40" w:after="40"/>
            </w:pPr>
            <w:r>
              <w:rPr>
                <w:rFonts w:ascii="Calibri" w:hAnsi="Calibri"/>
                <w:b w:val="0"/>
                <w:i w:val="0"/>
                <w:color w:val="333333"/>
                <w:sz w:val="17"/>
              </w:rPr>
              <w:t>SUNU</w:t>
            </w:r>
          </w:p>
        </w:tc>
      </w:tr>
      <w:tr>
        <w:tc>
          <w:tcPr>
            <w:tcW w:type="dxa" w:w="907"/>
          </w:tcPr>
          <w:p>
            <w:pPr>
              <w:spacing w:before="40" w:after="40"/>
            </w:pPr>
            <w:r>
              <w:rPr>
                <w:rFonts w:ascii="Calibri" w:hAnsi="Calibri"/>
                <w:b/>
                <w:i w:val="0"/>
                <w:color w:val="333333"/>
                <w:sz w:val="17"/>
              </w:rPr>
              <w:t>3</w:t>
            </w:r>
          </w:p>
        </w:tc>
        <w:tc>
          <w:tcPr>
            <w:tcW w:type="dxa" w:w="2835"/>
          </w:tcPr>
          <w:p>
            <w:pPr>
              <w:spacing w:before="40" w:after="40"/>
            </w:pPr>
            <w:r>
              <w:rPr>
                <w:rFonts w:ascii="Calibri" w:hAnsi="Calibri"/>
                <w:b/>
                <w:i w:val="0"/>
                <w:color w:val="333333"/>
                <w:sz w:val="17"/>
              </w:rPr>
              <w:t>API SUNULIFE</w:t>
            </w:r>
            <w:r>
              <w:rPr>
                <w:rFonts w:ascii="Calibri" w:hAnsi="Calibri"/>
                <w:b w:val="0"/>
                <w:i w:val="0"/>
                <w:color w:val="333333"/>
                <w:sz w:val="17"/>
              </w:rPr>
              <w:t xml:space="preserve"> : existence, documentation, accès de test</w:t>
            </w:r>
          </w:p>
        </w:tc>
        <w:tc>
          <w:tcPr>
            <w:tcW w:type="dxa" w:w="2835"/>
          </w:tcPr>
          <w:p>
            <w:pPr>
              <w:spacing w:before="40" w:after="40"/>
            </w:pPr>
            <w:r>
              <w:rPr>
                <w:rFonts w:ascii="Calibri" w:hAnsi="Calibri"/>
                <w:b w:val="0"/>
                <w:i w:val="0"/>
                <w:color w:val="333333"/>
                <w:sz w:val="17"/>
              </w:rPr>
              <w:t>Inconnue à ce jour (Doc 1, OP-1). Impossible à planifier tant que la réponse manque</w:t>
            </w:r>
          </w:p>
        </w:tc>
        <w:tc>
          <w:tcPr>
            <w:tcW w:type="dxa" w:w="2835"/>
          </w:tcPr>
          <w:p>
            <w:pPr>
              <w:spacing w:before="40" w:after="40"/>
            </w:pPr>
            <w:r>
              <w:rPr>
                <w:rFonts w:ascii="Calibri" w:hAnsi="Calibri"/>
                <w:b w:val="0"/>
                <w:i w:val="0"/>
                <w:color w:val="333333"/>
                <w:sz w:val="17"/>
              </w:rPr>
              <w:t>SUNU / éditeur SUNULIFE</w:t>
            </w:r>
          </w:p>
        </w:tc>
      </w:tr>
      <w:tr>
        <w:tc>
          <w:tcPr>
            <w:tcW w:type="dxa" w:w="907"/>
            <w:shd w:val="clear" w:fill="F2F6FA"/>
          </w:tcPr>
          <w:p>
            <w:pPr>
              <w:spacing w:before="40" w:after="40"/>
            </w:pPr>
            <w:r>
              <w:rPr>
                <w:rFonts w:ascii="Calibri" w:hAnsi="Calibri"/>
                <w:b/>
                <w:i w:val="0"/>
                <w:color w:val="333333"/>
                <w:sz w:val="17"/>
              </w:rPr>
              <w:t>4</w:t>
            </w:r>
          </w:p>
        </w:tc>
        <w:tc>
          <w:tcPr>
            <w:tcW w:type="dxa" w:w="2835"/>
            <w:shd w:val="clear" w:fill="F2F6FA"/>
          </w:tcPr>
          <w:p>
            <w:pPr>
              <w:spacing w:before="40" w:after="40"/>
            </w:pPr>
            <w:r>
              <w:rPr>
                <w:rFonts w:ascii="Calibri" w:hAnsi="Calibri"/>
                <w:b/>
                <w:i w:val="0"/>
                <w:color w:val="333333"/>
                <w:sz w:val="17"/>
              </w:rPr>
              <w:t>Décision d'hébergement et mise à disposition des environnements</w:t>
            </w:r>
          </w:p>
        </w:tc>
        <w:tc>
          <w:tcPr>
            <w:tcW w:type="dxa" w:w="2835"/>
            <w:shd w:val="clear" w:fill="F2F6FA"/>
          </w:tcPr>
          <w:p>
            <w:pPr>
              <w:spacing w:before="40" w:after="40"/>
            </w:pPr>
            <w:r>
              <w:rPr>
                <w:rFonts w:ascii="Calibri" w:hAnsi="Calibri"/>
                <w:b w:val="0"/>
                <w:i w:val="0"/>
                <w:color w:val="333333"/>
                <w:sz w:val="17"/>
              </w:rPr>
              <w:t>Bloque l'environnement de recette, qui bloque tout l'aval</w:t>
            </w:r>
          </w:p>
        </w:tc>
        <w:tc>
          <w:tcPr>
            <w:tcW w:type="dxa" w:w="2835"/>
            <w:shd w:val="clear" w:fill="F2F6FA"/>
          </w:tcPr>
          <w:p>
            <w:pPr>
              <w:spacing w:before="40" w:after="40"/>
            </w:pPr>
            <w:r>
              <w:rPr>
                <w:rFonts w:ascii="Calibri" w:hAnsi="Calibri"/>
                <w:b w:val="0"/>
                <w:i w:val="0"/>
                <w:color w:val="333333"/>
                <w:sz w:val="17"/>
              </w:rPr>
              <w:t>SUNU (Doc 1, OP-5)</w:t>
            </w:r>
          </w:p>
        </w:tc>
      </w:tr>
      <w:tr>
        <w:tc>
          <w:tcPr>
            <w:tcW w:type="dxa" w:w="907"/>
          </w:tcPr>
          <w:p>
            <w:pPr>
              <w:spacing w:before="40" w:after="40"/>
            </w:pPr>
            <w:r>
              <w:rPr>
                <w:rFonts w:ascii="Calibri" w:hAnsi="Calibri"/>
                <w:b/>
                <w:i w:val="0"/>
                <w:color w:val="333333"/>
                <w:sz w:val="17"/>
              </w:rPr>
              <w:t>5</w:t>
            </w:r>
          </w:p>
        </w:tc>
        <w:tc>
          <w:tcPr>
            <w:tcW w:type="dxa" w:w="2835"/>
          </w:tcPr>
          <w:p>
            <w:pPr>
              <w:spacing w:before="40" w:after="40"/>
            </w:pPr>
            <w:r>
              <w:rPr>
                <w:rFonts w:ascii="Calibri" w:hAnsi="Calibri"/>
                <w:b/>
                <w:i w:val="0"/>
                <w:color w:val="333333"/>
                <w:sz w:val="17"/>
              </w:rPr>
              <w:t>Disponibilité de SUNU pour la recette et la formation</w:t>
            </w:r>
            <w:r>
              <w:rPr>
                <w:rFonts w:ascii="Calibri" w:hAnsi="Calibri"/>
                <w:b w:val="0"/>
                <w:i w:val="0"/>
                <w:color w:val="333333"/>
                <w:sz w:val="17"/>
              </w:rPr>
              <w:t xml:space="preserve"> durant les deux dernières semaines de septembre</w:t>
            </w:r>
          </w:p>
        </w:tc>
        <w:tc>
          <w:tcPr>
            <w:tcW w:type="dxa" w:w="2835"/>
          </w:tcPr>
          <w:p>
            <w:pPr>
              <w:spacing w:before="40" w:after="40"/>
            </w:pPr>
            <w:r>
              <w:rPr>
                <w:rFonts w:ascii="Calibri" w:hAnsi="Calibri"/>
                <w:b w:val="0"/>
                <w:i w:val="0"/>
                <w:color w:val="333333"/>
                <w:sz w:val="17"/>
              </w:rPr>
              <w:t>La réception ne peut pas être déléguée au fournisseur</w:t>
            </w:r>
          </w:p>
        </w:tc>
        <w:tc>
          <w:tcPr>
            <w:tcW w:type="dxa" w:w="2835"/>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6</w:t>
            </w:r>
          </w:p>
        </w:tc>
        <w:tc>
          <w:tcPr>
            <w:tcW w:type="dxa" w:w="2835"/>
            <w:shd w:val="clear" w:fill="F2F6FA"/>
          </w:tcPr>
          <w:p>
            <w:pPr>
              <w:spacing w:before="40" w:after="40"/>
            </w:pPr>
            <w:r>
              <w:rPr>
                <w:rFonts w:ascii="Calibri" w:hAnsi="Calibri"/>
                <w:b/>
                <w:i w:val="0"/>
                <w:color w:val="333333"/>
                <w:sz w:val="17"/>
              </w:rPr>
              <w:t>Décision sur la technologie de carte</w:t>
            </w:r>
            <w:r>
              <w:rPr>
                <w:rFonts w:ascii="Calibri" w:hAnsi="Calibri"/>
                <w:b w:val="0"/>
                <w:i w:val="0"/>
                <w:color w:val="333333"/>
                <w:sz w:val="17"/>
              </w:rPr>
              <w:t xml:space="preserve"> (magnétique ou sans contact)</w:t>
            </w:r>
          </w:p>
        </w:tc>
        <w:tc>
          <w:tcPr>
            <w:tcW w:type="dxa" w:w="2835"/>
            <w:shd w:val="clear" w:fill="F2F6FA"/>
          </w:tcPr>
          <w:p>
            <w:pPr>
              <w:spacing w:before="40" w:after="40"/>
            </w:pPr>
            <w:r>
              <w:rPr>
                <w:rFonts w:ascii="Calibri" w:hAnsi="Calibri"/>
                <w:b w:val="0"/>
                <w:i w:val="0"/>
                <w:color w:val="333333"/>
                <w:sz w:val="17"/>
              </w:rPr>
              <w:t>Change ce qui est commandé ; commander le mauvais produit coûte plus cher que le délai</w:t>
            </w:r>
          </w:p>
        </w:tc>
        <w:tc>
          <w:tcPr>
            <w:tcW w:type="dxa" w:w="2835"/>
            <w:shd w:val="clear" w:fill="F2F6FA"/>
          </w:tcPr>
          <w:p>
            <w:pPr>
              <w:spacing w:before="40" w:after="40"/>
            </w:pPr>
            <w:r>
              <w:rPr>
                <w:rFonts w:ascii="Calibri" w:hAnsi="Calibri"/>
                <w:b w:val="0"/>
                <w:i w:val="0"/>
                <w:color w:val="333333"/>
                <w:sz w:val="17"/>
              </w:rPr>
              <w:t>SUNU (Doc 1, OP-3)</w:t>
            </w:r>
          </w:p>
        </w:tc>
      </w:tr>
    </w:tbl>
    <w:p>
      <w:pPr>
        <w:spacing w:after="40"/>
      </w:pPr>
    </w:p>
    <w:p>
      <w:r>
        <w:rPr>
          <w:rFonts w:ascii="Calibri" w:hAnsi="Calibri"/>
          <w:b/>
          <w:i w:val="0"/>
          <w:color w:val="333333"/>
          <w:sz w:val="20"/>
        </w:rPr>
        <w:t>Quatre des six relèvent de SUNU.</w:t>
      </w:r>
      <w:r>
        <w:rPr>
          <w:rFonts w:ascii="Calibri" w:hAnsi="Calibri"/>
          <w:b w:val="0"/>
          <w:i w:val="0"/>
          <w:color w:val="333333"/>
          <w:sz w:val="20"/>
        </w:rPr>
        <w:t xml:space="preserve"> Ce n'est pas une critique — c'est la réalité d'un projet d'intégration, et c'est pourquoi la section 6 liste des dépendances datées avec des responsables nommés.</w:t>
      </w:r>
    </w:p>
    <w:p>
      <w:pPr>
        <w:pStyle w:val="Heading2"/>
        <w:spacing w:before="280" w:after="80"/>
        <w:keepNext/>
      </w:pPr>
      <w:bookmarkStart w:id="105" w:name="_Toc_s004"/>
      <w:r>
        <w:rPr>
          <w:rFonts w:ascii="Calibri" w:hAnsi="Calibri"/>
          <w:b/>
          <w:color w:val="1B3A5C"/>
          <w:sz w:val="24"/>
        </w:rPr>
        <w:t>2.3 La décision de cadrage qui protège la date</w:t>
      </w:r>
      <w:bookmarkEnd w:id="105"/>
    </w:p>
    <w:p>
      <w:r>
        <w:rPr>
          <w:rFonts w:ascii="Calibri" w:hAnsi="Calibri"/>
          <w:b w:val="0"/>
          <w:i w:val="0"/>
          <w:color w:val="333333"/>
          <w:sz w:val="20"/>
        </w:rPr>
        <w:t xml:space="preserve">Plutôt que de tout risquer, le périmètre du pilote est délibérément resserré sur le </w:t>
      </w:r>
      <w:r>
        <w:rPr>
          <w:rFonts w:ascii="Calibri" w:hAnsi="Calibri"/>
          <w:b/>
          <w:i w:val="0"/>
          <w:color w:val="333333"/>
          <w:sz w:val="20"/>
        </w:rPr>
        <w:t>cœur du TdR</w:t>
      </w:r>
      <w:r>
        <w:rPr>
          <w:rFonts w:ascii="Calibri" w:hAnsi="Calibri"/>
          <w:b w:val="0"/>
          <w:i w:val="0"/>
          <w:color w:val="333333"/>
          <w:sz w:val="20"/>
        </w:rPr>
        <w:t>, les demandes complémentaires du courriel étant échelonnées sur octobre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Livré pour le pilote — 30 septembre</w:t>
            </w:r>
          </w:p>
        </w:tc>
        <w:tc>
          <w:tcPr>
            <w:tcW w:type="dxa" w:w="4873"/>
            <w:shd w:val="clear" w:fill="1B3A5C"/>
          </w:tcPr>
          <w:p>
            <w:pPr>
              <w:spacing w:before="60" w:after="60"/>
            </w:pPr>
            <w:r>
              <w:rPr>
                <w:rFonts w:ascii="Calibri" w:hAnsi="Calibri"/>
                <w:b/>
                <w:color w:val="FFFFFF"/>
                <w:sz w:val="17"/>
              </w:rPr>
              <w:t>Livré durant octobre, en service pour novembre</w:t>
            </w:r>
          </w:p>
        </w:tc>
      </w:tr>
      <w:tr>
        <w:tc>
          <w:tcPr>
            <w:tcW w:type="dxa" w:w="4873"/>
          </w:tcPr>
          <w:p>
            <w:pPr>
              <w:spacing w:before="40" w:after="40"/>
            </w:pPr>
            <w:r>
              <w:rPr>
                <w:rFonts w:ascii="Calibri" w:hAnsi="Calibri"/>
                <w:b w:val="0"/>
                <w:i w:val="0"/>
                <w:color w:val="333333"/>
                <w:sz w:val="17"/>
              </w:rPr>
              <w:t>Saisie de souscription avec photos de la proposition et de la CNIB, GPS</w:t>
            </w:r>
          </w:p>
        </w:tc>
        <w:tc>
          <w:tcPr>
            <w:tcW w:type="dxa" w:w="4873"/>
          </w:tcPr>
          <w:p>
            <w:pPr>
              <w:spacing w:before="40" w:after="40"/>
            </w:pPr>
            <w:r>
              <w:rPr>
                <w:rFonts w:ascii="Calibri" w:hAnsi="Calibri"/>
                <w:b w:val="0"/>
                <w:i w:val="0"/>
                <w:color w:val="333333"/>
                <w:sz w:val="17"/>
              </w:rPr>
              <w:t>Encaissement Mobile Money</w:t>
            </w:r>
          </w:p>
        </w:tc>
      </w:tr>
      <w:tr>
        <w:tc>
          <w:tcPr>
            <w:tcW w:type="dxa" w:w="4873"/>
            <w:shd w:val="clear" w:fill="F2F6FA"/>
          </w:tcPr>
          <w:p>
            <w:pPr>
              <w:spacing w:before="40" w:after="40"/>
            </w:pPr>
            <w:r>
              <w:rPr>
                <w:rFonts w:ascii="Calibri" w:hAnsi="Calibri"/>
                <w:b w:val="0"/>
                <w:i w:val="0"/>
                <w:color w:val="333333"/>
                <w:sz w:val="17"/>
              </w:rPr>
              <w:t>Frais de police et première prime, deux reçus</w:t>
            </w:r>
          </w:p>
        </w:tc>
        <w:tc>
          <w:tcPr>
            <w:tcW w:type="dxa" w:w="4873"/>
            <w:shd w:val="clear" w:fill="F2F6FA"/>
          </w:tcPr>
          <w:p>
            <w:pPr>
              <w:spacing w:before="40" w:after="40"/>
            </w:pPr>
            <w:r>
              <w:rPr>
                <w:rFonts w:ascii="Calibri" w:hAnsi="Calibri"/>
                <w:b w:val="0"/>
                <w:i w:val="0"/>
                <w:color w:val="333333"/>
                <w:sz w:val="17"/>
              </w:rPr>
              <w:t>Carte virtuelle (QR) à l'échelle</w:t>
            </w:r>
          </w:p>
        </w:tc>
      </w:tr>
      <w:tr>
        <w:tc>
          <w:tcPr>
            <w:tcW w:type="dxa" w:w="4873"/>
          </w:tcPr>
          <w:p>
            <w:pPr>
              <w:spacing w:before="40" w:after="40"/>
            </w:pPr>
            <w:r>
              <w:rPr>
                <w:rFonts w:ascii="Calibri" w:hAnsi="Calibri"/>
                <w:b w:val="0"/>
                <w:i w:val="0"/>
                <w:color w:val="333333"/>
                <w:sz w:val="17"/>
              </w:rPr>
              <w:t>Émission de carte physique et carte multi-polices</w:t>
            </w:r>
          </w:p>
        </w:tc>
        <w:tc>
          <w:tcPr>
            <w:tcW w:type="dxa" w:w="4873"/>
          </w:tcPr>
          <w:p>
            <w:pPr>
              <w:spacing w:before="40" w:after="40"/>
            </w:pPr>
            <w:r>
              <w:rPr>
                <w:rFonts w:ascii="Calibri" w:hAnsi="Calibri"/>
                <w:b w:val="0"/>
                <w:i w:val="0"/>
                <w:color w:val="333333"/>
                <w:sz w:val="17"/>
              </w:rPr>
              <w:t xml:space="preserve">Synchronisation API SUNULIFE en lecture, phase 1 </w:t>
            </w:r>
            <w:r>
              <w:rPr>
                <w:rFonts w:ascii="Calibri" w:hAnsi="Calibri"/>
                <w:b/>
                <w:i w:val="0"/>
                <w:color w:val="333333"/>
                <w:sz w:val="17"/>
              </w:rPr>
              <w:t>(si OP-1 est tranché)</w:t>
            </w:r>
          </w:p>
        </w:tc>
      </w:tr>
      <w:tr>
        <w:tc>
          <w:tcPr>
            <w:tcW w:type="dxa" w:w="4873"/>
            <w:shd w:val="clear" w:fill="F2F6FA"/>
          </w:tcPr>
          <w:p>
            <w:pPr>
              <w:spacing w:before="40" w:after="40"/>
            </w:pPr>
            <w:r>
              <w:rPr>
                <w:rFonts w:ascii="Calibri" w:hAnsi="Calibri"/>
                <w:b w:val="0"/>
                <w:i w:val="0"/>
                <w:color w:val="333333"/>
                <w:sz w:val="17"/>
              </w:rPr>
              <w:t>Encaissement de prime par carte, sélection de police, reçu</w:t>
            </w:r>
          </w:p>
        </w:tc>
        <w:tc>
          <w:tcPr>
            <w:tcW w:type="dxa" w:w="4873"/>
            <w:shd w:val="clear" w:fill="F2F6FA"/>
          </w:tcPr>
          <w:p>
            <w:pPr>
              <w:spacing w:before="40" w:after="40"/>
            </w:pPr>
            <w:r>
              <w:rPr>
                <w:rFonts w:ascii="Calibri" w:hAnsi="Calibri"/>
                <w:b w:val="0"/>
                <w:i w:val="0"/>
                <w:color w:val="333333"/>
                <w:sz w:val="17"/>
              </w:rPr>
              <w:t>Améliorations issues des retours du pilote</w:t>
            </w:r>
          </w:p>
        </w:tc>
      </w:tr>
      <w:tr>
        <w:tc>
          <w:tcPr>
            <w:tcW w:type="dxa" w:w="4873"/>
          </w:tcPr>
          <w:p>
            <w:pPr>
              <w:spacing w:before="40" w:after="40"/>
            </w:pPr>
            <w:r>
              <w:rPr>
                <w:rFonts w:ascii="Calibri" w:hAnsi="Calibri"/>
                <w:b w:val="0"/>
                <w:i w:val="0"/>
                <w:color w:val="333333"/>
                <w:sz w:val="17"/>
              </w:rPr>
              <w:t>Plafond du collecteur, déclaration et confirmation des versements</w:t>
            </w:r>
          </w:p>
        </w:tc>
        <w:tc>
          <w:tcPr>
            <w:tcW w:type="dxa" w:w="4873"/>
          </w:tcPr>
          <w:p>
            <w:pPr>
              <w:spacing w:before="40" w:after="40"/>
            </w:pPr>
            <w:r>
              <w:rPr>
                <w:rFonts w:ascii="Calibri" w:hAnsi="Calibri"/>
                <w:b w:val="0"/>
                <w:i w:val="0"/>
                <w:color w:val="333333"/>
                <w:sz w:val="17"/>
              </w:rPr>
              <w:t>Points de durcissement restants (Doc 2 §12)</w:t>
            </w:r>
          </w:p>
        </w:tc>
      </w:tr>
      <w:tr>
        <w:tc>
          <w:tcPr>
            <w:tcW w:type="dxa" w:w="4873"/>
            <w:shd w:val="clear" w:fill="F2F6FA"/>
          </w:tcPr>
          <w:p>
            <w:pPr>
              <w:spacing w:before="40" w:after="40"/>
            </w:pPr>
            <w:r>
              <w:rPr>
                <w:rFonts w:ascii="Calibri" w:hAnsi="Calibri"/>
                <w:b w:val="0"/>
                <w:i w:val="0"/>
                <w:color w:val="333333"/>
                <w:sz w:val="17"/>
              </w:rPr>
              <w:t>Back-office : profils, habilitations, encaissements, exports</w:t>
            </w:r>
          </w:p>
        </w:tc>
        <w:tc>
          <w:tcPr>
            <w:tcW w:type="dxa" w:w="4873"/>
            <w:shd w:val="clear" w:fill="F2F6FA"/>
          </w:tcPr>
          <w:p>
            <w:pPr>
              <w:spacing w:before="40" w:after="40"/>
            </w:pPr>
          </w:p>
        </w:tc>
      </w:tr>
      <w:tr>
        <w:tc>
          <w:tcPr>
            <w:tcW w:type="dxa" w:w="4873"/>
          </w:tcPr>
          <w:p>
            <w:pPr>
              <w:spacing w:before="40" w:after="40"/>
            </w:pPr>
            <w:r>
              <w:rPr>
                <w:rFonts w:ascii="Calibri" w:hAnsi="Calibri"/>
                <w:b/>
                <w:i w:val="0"/>
                <w:color w:val="333333"/>
                <w:sz w:val="17"/>
              </w:rPr>
              <w:t>Export Excel pour SUNULIFE</w:t>
            </w:r>
            <w:r>
              <w:rPr>
                <w:rFonts w:ascii="Calibri" w:hAnsi="Calibri"/>
                <w:b w:val="0"/>
                <w:i w:val="0"/>
                <w:color w:val="333333"/>
                <w:sz w:val="17"/>
              </w:rPr>
              <w:t xml:space="preserve"> (TdR Besoin 2)</w:t>
            </w:r>
          </w:p>
        </w:tc>
        <w:tc>
          <w:tcPr>
            <w:tcW w:type="dxa" w:w="4873"/>
          </w:tcPr>
          <w:p>
            <w:pPr>
              <w:spacing w:before="40" w:after="40"/>
            </w:pPr>
          </w:p>
        </w:tc>
      </w:tr>
      <w:tr>
        <w:tc>
          <w:tcPr>
            <w:tcW w:type="dxa" w:w="4873"/>
            <w:shd w:val="clear" w:fill="F2F6FA"/>
          </w:tcPr>
          <w:p>
            <w:pPr>
              <w:spacing w:before="40" w:after="40"/>
            </w:pPr>
            <w:r>
              <w:rPr>
                <w:rFonts w:ascii="Calibri" w:hAnsi="Calibri"/>
                <w:b/>
                <w:i w:val="0"/>
                <w:color w:val="333333"/>
                <w:sz w:val="17"/>
              </w:rPr>
              <w:t>Import en masse des clients SUNULIFE existants</w:t>
            </w:r>
            <w:r>
              <w:rPr>
                <w:rFonts w:ascii="Calibri" w:hAnsi="Calibri"/>
                <w:b w:val="0"/>
                <w:i w:val="0"/>
                <w:color w:val="333333"/>
                <w:sz w:val="17"/>
              </w:rPr>
              <w:t xml:space="preserve"> (Doc 1 §8.4 phase 0)</w:t>
            </w:r>
          </w:p>
        </w:tc>
        <w:tc>
          <w:tcPr>
            <w:tcW w:type="dxa" w:w="4873"/>
            <w:shd w:val="clear" w:fill="F2F6FA"/>
          </w:tcPr>
          <w:p>
            <w:pPr>
              <w:spacing w:before="40" w:after="40"/>
            </w:pPr>
          </w:p>
        </w:tc>
      </w:tr>
      <w:tr>
        <w:tc>
          <w:tcPr>
            <w:tcW w:type="dxa" w:w="4873"/>
          </w:tcPr>
          <w:p>
            <w:pPr>
              <w:spacing w:before="40" w:after="40"/>
            </w:pPr>
            <w:r>
              <w:rPr>
                <w:rFonts w:ascii="Calibri" w:hAnsi="Calibri"/>
                <w:b w:val="0"/>
                <w:i w:val="0"/>
                <w:color w:val="333333"/>
                <w:sz w:val="17"/>
              </w:rPr>
              <w:t>Points de sécurité bloquants H-1, H-4, H-6 (Doc 2 §12)</w:t>
            </w:r>
          </w:p>
        </w:tc>
        <w:tc>
          <w:tcPr>
            <w:tcW w:type="dxa" w:w="4873"/>
          </w:tcPr>
          <w:p>
            <w:pPr>
              <w:spacing w:before="40" w:after="40"/>
            </w:pPr>
          </w:p>
        </w:tc>
      </w:tr>
    </w:tbl>
    <w:p>
      <w:pPr>
        <w:spacing w:after="40"/>
      </w:pPr>
    </w:p>
    <w:p>
      <w:r>
        <w:rPr>
          <w:rFonts w:ascii="Calibri" w:hAnsi="Calibri"/>
          <w:b/>
          <w:i w:val="0"/>
          <w:color w:val="333333"/>
          <w:sz w:val="20"/>
        </w:rPr>
        <w:t>Pourquoi ce découpage fonctionne.</w:t>
      </w:r>
      <w:r>
        <w:rPr>
          <w:rFonts w:ascii="Calibri" w:hAnsi="Calibri"/>
          <w:b w:val="0"/>
          <w:i w:val="0"/>
          <w:color w:val="333333"/>
          <w:sz w:val="20"/>
        </w:rPr>
        <w:t xml:space="preserve"> Le pilote livre 100 % des besoins énoncés dans le TdR. Les ajouts du courriel — Mobile Money, QR, API SUNULIFE — sont de véritables exigences, mais aucun d'eux n'est nécessaire pour qu'un collecteur souscrive un client et encaisse une prime sur le terrain le 30 septembre. Vouloir tous les traiter à cette date mettrait le cœur en péril au profit de fonctions dépendant de tiers que nous ne maîtrisons pas.</w:t>
      </w:r>
    </w:p>
    <w:p>
      <w:r>
        <w:rPr>
          <w:rFonts w:ascii="Calibri" w:hAnsi="Calibri"/>
          <w:b/>
          <w:i w:val="0"/>
          <w:color w:val="333333"/>
          <w:sz w:val="20"/>
        </w:rPr>
        <w:t>Point déterminant : l'import en masse de la phase 0 fait que l'exigence prioritaire de SUNU — que les agents voient les clients déjà présents dans SUNULIFE — est satisfaite dès le pilote même si l'API n'est pas disponible</w:t>
      </w:r>
      <w:r>
        <w:rPr>
          <w:rFonts w:ascii="Calibri" w:hAnsi="Calibri"/>
          <w:b w:val="0"/>
          <w:i w:val="0"/>
          <w:color w:val="333333"/>
          <w:sz w:val="20"/>
        </w:rPr>
        <w:t>, au moyen d'une extraction périodique. L'intention de l'exigence est honorée à la date prévue ; le mécanisme est amélioré ensuite.</w:t>
      </w:r>
    </w:p>
    <w:p>
      <w:r>
        <w:rPr>
          <w:rFonts w:ascii="Calibri" w:hAnsi="Calibri"/>
          <w:b w:val="0"/>
          <w:i w:val="0"/>
          <w:color w:val="333333"/>
          <w:sz w:val="20"/>
        </w:rPr>
        <w:t>Si SUNU préfère un autre découpage, c'est la conversation à tenir le 1er octobre, l'arbitrage étant alors explicite plutôt que découvert dans la dernière semaine de septembre.</w:t>
      </w:r>
    </w:p>
    <w:p>
      <w:pPr>
        <w:pStyle w:val="Heading1"/>
        <w:pageBreakBefore/>
        <w:spacing w:before="360" w:after="80"/>
        <w:keepNext/>
        <w:pBdr>
          <w:bottom w:val="single" w:sz="8" w:space="6" w:color="1B3A5C"/>
        </w:pBdr>
      </w:pPr>
      <w:bookmarkStart w:id="106" w:name="_Toc_s005"/>
      <w:r>
        <w:rPr>
          <w:rFonts w:ascii="Calibri" w:hAnsi="Calibri"/>
          <w:b/>
          <w:color w:val="1B3A5C"/>
          <w:sz w:val="30"/>
        </w:rPr>
        <w:t>3. Calendrier — septembre (jusqu'au pilote)</w:t>
      </w:r>
      <w:bookmarkEnd w:id="106"/>
    </w:p>
    <w:p>
      <w:pPr>
        <w:pStyle w:val="Heading2"/>
        <w:spacing w:before="280" w:after="80"/>
        <w:keepNext/>
      </w:pPr>
      <w:bookmarkStart w:id="107" w:name="_Toc_s006"/>
      <w:r>
        <w:rPr>
          <w:rFonts w:ascii="Calibri" w:hAnsi="Calibri"/>
          <w:b/>
          <w:color w:val="1B3A5C"/>
          <w:sz w:val="24"/>
        </w:rPr>
        <w:t>Semaine 1 · 1er–6 septembre — Fondations et levée des blocages</w:t>
      </w:r>
      <w:bookmarkEnd w:id="10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Chantier</w:t>
            </w:r>
          </w:p>
        </w:tc>
        <w:tc>
          <w:tcPr>
            <w:tcW w:type="dxa" w:w="3249"/>
            <w:shd w:val="clear" w:fill="1B3A5C"/>
          </w:tcPr>
          <w:p>
            <w:pPr>
              <w:spacing w:before="60" w:after="60"/>
            </w:pPr>
            <w:r>
              <w:rPr>
                <w:rFonts w:ascii="Calibri" w:hAnsi="Calibri"/>
                <w:b/>
                <w:color w:val="FFFFFF"/>
                <w:sz w:val="17"/>
              </w:rPr>
              <w:t>Activité</w:t>
            </w:r>
          </w:p>
        </w:tc>
        <w:tc>
          <w:tcPr>
            <w:tcW w:type="dxa" w:w="3249"/>
            <w:shd w:val="clear" w:fill="1B3A5C"/>
          </w:tcPr>
          <w:p>
            <w:pPr>
              <w:spacing w:before="60" w:after="60"/>
            </w:pPr>
            <w:r>
              <w:rPr>
                <w:rFonts w:ascii="Calibri" w:hAnsi="Calibri"/>
                <w:b/>
                <w:color w:val="FFFFFF"/>
                <w:sz w:val="17"/>
              </w:rPr>
              <w:t>Responsable</w:t>
            </w:r>
          </w:p>
        </w:tc>
      </w:tr>
      <w:tr>
        <w:tc>
          <w:tcPr>
            <w:tcW w:type="dxa" w:w="3249"/>
          </w:tcPr>
          <w:p>
            <w:pPr>
              <w:spacing w:before="40" w:after="40"/>
            </w:pPr>
            <w:r>
              <w:rPr>
                <w:rFonts w:ascii="Calibri" w:hAnsi="Calibri"/>
                <w:b w:val="0"/>
                <w:i w:val="0"/>
                <w:color w:val="333333"/>
                <w:sz w:val="17"/>
              </w:rPr>
              <w:t>Gouvernance</w:t>
            </w:r>
          </w:p>
        </w:tc>
        <w:tc>
          <w:tcPr>
            <w:tcW w:type="dxa" w:w="3249"/>
          </w:tcPr>
          <w:p>
            <w:pPr>
              <w:spacing w:before="40" w:after="40"/>
            </w:pPr>
            <w:r>
              <w:rPr>
                <w:rFonts w:ascii="Calibri" w:hAnsi="Calibri"/>
                <w:b w:val="0"/>
                <w:i w:val="0"/>
                <w:color w:val="333333"/>
                <w:sz w:val="17"/>
              </w:rPr>
              <w:t>Lancement ; validation du plan ; désignation des contacts des deux côtés ; ouverture du registre des points ouverts</w:t>
            </w:r>
          </w:p>
        </w:tc>
        <w:tc>
          <w:tcPr>
            <w:tcW w:type="dxa" w:w="3249"/>
          </w:tcPr>
          <w:p>
            <w:pPr>
              <w:spacing w:before="40" w:after="40"/>
            </w:pPr>
            <w:r>
              <w:rPr>
                <w:rFonts w:ascii="Calibri" w:hAnsi="Calibri"/>
                <w:b w:val="0"/>
                <w:i w:val="0"/>
                <w:color w:val="333333"/>
                <w:sz w:val="17"/>
              </w:rPr>
              <w:t>Les deux</w:t>
            </w:r>
          </w:p>
        </w:tc>
      </w:tr>
      <w:tr>
        <w:tc>
          <w:tcPr>
            <w:tcW w:type="dxa" w:w="3249"/>
            <w:shd w:val="clear" w:fill="F2F6FA"/>
          </w:tcPr>
          <w:p>
            <w:pPr>
              <w:spacing w:before="40" w:after="40"/>
            </w:pPr>
            <w:r>
              <w:rPr>
                <w:rFonts w:ascii="Calibri" w:hAnsi="Calibri"/>
                <w:b w:val="0"/>
                <w:i w:val="0"/>
                <w:color w:val="333333"/>
                <w:sz w:val="17"/>
              </w:rPr>
              <w:t>Documents</w:t>
            </w:r>
          </w:p>
        </w:tc>
        <w:tc>
          <w:tcPr>
            <w:tcW w:type="dxa" w:w="3249"/>
            <w:shd w:val="clear" w:fill="F2F6FA"/>
          </w:tcPr>
          <w:p>
            <w:pPr>
              <w:spacing w:before="40" w:after="40"/>
            </w:pPr>
            <w:r>
              <w:rPr>
                <w:rFonts w:ascii="Calibri" w:hAnsi="Calibri"/>
                <w:b w:val="0"/>
                <w:i w:val="0"/>
                <w:color w:val="333333"/>
                <w:sz w:val="17"/>
              </w:rPr>
              <w:t>SUNU revoit les Documents 1 à 4 ; questions posées par écrit</w:t>
            </w:r>
          </w:p>
        </w:tc>
        <w:tc>
          <w:tcPr>
            <w:tcW w:type="dxa" w:w="3249"/>
            <w:shd w:val="clear" w:fill="F2F6FA"/>
          </w:tcPr>
          <w:p>
            <w:pPr>
              <w:spacing w:before="40" w:after="40"/>
            </w:pPr>
            <w:r>
              <w:rPr>
                <w:rFonts w:ascii="Calibri" w:hAnsi="Calibri"/>
                <w:b w:val="0"/>
                <w:i w:val="0"/>
                <w:color w:val="333333"/>
                <w:sz w:val="17"/>
              </w:rPr>
              <w:t>SUNU</w:t>
            </w:r>
          </w:p>
        </w:tc>
      </w:tr>
      <w:tr>
        <w:tc>
          <w:tcPr>
            <w:tcW w:type="dxa" w:w="3249"/>
          </w:tcPr>
          <w:p>
            <w:pPr>
              <w:spacing w:before="40" w:after="40"/>
            </w:pPr>
            <w:r>
              <w:rPr>
                <w:rFonts w:ascii="Calibri" w:hAnsi="Calibri"/>
                <w:b/>
                <w:i w:val="0"/>
                <w:color w:val="333333"/>
                <w:sz w:val="17"/>
              </w:rPr>
              <w:t>Blocages</w:t>
            </w:r>
          </w:p>
        </w:tc>
        <w:tc>
          <w:tcPr>
            <w:tcW w:type="dxa" w:w="3249"/>
          </w:tcPr>
          <w:p>
            <w:pPr>
              <w:spacing w:before="40" w:after="40"/>
            </w:pPr>
            <w:r>
              <w:rPr>
                <w:rFonts w:ascii="Calibri" w:hAnsi="Calibri"/>
                <w:b/>
                <w:i w:val="0"/>
                <w:color w:val="333333"/>
                <w:sz w:val="17"/>
              </w:rPr>
              <w:t>Décisions sur OP-3 (carte), OP-4 (MoMo), OP-5 (hébergement)</w:t>
            </w:r>
          </w:p>
        </w:tc>
        <w:tc>
          <w:tcPr>
            <w:tcW w:type="dxa" w:w="3249"/>
          </w:tcPr>
          <w:p>
            <w:pPr>
              <w:spacing w:before="40" w:after="40"/>
            </w:pPr>
            <w:r>
              <w:rPr>
                <w:rFonts w:ascii="Calibri" w:hAnsi="Calibri"/>
                <w:b/>
                <w:i w:val="0"/>
                <w:color w:val="333333"/>
                <w:sz w:val="17"/>
              </w:rPr>
              <w:t>SUNU</w:t>
            </w:r>
          </w:p>
        </w:tc>
      </w:tr>
      <w:tr>
        <w:tc>
          <w:tcPr>
            <w:tcW w:type="dxa" w:w="3249"/>
            <w:shd w:val="clear" w:fill="F2F6FA"/>
          </w:tcPr>
          <w:p>
            <w:pPr>
              <w:spacing w:before="40" w:after="40"/>
            </w:pPr>
            <w:r>
              <w:rPr>
                <w:rFonts w:ascii="Calibri" w:hAnsi="Calibri"/>
                <w:b/>
                <w:i w:val="0"/>
                <w:color w:val="333333"/>
                <w:sz w:val="17"/>
              </w:rPr>
              <w:t>Blocages</w:t>
            </w:r>
          </w:p>
        </w:tc>
        <w:tc>
          <w:tcPr>
            <w:tcW w:type="dxa" w:w="3249"/>
            <w:shd w:val="clear" w:fill="F2F6FA"/>
          </w:tcPr>
          <w:p>
            <w:pPr>
              <w:spacing w:before="40" w:after="40"/>
            </w:pPr>
            <w:r>
              <w:rPr>
                <w:rFonts w:ascii="Calibri" w:hAnsi="Calibri"/>
                <w:b/>
                <w:i w:val="0"/>
                <w:color w:val="333333"/>
                <w:sz w:val="17"/>
              </w:rPr>
              <w:t>Questionnaire SUNULIFE transmis à l'éditeur (Doc 1 §8.5)</w:t>
            </w:r>
          </w:p>
        </w:tc>
        <w:tc>
          <w:tcPr>
            <w:tcW w:type="dxa" w:w="3249"/>
            <w:shd w:val="clear" w:fill="F2F6FA"/>
          </w:tcPr>
          <w:p>
            <w:pPr>
              <w:spacing w:before="40" w:after="40"/>
            </w:pPr>
            <w:r>
              <w:rPr>
                <w:rFonts w:ascii="Calibri" w:hAnsi="Calibri"/>
                <w:b/>
                <w:i w:val="0"/>
                <w:color w:val="333333"/>
                <w:sz w:val="17"/>
              </w:rPr>
              <w:t>SUNU</w:t>
            </w:r>
          </w:p>
        </w:tc>
      </w:tr>
      <w:tr>
        <w:tc>
          <w:tcPr>
            <w:tcW w:type="dxa" w:w="3249"/>
          </w:tcPr>
          <w:p>
            <w:pPr>
              <w:spacing w:before="40" w:after="40"/>
            </w:pPr>
            <w:r>
              <w:rPr>
                <w:rFonts w:ascii="Calibri" w:hAnsi="Calibri"/>
                <w:b w:val="0"/>
                <w:i w:val="0"/>
                <w:color w:val="333333"/>
                <w:sz w:val="17"/>
              </w:rPr>
              <w:t>Approvisionnement</w:t>
            </w:r>
          </w:p>
        </w:tc>
        <w:tc>
          <w:tcPr>
            <w:tcW w:type="dxa" w:w="3249"/>
          </w:tcPr>
          <w:p>
            <w:pPr>
              <w:spacing w:before="40" w:after="40"/>
            </w:pPr>
            <w:r>
              <w:rPr>
                <w:rFonts w:ascii="Calibri" w:hAnsi="Calibri"/>
                <w:b w:val="0"/>
                <w:i w:val="0"/>
                <w:color w:val="333333"/>
                <w:sz w:val="17"/>
              </w:rPr>
              <w:t>Commandes des terminaux, des cartes et de la station de personnalisation passées</w:t>
            </w:r>
          </w:p>
        </w:tc>
        <w:tc>
          <w:tcPr>
            <w:tcW w:type="dxa" w:w="3249"/>
          </w:tcPr>
          <w:p>
            <w:pPr>
              <w:spacing w:before="40" w:after="40"/>
            </w:pPr>
            <w:r>
              <w:rPr>
                <w:rFonts w:ascii="Calibri" w:hAnsi="Calibri"/>
                <w:b w:val="0"/>
                <w:i w:val="0"/>
                <w:color w:val="333333"/>
                <w:sz w:val="17"/>
              </w:rPr>
              <w:t>SUNU</w:t>
            </w:r>
          </w:p>
        </w:tc>
      </w:tr>
      <w:tr>
        <w:tc>
          <w:tcPr>
            <w:tcW w:type="dxa" w:w="3249"/>
            <w:shd w:val="clear" w:fill="F2F6FA"/>
          </w:tcPr>
          <w:p>
            <w:pPr>
              <w:spacing w:before="40" w:after="40"/>
            </w:pPr>
            <w:r>
              <w:rPr>
                <w:rFonts w:ascii="Calibri" w:hAnsi="Calibri"/>
                <w:b w:val="0"/>
                <w:i w:val="0"/>
                <w:color w:val="333333"/>
                <w:sz w:val="17"/>
              </w:rPr>
              <w:t>Infrastructure</w:t>
            </w:r>
          </w:p>
        </w:tc>
        <w:tc>
          <w:tcPr>
            <w:tcW w:type="dxa" w:w="3249"/>
            <w:shd w:val="clear" w:fill="F2F6FA"/>
          </w:tcPr>
          <w:p>
            <w:pPr>
              <w:spacing w:before="40" w:after="40"/>
            </w:pPr>
            <w:r>
              <w:rPr>
                <w:rFonts w:ascii="Calibri" w:hAnsi="Calibri"/>
                <w:b w:val="0"/>
                <w:i w:val="0"/>
                <w:color w:val="333333"/>
                <w:sz w:val="17"/>
              </w:rPr>
              <w:t>Mise à disposition des environnements de recette et de production ; certificats TLS ; DNS</w:t>
            </w:r>
          </w:p>
        </w:tc>
        <w:tc>
          <w:tcPr>
            <w:tcW w:type="dxa" w:w="3249"/>
            <w:shd w:val="clear" w:fill="F2F6FA"/>
          </w:tcPr>
          <w:p>
            <w:pPr>
              <w:spacing w:before="40" w:after="40"/>
            </w:pPr>
            <w:r>
              <w:rPr>
                <w:rFonts w:ascii="Calibri" w:hAnsi="Calibri"/>
                <w:b w:val="0"/>
                <w:i w:val="0"/>
                <w:color w:val="333333"/>
                <w:sz w:val="17"/>
              </w:rPr>
              <w:t>DBS</w:t>
            </w:r>
          </w:p>
        </w:tc>
      </w:tr>
      <w:tr>
        <w:tc>
          <w:tcPr>
            <w:tcW w:type="dxa" w:w="3249"/>
          </w:tcPr>
          <w:p>
            <w:pPr>
              <w:spacing w:before="40" w:after="40"/>
            </w:pPr>
            <w:r>
              <w:rPr>
                <w:rFonts w:ascii="Calibri" w:hAnsi="Calibri"/>
                <w:b w:val="0"/>
                <w:i w:val="0"/>
                <w:color w:val="333333"/>
                <w:sz w:val="17"/>
              </w:rPr>
              <w:t>Développement</w:t>
            </w:r>
          </w:p>
        </w:tc>
        <w:tc>
          <w:tcPr>
            <w:tcW w:type="dxa" w:w="3249"/>
          </w:tcPr>
          <w:p>
            <w:pPr>
              <w:spacing w:before="40" w:after="40"/>
            </w:pPr>
            <w:r>
              <w:rPr>
                <w:rFonts w:ascii="Calibri" w:hAnsi="Calibri"/>
                <w:b w:val="0"/>
                <w:i w:val="0"/>
                <w:color w:val="333333"/>
                <w:sz w:val="17"/>
              </w:rPr>
              <w:t>Modèle produit et police d'assurance ; proposition adaptée du module d'affiliation</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Sécurité</w:t>
            </w:r>
          </w:p>
        </w:tc>
        <w:tc>
          <w:tcPr>
            <w:tcW w:type="dxa" w:w="3249"/>
            <w:shd w:val="clear" w:fill="F2F6FA"/>
          </w:tcPr>
          <w:p>
            <w:pPr>
              <w:spacing w:before="40" w:after="40"/>
            </w:pPr>
            <w:r>
              <w:rPr>
                <w:rFonts w:ascii="Calibri" w:hAnsi="Calibri"/>
                <w:b/>
                <w:i w:val="0"/>
                <w:color w:val="333333"/>
                <w:sz w:val="17"/>
              </w:rPr>
              <w:t>H-1 (HTTPS de bout en bout, épinglage de certificat)</w:t>
            </w:r>
            <w:r>
              <w:rPr>
                <w:rFonts w:ascii="Calibri" w:hAnsi="Calibri"/>
                <w:b w:val="0"/>
                <w:i w:val="0"/>
                <w:color w:val="333333"/>
                <w:sz w:val="17"/>
              </w:rPr>
              <w:t xml:space="preserve"> et </w:t>
            </w:r>
            <w:r>
              <w:rPr>
                <w:rFonts w:ascii="Calibri" w:hAnsi="Calibri"/>
                <w:b/>
                <w:i w:val="0"/>
                <w:color w:val="333333"/>
                <w:sz w:val="17"/>
              </w:rPr>
              <w:t>H-6 (journalisation en clair supprimée)</w:t>
            </w:r>
          </w:p>
        </w:tc>
        <w:tc>
          <w:tcPr>
            <w:tcW w:type="dxa" w:w="3249"/>
            <w:shd w:val="clear" w:fill="F2F6FA"/>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Jalon G1 — fin de semaine 1 :</w:t>
      </w:r>
      <w:r>
        <w:rPr>
          <w:rFonts w:ascii="Calibri" w:hAnsi="Calibri"/>
          <w:b w:val="0"/>
          <w:i w:val="0"/>
          <w:color w:val="333333"/>
          <w:sz w:val="20"/>
        </w:rPr>
        <w:t xml:space="preserve"> OP-3, OP-4 et OP-5 tranchés ; matériel commandé ; environnements disponibles. </w:t>
      </w:r>
      <w:r>
        <w:rPr>
          <w:rFonts w:ascii="Calibri" w:hAnsi="Calibri"/>
          <w:b w:val="0"/>
          <w:i/>
          <w:color w:val="333333"/>
          <w:sz w:val="20"/>
        </w:rPr>
        <w:t>Si OP-5 n'est pas tranché cette semaine, M1 glisse et M3 est en risque.</w:t>
      </w:r>
    </w:p>
    <w:p>
      <w:pPr>
        <w:pStyle w:val="Heading2"/>
        <w:spacing w:before="280" w:after="80"/>
        <w:keepNext/>
      </w:pPr>
      <w:bookmarkStart w:id="108" w:name="_Toc_s007"/>
      <w:r>
        <w:rPr>
          <w:rFonts w:ascii="Calibri" w:hAnsi="Calibri"/>
          <w:b/>
          <w:color w:val="1B3A5C"/>
          <w:sz w:val="24"/>
        </w:rPr>
        <w:t>Semaine 2 · 7–13 septembre — Construction du cœur</w:t>
      </w:r>
      <w:bookmarkEnd w:id="10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Chantier</w:t>
            </w:r>
          </w:p>
        </w:tc>
        <w:tc>
          <w:tcPr>
            <w:tcW w:type="dxa" w:w="3249"/>
            <w:shd w:val="clear" w:fill="1B3A5C"/>
          </w:tcPr>
          <w:p>
            <w:pPr>
              <w:spacing w:before="60" w:after="60"/>
            </w:pPr>
            <w:r>
              <w:rPr>
                <w:rFonts w:ascii="Calibri" w:hAnsi="Calibri"/>
                <w:b/>
                <w:color w:val="FFFFFF"/>
                <w:sz w:val="17"/>
              </w:rPr>
              <w:t>Activité</w:t>
            </w:r>
          </w:p>
        </w:tc>
        <w:tc>
          <w:tcPr>
            <w:tcW w:type="dxa" w:w="3249"/>
            <w:shd w:val="clear" w:fill="1B3A5C"/>
          </w:tcPr>
          <w:p>
            <w:pPr>
              <w:spacing w:before="60" w:after="60"/>
            </w:pPr>
            <w:r>
              <w:rPr>
                <w:rFonts w:ascii="Calibri" w:hAnsi="Calibri"/>
                <w:b/>
                <w:color w:val="FFFFFF"/>
                <w:sz w:val="17"/>
              </w:rPr>
              <w:t>Responsable</w:t>
            </w:r>
          </w:p>
        </w:tc>
      </w:tr>
      <w:tr>
        <w:tc>
          <w:tcPr>
            <w:tcW w:type="dxa" w:w="3249"/>
          </w:tcPr>
          <w:p>
            <w:pPr>
              <w:spacing w:before="40" w:after="40"/>
            </w:pPr>
            <w:r>
              <w:rPr>
                <w:rFonts w:ascii="Calibri" w:hAnsi="Calibri"/>
                <w:b w:val="0"/>
                <w:i w:val="0"/>
                <w:color w:val="333333"/>
                <w:sz w:val="17"/>
              </w:rPr>
              <w:t>Développement</w:t>
            </w:r>
          </w:p>
        </w:tc>
        <w:tc>
          <w:tcPr>
            <w:tcW w:type="dxa" w:w="3249"/>
          </w:tcPr>
          <w:p>
            <w:pPr>
              <w:spacing w:before="40" w:after="40"/>
            </w:pPr>
            <w:r>
              <w:rPr>
                <w:rFonts w:ascii="Calibri" w:hAnsi="Calibri"/>
                <w:b w:val="0"/>
                <w:i w:val="0"/>
                <w:color w:val="333333"/>
                <w:sz w:val="17"/>
              </w:rPr>
              <w:t>Moteur d'encaissement des primes ; modèles de reçus ; plafond et versement du collecteur ; émission de carte multi-polices et export de personnalisation</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TPE</w:t>
            </w:r>
          </w:p>
        </w:tc>
        <w:tc>
          <w:tcPr>
            <w:tcW w:type="dxa" w:w="3249"/>
            <w:shd w:val="clear" w:fill="F2F6FA"/>
          </w:tcPr>
          <w:p>
            <w:pPr>
              <w:spacing w:before="40" w:after="40"/>
            </w:pPr>
            <w:r>
              <w:rPr>
                <w:rFonts w:ascii="Calibri" w:hAnsi="Calibri"/>
                <w:b w:val="0"/>
                <w:i w:val="0"/>
                <w:color w:val="333333"/>
                <w:sz w:val="17"/>
              </w:rPr>
              <w:t>Assistant de souscription adapté ; capture des documents et de la CNIB ; GPS ; écran de sélection de police ; indicateur de plafond</w:t>
            </w:r>
          </w:p>
        </w:tc>
        <w:tc>
          <w:tcPr>
            <w:tcW w:type="dxa" w:w="3249"/>
            <w:shd w:val="clear" w:fill="F2F6FA"/>
          </w:tcPr>
          <w:p>
            <w:pPr>
              <w:spacing w:before="40" w:after="40"/>
            </w:pPr>
            <w:r>
              <w:rPr>
                <w:rFonts w:ascii="Calibri" w:hAnsi="Calibri"/>
                <w:b w:val="0"/>
                <w:i w:val="0"/>
                <w:color w:val="333333"/>
                <w:sz w:val="17"/>
              </w:rPr>
              <w:t>DBS</w:t>
            </w:r>
          </w:p>
        </w:tc>
      </w:tr>
      <w:tr>
        <w:tc>
          <w:tcPr>
            <w:tcW w:type="dxa" w:w="3249"/>
          </w:tcPr>
          <w:p>
            <w:pPr>
              <w:spacing w:before="40" w:after="40"/>
            </w:pPr>
            <w:r>
              <w:rPr>
                <w:rFonts w:ascii="Calibri" w:hAnsi="Calibri"/>
                <w:b w:val="0"/>
                <w:i w:val="0"/>
                <w:color w:val="333333"/>
                <w:sz w:val="17"/>
              </w:rPr>
              <w:t>Back-office</w:t>
            </w:r>
          </w:p>
        </w:tc>
        <w:tc>
          <w:tcPr>
            <w:tcW w:type="dxa" w:w="3249"/>
          </w:tcPr>
          <w:p>
            <w:pPr>
              <w:spacing w:before="40" w:after="40"/>
            </w:pPr>
            <w:r>
              <w:rPr>
                <w:rFonts w:ascii="Calibri" w:hAnsi="Calibri"/>
                <w:b w:val="0"/>
                <w:i w:val="0"/>
                <w:color w:val="333333"/>
                <w:sz w:val="17"/>
              </w:rPr>
              <w:t xml:space="preserve">File de revue des propositions ; vues des encaissements ; </w:t>
            </w:r>
            <w:r>
              <w:rPr>
                <w:rFonts w:ascii="Calibri" w:hAnsi="Calibri"/>
                <w:b/>
                <w:i w:val="0"/>
                <w:color w:val="333333"/>
                <w:sz w:val="17"/>
              </w:rPr>
              <w:t>export Excel pour SUNULIFE</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Données</w:t>
            </w:r>
          </w:p>
        </w:tc>
        <w:tc>
          <w:tcPr>
            <w:tcW w:type="dxa" w:w="3249"/>
            <w:shd w:val="clear" w:fill="F2F6FA"/>
          </w:tcPr>
          <w:p>
            <w:pPr>
              <w:spacing w:before="40" w:after="40"/>
            </w:pPr>
            <w:r>
              <w:rPr>
                <w:rFonts w:ascii="Calibri" w:hAnsi="Calibri"/>
                <w:b/>
                <w:i w:val="0"/>
                <w:color w:val="333333"/>
                <w:sz w:val="17"/>
              </w:rPr>
              <w:t>Import phase 0</w:t>
            </w:r>
            <w:r>
              <w:rPr>
                <w:rFonts w:ascii="Calibri" w:hAnsi="Calibri"/>
                <w:b w:val="0"/>
                <w:i w:val="0"/>
                <w:color w:val="333333"/>
                <w:sz w:val="17"/>
              </w:rPr>
              <w:t xml:space="preserve"> : SUNU fournit l'extraction clients et polices ; mapping et chargement de test</w:t>
            </w:r>
          </w:p>
        </w:tc>
        <w:tc>
          <w:tcPr>
            <w:tcW w:type="dxa" w:w="3249"/>
            <w:shd w:val="clear" w:fill="F2F6FA"/>
          </w:tcPr>
          <w:p>
            <w:pPr>
              <w:spacing w:before="40" w:after="40"/>
            </w:pPr>
            <w:r>
              <w:rPr>
                <w:rFonts w:ascii="Calibri" w:hAnsi="Calibri"/>
                <w:b w:val="0"/>
                <w:i w:val="0"/>
                <w:color w:val="333333"/>
                <w:sz w:val="17"/>
              </w:rPr>
              <w:t>SUNU → DBS</w:t>
            </w:r>
          </w:p>
        </w:tc>
      </w:tr>
      <w:tr>
        <w:tc>
          <w:tcPr>
            <w:tcW w:type="dxa" w:w="3249"/>
          </w:tcPr>
          <w:p>
            <w:pPr>
              <w:spacing w:before="40" w:after="40"/>
            </w:pPr>
            <w:r>
              <w:rPr>
                <w:rFonts w:ascii="Calibri" w:hAnsi="Calibri"/>
                <w:b w:val="0"/>
                <w:i w:val="0"/>
                <w:color w:val="333333"/>
                <w:sz w:val="17"/>
              </w:rPr>
              <w:t>Sécurité</w:t>
            </w:r>
          </w:p>
        </w:tc>
        <w:tc>
          <w:tcPr>
            <w:tcW w:type="dxa" w:w="3249"/>
          </w:tcPr>
          <w:p>
            <w:pPr>
              <w:spacing w:before="40" w:after="40"/>
            </w:pPr>
            <w:r>
              <w:rPr>
                <w:rFonts w:ascii="Calibri" w:hAnsi="Calibri"/>
                <w:b/>
                <w:i w:val="0"/>
                <w:color w:val="333333"/>
                <w:sz w:val="17"/>
              </w:rPr>
              <w:t>H-4 (cryptographie mobile)</w:t>
            </w:r>
            <w:r>
              <w:rPr>
                <w:rFonts w:ascii="Calibri" w:hAnsi="Calibri"/>
                <w:b w:val="0"/>
                <w:i w:val="0"/>
                <w:color w:val="333333"/>
                <w:sz w:val="17"/>
              </w:rPr>
              <w:t xml:space="preserve">, </w:t>
            </w:r>
            <w:r>
              <w:rPr>
                <w:rFonts w:ascii="Calibri" w:hAnsi="Calibri"/>
                <w:b/>
                <w:i w:val="0"/>
                <w:color w:val="333333"/>
                <w:sz w:val="17"/>
              </w:rPr>
              <w:t>H-2 (jetons de session)</w:t>
            </w:r>
            <w:r>
              <w:rPr>
                <w:rFonts w:ascii="Calibri" w:hAnsi="Calibri"/>
                <w:b w:val="0"/>
                <w:i w:val="0"/>
                <w:color w:val="333333"/>
                <w:sz w:val="17"/>
              </w:rPr>
              <w:t xml:space="preserve">, </w:t>
            </w:r>
            <w:r>
              <w:rPr>
                <w:rFonts w:ascii="Calibri" w:hAnsi="Calibri"/>
                <w:b/>
                <w:i w:val="0"/>
                <w:color w:val="333333"/>
                <w:sz w:val="17"/>
              </w:rPr>
              <w:t>H-3 (limitation de débit)</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Paramétrage</w:t>
            </w:r>
          </w:p>
        </w:tc>
        <w:tc>
          <w:tcPr>
            <w:tcW w:type="dxa" w:w="3249"/>
            <w:shd w:val="clear" w:fill="F2F6FA"/>
          </w:tcPr>
          <w:p>
            <w:pPr>
              <w:spacing w:before="40" w:after="40"/>
            </w:pPr>
            <w:r>
              <w:rPr>
                <w:rFonts w:ascii="Calibri" w:hAnsi="Calibri"/>
                <w:b w:val="0"/>
                <w:i w:val="0"/>
                <w:color w:val="333333"/>
                <w:sz w:val="17"/>
              </w:rPr>
              <w:t>Produits, tarifs, plafonds et profils configurés à partir des réponses de SUNU aux OP-6, OP-7, OP-8, OP-10</w:t>
            </w:r>
          </w:p>
        </w:tc>
        <w:tc>
          <w:tcPr>
            <w:tcW w:type="dxa" w:w="3249"/>
            <w:shd w:val="clear" w:fill="F2F6FA"/>
          </w:tcPr>
          <w:p>
            <w:pPr>
              <w:spacing w:before="40" w:after="40"/>
            </w:pPr>
            <w:r>
              <w:rPr>
                <w:rFonts w:ascii="Calibri" w:hAnsi="Calibri"/>
                <w:b w:val="0"/>
                <w:i w:val="0"/>
                <w:color w:val="333333"/>
                <w:sz w:val="17"/>
              </w:rPr>
              <w:t>Les deux</w:t>
            </w:r>
          </w:p>
        </w:tc>
      </w:tr>
      <w:tr>
        <w:tc>
          <w:tcPr>
            <w:tcW w:type="dxa" w:w="3249"/>
          </w:tcPr>
          <w:p>
            <w:pPr>
              <w:spacing w:before="40" w:after="40"/>
            </w:pPr>
            <w:r>
              <w:rPr>
                <w:rFonts w:ascii="Calibri" w:hAnsi="Calibri"/>
                <w:b w:val="0"/>
                <w:i w:val="0"/>
                <w:color w:val="333333"/>
                <w:sz w:val="17"/>
              </w:rPr>
              <w:t>Documents</w:t>
            </w:r>
          </w:p>
        </w:tc>
        <w:tc>
          <w:tcPr>
            <w:tcW w:type="dxa" w:w="3249"/>
          </w:tcPr>
          <w:p>
            <w:pPr>
              <w:spacing w:before="40" w:after="40"/>
            </w:pPr>
            <w:r>
              <w:rPr>
                <w:rFonts w:ascii="Calibri" w:hAnsi="Calibri"/>
                <w:b w:val="0"/>
                <w:i w:val="0"/>
                <w:color w:val="333333"/>
                <w:sz w:val="17"/>
              </w:rPr>
              <w:t>Documents mis à jour à partir des commentaires de revue de SUNU</w:t>
            </w:r>
          </w:p>
        </w:tc>
        <w:tc>
          <w:tcPr>
            <w:tcW w:type="dxa" w:w="3249"/>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Jalon G2 — fin de semaine 2 :</w:t>
      </w:r>
      <w:r>
        <w:rPr>
          <w:rFonts w:ascii="Calibri" w:hAnsi="Calibri"/>
          <w:b w:val="0"/>
          <w:i w:val="0"/>
          <w:color w:val="333333"/>
          <w:sz w:val="20"/>
        </w:rPr>
        <w:t xml:space="preserve"> parcours de bout en bout démontrable en environnement de développement (souscrire → encaisser → reçu → back-office → export). Extraction de phase 0 reçue.</w:t>
      </w:r>
    </w:p>
    <w:p>
      <w:pPr>
        <w:pStyle w:val="Heading2"/>
        <w:spacing w:before="280" w:after="80"/>
        <w:keepNext/>
      </w:pPr>
      <w:bookmarkStart w:id="109" w:name="_Toc_s008"/>
      <w:r>
        <w:rPr>
          <w:rFonts w:ascii="Calibri" w:hAnsi="Calibri"/>
          <w:b/>
          <w:color w:val="1B3A5C"/>
          <w:sz w:val="24"/>
        </w:rPr>
        <w:t>Semaine 3 · 14–20 septembre — Recette</w:t>
      </w:r>
      <w:bookmarkEnd w:id="10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Chantier</w:t>
            </w:r>
          </w:p>
        </w:tc>
        <w:tc>
          <w:tcPr>
            <w:tcW w:type="dxa" w:w="3249"/>
            <w:shd w:val="clear" w:fill="1B3A5C"/>
          </w:tcPr>
          <w:p>
            <w:pPr>
              <w:spacing w:before="60" w:after="60"/>
            </w:pPr>
            <w:r>
              <w:rPr>
                <w:rFonts w:ascii="Calibri" w:hAnsi="Calibri"/>
                <w:b/>
                <w:color w:val="FFFFFF"/>
                <w:sz w:val="17"/>
              </w:rPr>
              <w:t>Activité</w:t>
            </w:r>
          </w:p>
        </w:tc>
        <w:tc>
          <w:tcPr>
            <w:tcW w:type="dxa" w:w="3249"/>
            <w:shd w:val="clear" w:fill="1B3A5C"/>
          </w:tcPr>
          <w:p>
            <w:pPr>
              <w:spacing w:before="60" w:after="60"/>
            </w:pPr>
            <w:r>
              <w:rPr>
                <w:rFonts w:ascii="Calibri" w:hAnsi="Calibri"/>
                <w:b/>
                <w:color w:val="FFFFFF"/>
                <w:sz w:val="17"/>
              </w:rPr>
              <w:t>Responsable</w:t>
            </w:r>
          </w:p>
        </w:tc>
      </w:tr>
      <w:tr>
        <w:tc>
          <w:tcPr>
            <w:tcW w:type="dxa" w:w="3249"/>
          </w:tcPr>
          <w:p>
            <w:pPr>
              <w:spacing w:before="40" w:after="40"/>
            </w:pPr>
            <w:r>
              <w:rPr>
                <w:rFonts w:ascii="Calibri" w:hAnsi="Calibri"/>
                <w:b/>
                <w:i w:val="0"/>
                <w:color w:val="333333"/>
                <w:sz w:val="17"/>
              </w:rPr>
              <w:t>M1</w:t>
            </w:r>
          </w:p>
        </w:tc>
        <w:tc>
          <w:tcPr>
            <w:tcW w:type="dxa" w:w="3249"/>
          </w:tcPr>
          <w:p>
            <w:pPr>
              <w:spacing w:before="40" w:after="40"/>
            </w:pPr>
            <w:r>
              <w:rPr>
                <w:rFonts w:ascii="Calibri" w:hAnsi="Calibri"/>
                <w:b/>
                <w:i w:val="0"/>
                <w:color w:val="333333"/>
                <w:sz w:val="17"/>
              </w:rPr>
              <w:t>Environnement de recette ouvert à SUNU avec des données synthétiques — 14 septembre</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Tests</w:t>
            </w:r>
          </w:p>
        </w:tc>
        <w:tc>
          <w:tcPr>
            <w:tcW w:type="dxa" w:w="3249"/>
            <w:shd w:val="clear" w:fill="F2F6FA"/>
          </w:tcPr>
          <w:p>
            <w:pPr>
              <w:spacing w:before="40" w:after="40"/>
            </w:pPr>
            <w:r>
              <w:rPr>
                <w:rFonts w:ascii="Calibri" w:hAnsi="Calibri"/>
                <w:b w:val="0"/>
                <w:i w:val="0"/>
                <w:color w:val="333333"/>
                <w:sz w:val="17"/>
              </w:rPr>
              <w:t>SUNU exécute les scénarios de réception de la section 4 ; anomalies consignées quotidiennement</w:t>
            </w:r>
          </w:p>
        </w:tc>
        <w:tc>
          <w:tcPr>
            <w:tcW w:type="dxa" w:w="3249"/>
            <w:shd w:val="clear" w:fill="F2F6FA"/>
          </w:tcPr>
          <w:p>
            <w:pPr>
              <w:spacing w:before="40" w:after="40"/>
            </w:pPr>
            <w:r>
              <w:rPr>
                <w:rFonts w:ascii="Calibri" w:hAnsi="Calibri"/>
                <w:b w:val="0"/>
                <w:i w:val="0"/>
                <w:color w:val="333333"/>
                <w:sz w:val="17"/>
              </w:rPr>
              <w:t>SUNU</w:t>
            </w:r>
          </w:p>
        </w:tc>
      </w:tr>
      <w:tr>
        <w:tc>
          <w:tcPr>
            <w:tcW w:type="dxa" w:w="3249"/>
          </w:tcPr>
          <w:p>
            <w:pPr>
              <w:spacing w:before="40" w:after="40"/>
            </w:pPr>
            <w:r>
              <w:rPr>
                <w:rFonts w:ascii="Calibri" w:hAnsi="Calibri"/>
                <w:b w:val="0"/>
                <w:i w:val="0"/>
                <w:color w:val="333333"/>
                <w:sz w:val="17"/>
              </w:rPr>
              <w:t>Correction</w:t>
            </w:r>
          </w:p>
        </w:tc>
        <w:tc>
          <w:tcPr>
            <w:tcW w:type="dxa" w:w="3249"/>
          </w:tcPr>
          <w:p>
            <w:pPr>
              <w:spacing w:before="40" w:after="40"/>
            </w:pPr>
            <w:r>
              <w:rPr>
                <w:rFonts w:ascii="Calibri" w:hAnsi="Calibri"/>
                <w:b w:val="0"/>
                <w:i w:val="0"/>
                <w:color w:val="333333"/>
                <w:sz w:val="17"/>
              </w:rPr>
              <w:t>Cycle quotidien de tri et de correction des anomalies</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Matériel</w:t>
            </w:r>
          </w:p>
        </w:tc>
        <w:tc>
          <w:tcPr>
            <w:tcW w:type="dxa" w:w="3249"/>
            <w:shd w:val="clear" w:fill="F2F6FA"/>
          </w:tcPr>
          <w:p>
            <w:pPr>
              <w:spacing w:before="40" w:after="40"/>
            </w:pPr>
            <w:r>
              <w:rPr>
                <w:rFonts w:ascii="Calibri" w:hAnsi="Calibri"/>
                <w:b w:val="0"/>
                <w:i w:val="0"/>
                <w:color w:val="333333"/>
                <w:sz w:val="17"/>
              </w:rPr>
              <w:t>Terminaux reçus, application installée, appareils durcis, terminaux enregistrés et affectés</w:t>
            </w:r>
          </w:p>
        </w:tc>
        <w:tc>
          <w:tcPr>
            <w:tcW w:type="dxa" w:w="3249"/>
            <w:shd w:val="clear" w:fill="F2F6FA"/>
          </w:tcPr>
          <w:p>
            <w:pPr>
              <w:spacing w:before="40" w:after="40"/>
            </w:pPr>
            <w:r>
              <w:rPr>
                <w:rFonts w:ascii="Calibri" w:hAnsi="Calibri"/>
                <w:b w:val="0"/>
                <w:i w:val="0"/>
                <w:color w:val="333333"/>
                <w:sz w:val="17"/>
              </w:rPr>
              <w:t>Les deux</w:t>
            </w:r>
          </w:p>
        </w:tc>
      </w:tr>
      <w:tr>
        <w:tc>
          <w:tcPr>
            <w:tcW w:type="dxa" w:w="3249"/>
          </w:tcPr>
          <w:p>
            <w:pPr>
              <w:spacing w:before="40" w:after="40"/>
            </w:pPr>
            <w:r>
              <w:rPr>
                <w:rFonts w:ascii="Calibri" w:hAnsi="Calibri"/>
                <w:b w:val="0"/>
                <w:i w:val="0"/>
                <w:color w:val="333333"/>
                <w:sz w:val="17"/>
              </w:rPr>
              <w:t>Cartes</w:t>
            </w:r>
          </w:p>
        </w:tc>
        <w:tc>
          <w:tcPr>
            <w:tcW w:type="dxa" w:w="3249"/>
          </w:tcPr>
          <w:p>
            <w:pPr>
              <w:spacing w:before="40" w:after="40"/>
            </w:pPr>
            <w:r>
              <w:rPr>
                <w:rFonts w:ascii="Calibri" w:hAnsi="Calibri"/>
                <w:b w:val="0"/>
                <w:i w:val="0"/>
                <w:color w:val="333333"/>
                <w:sz w:val="17"/>
              </w:rPr>
              <w:t>Cartes vierges reçues ; station de personnalisation installée et testée de bout en bout</w:t>
            </w:r>
          </w:p>
        </w:tc>
        <w:tc>
          <w:tcPr>
            <w:tcW w:type="dxa" w:w="3249"/>
          </w:tcPr>
          <w:p>
            <w:pPr>
              <w:spacing w:before="40" w:after="40"/>
            </w:pPr>
            <w:r>
              <w:rPr>
                <w:rFonts w:ascii="Calibri" w:hAnsi="Calibri"/>
                <w:b w:val="0"/>
                <w:i w:val="0"/>
                <w:color w:val="333333"/>
                <w:sz w:val="17"/>
              </w:rPr>
              <w:t>Les deux</w:t>
            </w:r>
          </w:p>
        </w:tc>
      </w:tr>
      <w:tr>
        <w:tc>
          <w:tcPr>
            <w:tcW w:type="dxa" w:w="3249"/>
            <w:shd w:val="clear" w:fill="F2F6FA"/>
          </w:tcPr>
          <w:p>
            <w:pPr>
              <w:spacing w:before="40" w:after="40"/>
            </w:pPr>
            <w:r>
              <w:rPr>
                <w:rFonts w:ascii="Calibri" w:hAnsi="Calibri"/>
                <w:b/>
                <w:i w:val="0"/>
                <w:color w:val="333333"/>
                <w:sz w:val="17"/>
              </w:rPr>
              <w:t>Formation</w:t>
            </w:r>
          </w:p>
        </w:tc>
        <w:tc>
          <w:tcPr>
            <w:tcW w:type="dxa" w:w="3249"/>
            <w:shd w:val="clear" w:fill="F2F6FA"/>
          </w:tcPr>
          <w:p>
            <w:pPr>
              <w:spacing w:before="40" w:after="40"/>
            </w:pPr>
            <w:r>
              <w:rPr>
                <w:rFonts w:ascii="Calibri" w:hAnsi="Calibri"/>
                <w:b/>
                <w:i w:val="0"/>
                <w:color w:val="333333"/>
                <w:sz w:val="17"/>
              </w:rPr>
              <w:t>Collecteurs (1 jour), back-office, superviseurs, agent cartes, administrateur, DSI</w:t>
            </w:r>
            <w:r>
              <w:rPr>
                <w:rFonts w:ascii="Calibri" w:hAnsi="Calibri"/>
                <w:b w:val="0"/>
                <w:i w:val="0"/>
                <w:color w:val="333333"/>
                <w:sz w:val="17"/>
              </w:rPr>
              <w:t xml:space="preserve"> — selon l'annexe du Doc 3</w:t>
            </w:r>
          </w:p>
        </w:tc>
        <w:tc>
          <w:tcPr>
            <w:tcW w:type="dxa" w:w="3249"/>
            <w:shd w:val="clear" w:fill="F2F6FA"/>
          </w:tcPr>
          <w:p>
            <w:pPr>
              <w:spacing w:before="40" w:after="40"/>
            </w:pPr>
            <w:r>
              <w:rPr>
                <w:rFonts w:ascii="Calibri" w:hAnsi="Calibri"/>
                <w:b w:val="0"/>
                <w:i w:val="0"/>
                <w:color w:val="333333"/>
                <w:sz w:val="17"/>
              </w:rPr>
              <w:t>DBS + SUNU</w:t>
            </w:r>
          </w:p>
        </w:tc>
      </w:tr>
      <w:tr>
        <w:tc>
          <w:tcPr>
            <w:tcW w:type="dxa" w:w="3249"/>
          </w:tcPr>
          <w:p>
            <w:pPr>
              <w:spacing w:before="40" w:after="40"/>
            </w:pPr>
            <w:r>
              <w:rPr>
                <w:rFonts w:ascii="Calibri" w:hAnsi="Calibri"/>
                <w:b w:val="0"/>
                <w:i w:val="0"/>
                <w:color w:val="333333"/>
                <w:sz w:val="17"/>
              </w:rPr>
              <w:t>Sécurité</w:t>
            </w:r>
          </w:p>
        </w:tc>
        <w:tc>
          <w:tcPr>
            <w:tcW w:type="dxa" w:w="3249"/>
          </w:tcPr>
          <w:p>
            <w:pPr>
              <w:spacing w:before="40" w:after="40"/>
            </w:pPr>
            <w:r>
              <w:rPr>
                <w:rFonts w:ascii="Calibri" w:hAnsi="Calibri"/>
                <w:b w:val="0"/>
                <w:i w:val="0"/>
                <w:color w:val="333333"/>
                <w:sz w:val="17"/>
              </w:rPr>
              <w:t>Test d'authentification et d'habilitations, tests négatifs, analyse de vulnérabilité</w:t>
            </w:r>
          </w:p>
        </w:tc>
        <w:tc>
          <w:tcPr>
            <w:tcW w:type="dxa" w:w="3249"/>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Jalon G3 — 20 septembre :</w:t>
      </w:r>
      <w:r>
        <w:rPr>
          <w:rFonts w:ascii="Calibri" w:hAnsi="Calibri"/>
          <w:b w:val="0"/>
          <w:i w:val="0"/>
          <w:color w:val="333333"/>
          <w:sz w:val="20"/>
        </w:rPr>
        <w:t xml:space="preserve"> aucune anomalie bloquante ouverte ; tous les utilisateurs formés ; terminaux disponibles en main.</w:t>
      </w:r>
    </w:p>
    <w:p>
      <w:pPr>
        <w:pStyle w:val="Heading2"/>
        <w:spacing w:before="280" w:after="80"/>
        <w:keepNext/>
      </w:pPr>
      <w:bookmarkStart w:id="110" w:name="_Toc_s009"/>
      <w:r>
        <w:rPr>
          <w:rFonts w:ascii="Calibri" w:hAnsi="Calibri"/>
          <w:b/>
          <w:color w:val="1B3A5C"/>
          <w:sz w:val="24"/>
        </w:rPr>
        <w:t>Semaine 4 · 21–27 septembre — Réception et préparation</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Chantier</w:t>
            </w:r>
          </w:p>
        </w:tc>
        <w:tc>
          <w:tcPr>
            <w:tcW w:type="dxa" w:w="3249"/>
            <w:shd w:val="clear" w:fill="1B3A5C"/>
          </w:tcPr>
          <w:p>
            <w:pPr>
              <w:spacing w:before="60" w:after="60"/>
            </w:pPr>
            <w:r>
              <w:rPr>
                <w:rFonts w:ascii="Calibri" w:hAnsi="Calibri"/>
                <w:b/>
                <w:color w:val="FFFFFF"/>
                <w:sz w:val="17"/>
              </w:rPr>
              <w:t>Activité</w:t>
            </w:r>
          </w:p>
        </w:tc>
        <w:tc>
          <w:tcPr>
            <w:tcW w:type="dxa" w:w="3249"/>
            <w:shd w:val="clear" w:fill="1B3A5C"/>
          </w:tcPr>
          <w:p>
            <w:pPr>
              <w:spacing w:before="60" w:after="60"/>
            </w:pPr>
            <w:r>
              <w:rPr>
                <w:rFonts w:ascii="Calibri" w:hAnsi="Calibri"/>
                <w:b/>
                <w:color w:val="FFFFFF"/>
                <w:sz w:val="17"/>
              </w:rPr>
              <w:t>Responsable</w:t>
            </w:r>
          </w:p>
        </w:tc>
      </w:tr>
      <w:tr>
        <w:tc>
          <w:tcPr>
            <w:tcW w:type="dxa" w:w="3249"/>
          </w:tcPr>
          <w:p>
            <w:pPr>
              <w:spacing w:before="40" w:after="40"/>
            </w:pPr>
            <w:r>
              <w:rPr>
                <w:rFonts w:ascii="Calibri" w:hAnsi="Calibri"/>
                <w:b w:val="0"/>
                <w:i w:val="0"/>
                <w:color w:val="333333"/>
                <w:sz w:val="17"/>
              </w:rPr>
              <w:t>Tests</w:t>
            </w:r>
          </w:p>
        </w:tc>
        <w:tc>
          <w:tcPr>
            <w:tcW w:type="dxa" w:w="3249"/>
          </w:tcPr>
          <w:p>
            <w:pPr>
              <w:spacing w:before="40" w:after="40"/>
            </w:pPr>
            <w:r>
              <w:rPr>
                <w:rFonts w:ascii="Calibri" w:hAnsi="Calibri"/>
                <w:b w:val="0"/>
                <w:i w:val="0"/>
                <w:color w:val="333333"/>
                <w:sz w:val="17"/>
              </w:rPr>
              <w:t>Deuxième passe de recette sur les anomalies corrigées ; scénarios de fraude du Doc 2 §3.2 rejoués</w:t>
            </w:r>
          </w:p>
        </w:tc>
        <w:tc>
          <w:tcPr>
            <w:tcW w:type="dxa" w:w="3249"/>
          </w:tcPr>
          <w:p>
            <w:pPr>
              <w:spacing w:before="40" w:after="40"/>
            </w:pPr>
            <w:r>
              <w:rPr>
                <w:rFonts w:ascii="Calibri" w:hAnsi="Calibri"/>
                <w:b w:val="0"/>
                <w:i w:val="0"/>
                <w:color w:val="333333"/>
                <w:sz w:val="17"/>
              </w:rPr>
              <w:t>SUNU</w:t>
            </w:r>
          </w:p>
        </w:tc>
      </w:tr>
      <w:tr>
        <w:tc>
          <w:tcPr>
            <w:tcW w:type="dxa" w:w="3249"/>
            <w:shd w:val="clear" w:fill="F2F6FA"/>
          </w:tcPr>
          <w:p>
            <w:pPr>
              <w:spacing w:before="40" w:after="40"/>
            </w:pPr>
            <w:r>
              <w:rPr>
                <w:rFonts w:ascii="Calibri" w:hAnsi="Calibri"/>
                <w:b/>
                <w:i w:val="0"/>
                <w:color w:val="333333"/>
                <w:sz w:val="17"/>
              </w:rPr>
              <w:t>M2</w:t>
            </w:r>
          </w:p>
        </w:tc>
        <w:tc>
          <w:tcPr>
            <w:tcW w:type="dxa" w:w="3249"/>
            <w:shd w:val="clear" w:fill="F2F6FA"/>
          </w:tcPr>
          <w:p>
            <w:pPr>
              <w:spacing w:before="40" w:after="40"/>
            </w:pPr>
            <w:r>
              <w:rPr>
                <w:rFonts w:ascii="Calibri" w:hAnsi="Calibri"/>
                <w:b/>
                <w:i w:val="0"/>
                <w:color w:val="333333"/>
                <w:sz w:val="17"/>
              </w:rPr>
              <w:t>Recette signée — 25 septembre</w:t>
            </w:r>
          </w:p>
        </w:tc>
        <w:tc>
          <w:tcPr>
            <w:tcW w:type="dxa" w:w="3249"/>
            <w:shd w:val="clear" w:fill="F2F6FA"/>
          </w:tcPr>
          <w:p>
            <w:pPr>
              <w:spacing w:before="40" w:after="40"/>
            </w:pPr>
            <w:r>
              <w:rPr>
                <w:rFonts w:ascii="Calibri" w:hAnsi="Calibri"/>
                <w:b/>
                <w:i w:val="0"/>
                <w:color w:val="333333"/>
                <w:sz w:val="17"/>
              </w:rPr>
              <w:t>SUNU</w:t>
            </w:r>
          </w:p>
        </w:tc>
      </w:tr>
      <w:tr>
        <w:tc>
          <w:tcPr>
            <w:tcW w:type="dxa" w:w="3249"/>
          </w:tcPr>
          <w:p>
            <w:pPr>
              <w:spacing w:before="40" w:after="40"/>
            </w:pPr>
            <w:r>
              <w:rPr>
                <w:rFonts w:ascii="Calibri" w:hAnsi="Calibri"/>
                <w:b w:val="0"/>
                <w:i w:val="0"/>
                <w:color w:val="333333"/>
                <w:sz w:val="17"/>
              </w:rPr>
              <w:t>Production</w:t>
            </w:r>
          </w:p>
        </w:tc>
        <w:tc>
          <w:tcPr>
            <w:tcW w:type="dxa" w:w="3249"/>
          </w:tcPr>
          <w:p>
            <w:pPr>
              <w:spacing w:before="40" w:after="40"/>
            </w:pPr>
            <w:r>
              <w:rPr>
                <w:rFonts w:ascii="Calibri" w:hAnsi="Calibri"/>
                <w:b w:val="0"/>
                <w:i w:val="0"/>
                <w:color w:val="333333"/>
                <w:sz w:val="17"/>
              </w:rPr>
              <w:t xml:space="preserve">Environnement de production finalisé ; sauvegarde en fonctionnement ; </w:t>
            </w:r>
            <w:r>
              <w:rPr>
                <w:rFonts w:ascii="Calibri" w:hAnsi="Calibri"/>
                <w:b/>
                <w:i w:val="0"/>
                <w:color w:val="333333"/>
                <w:sz w:val="17"/>
              </w:rPr>
              <w:t>test de restauration exécuté</w:t>
            </w:r>
            <w:r>
              <w:rPr>
                <w:rFonts w:ascii="Calibri" w:hAnsi="Calibri"/>
                <w:b w:val="0"/>
                <w:i w:val="0"/>
                <w:color w:val="333333"/>
                <w:sz w:val="17"/>
              </w:rPr>
              <w:t xml:space="preserve"> ; supervision et alertes configurées et routées</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Données</w:t>
            </w:r>
          </w:p>
        </w:tc>
        <w:tc>
          <w:tcPr>
            <w:tcW w:type="dxa" w:w="3249"/>
            <w:shd w:val="clear" w:fill="F2F6FA"/>
          </w:tcPr>
          <w:p>
            <w:pPr>
              <w:spacing w:before="40" w:after="40"/>
            </w:pPr>
            <w:r>
              <w:rPr>
                <w:rFonts w:ascii="Calibri" w:hAnsi="Calibri"/>
                <w:b w:val="0"/>
                <w:i w:val="0"/>
                <w:color w:val="333333"/>
                <w:sz w:val="17"/>
              </w:rPr>
              <w:t>Import de phase 0 chargé en production ; volumes et contrôles par sondage validés par SUNU</w:t>
            </w:r>
          </w:p>
        </w:tc>
        <w:tc>
          <w:tcPr>
            <w:tcW w:type="dxa" w:w="3249"/>
            <w:shd w:val="clear" w:fill="F2F6FA"/>
          </w:tcPr>
          <w:p>
            <w:pPr>
              <w:spacing w:before="40" w:after="40"/>
            </w:pPr>
            <w:r>
              <w:rPr>
                <w:rFonts w:ascii="Calibri" w:hAnsi="Calibri"/>
                <w:b w:val="0"/>
                <w:i w:val="0"/>
                <w:color w:val="333333"/>
                <w:sz w:val="17"/>
              </w:rPr>
              <w:t>Les deux</w:t>
            </w:r>
          </w:p>
        </w:tc>
      </w:tr>
      <w:tr>
        <w:tc>
          <w:tcPr>
            <w:tcW w:type="dxa" w:w="3249"/>
          </w:tcPr>
          <w:p>
            <w:pPr>
              <w:spacing w:before="40" w:after="40"/>
            </w:pPr>
            <w:r>
              <w:rPr>
                <w:rFonts w:ascii="Calibri" w:hAnsi="Calibri"/>
                <w:b w:val="0"/>
                <w:i w:val="0"/>
                <w:color w:val="333333"/>
                <w:sz w:val="17"/>
              </w:rPr>
              <w:t>Opérations</w:t>
            </w:r>
          </w:p>
        </w:tc>
        <w:tc>
          <w:tcPr>
            <w:tcW w:type="dxa" w:w="3249"/>
          </w:tcPr>
          <w:p>
            <w:pPr>
              <w:spacing w:before="40" w:after="40"/>
            </w:pPr>
            <w:r>
              <w:rPr>
                <w:rFonts w:ascii="Calibri" w:hAnsi="Calibri"/>
                <w:b w:val="0"/>
                <w:i w:val="0"/>
                <w:color w:val="333333"/>
                <w:sz w:val="17"/>
              </w:rPr>
              <w:t>Périmètre du pilote confirmé : quels collecteurs, quelles zones, quels produits ; compte bancaire et caisse de versement paramétrés</w:t>
            </w:r>
          </w:p>
        </w:tc>
        <w:tc>
          <w:tcPr>
            <w:tcW w:type="dxa" w:w="3249"/>
          </w:tcPr>
          <w:p>
            <w:pPr>
              <w:spacing w:before="40" w:after="40"/>
            </w:pPr>
            <w:r>
              <w:rPr>
                <w:rFonts w:ascii="Calibri" w:hAnsi="Calibri"/>
                <w:b w:val="0"/>
                <w:i w:val="0"/>
                <w:color w:val="333333"/>
                <w:sz w:val="17"/>
              </w:rPr>
              <w:t>SUNU</w:t>
            </w:r>
          </w:p>
        </w:tc>
      </w:tr>
      <w:tr>
        <w:tc>
          <w:tcPr>
            <w:tcW w:type="dxa" w:w="3249"/>
            <w:shd w:val="clear" w:fill="F2F6FA"/>
          </w:tcPr>
          <w:p>
            <w:pPr>
              <w:spacing w:before="40" w:after="40"/>
            </w:pPr>
            <w:r>
              <w:rPr>
                <w:rFonts w:ascii="Calibri" w:hAnsi="Calibri"/>
                <w:b w:val="0"/>
                <w:i w:val="0"/>
                <w:color w:val="333333"/>
                <w:sz w:val="17"/>
              </w:rPr>
              <w:t>Sécurité</w:t>
            </w:r>
          </w:p>
        </w:tc>
        <w:tc>
          <w:tcPr>
            <w:tcW w:type="dxa" w:w="3249"/>
            <w:shd w:val="clear" w:fill="F2F6FA"/>
          </w:tcPr>
          <w:p>
            <w:pPr>
              <w:spacing w:before="40" w:after="40"/>
            </w:pPr>
            <w:r>
              <w:rPr>
                <w:rFonts w:ascii="Calibri" w:hAnsi="Calibri"/>
                <w:b/>
                <w:i w:val="0"/>
                <w:color w:val="333333"/>
                <w:sz w:val="17"/>
              </w:rPr>
              <w:t>Liste de contrôle de mise en service (Doc 2 §18) complétée et signée conjointement</w:t>
            </w:r>
          </w:p>
        </w:tc>
        <w:tc>
          <w:tcPr>
            <w:tcW w:type="dxa" w:w="3249"/>
            <w:shd w:val="clear" w:fill="F2F6FA"/>
          </w:tcPr>
          <w:p>
            <w:pPr>
              <w:spacing w:before="40" w:after="40"/>
            </w:pPr>
            <w:r>
              <w:rPr>
                <w:rFonts w:ascii="Calibri" w:hAnsi="Calibri"/>
                <w:b w:val="0"/>
                <w:i w:val="0"/>
                <w:color w:val="333333"/>
                <w:sz w:val="17"/>
              </w:rPr>
              <w:t>Les deux</w:t>
            </w:r>
          </w:p>
        </w:tc>
      </w:tr>
      <w:tr>
        <w:tc>
          <w:tcPr>
            <w:tcW w:type="dxa" w:w="3249"/>
          </w:tcPr>
          <w:p>
            <w:pPr>
              <w:spacing w:before="40" w:after="40"/>
            </w:pPr>
            <w:r>
              <w:rPr>
                <w:rFonts w:ascii="Calibri" w:hAnsi="Calibri"/>
                <w:b w:val="0"/>
                <w:i w:val="0"/>
                <w:color w:val="333333"/>
                <w:sz w:val="17"/>
              </w:rPr>
              <w:t>Documents</w:t>
            </w:r>
          </w:p>
        </w:tc>
        <w:tc>
          <w:tcPr>
            <w:tcW w:type="dxa" w:w="3249"/>
          </w:tcPr>
          <w:p>
            <w:pPr>
              <w:spacing w:before="40" w:after="40"/>
            </w:pPr>
            <w:r>
              <w:rPr>
                <w:rFonts w:ascii="Calibri" w:hAnsi="Calibri"/>
                <w:b w:val="0"/>
                <w:i w:val="0"/>
                <w:color w:val="333333"/>
                <w:sz w:val="17"/>
              </w:rPr>
              <w:t xml:space="preserve">Documents 1 à 4 finalisés avec les copies d'écran de recette ; </w:t>
            </w:r>
            <w:r>
              <w:rPr>
                <w:rFonts w:ascii="Calibri" w:hAnsi="Calibri"/>
                <w:b/>
                <w:i w:val="0"/>
                <w:color w:val="333333"/>
                <w:sz w:val="17"/>
              </w:rPr>
              <w:t>versions françaises livrées</w:t>
            </w:r>
          </w:p>
        </w:tc>
        <w:tc>
          <w:tcPr>
            <w:tcW w:type="dxa" w:w="3249"/>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Jalon G4 — 27 septembre : GO / NO-GO du pilote.</w:t>
      </w:r>
      <w:r>
        <w:rPr>
          <w:rFonts w:ascii="Calibri" w:hAnsi="Calibri"/>
          <w:b w:val="0"/>
          <w:i w:val="0"/>
          <w:color w:val="333333"/>
          <w:sz w:val="20"/>
        </w:rPr>
        <w:t xml:space="preserve"> Critères en section 5.</w:t>
      </w:r>
    </w:p>
    <w:p>
      <w:pPr>
        <w:pStyle w:val="Heading2"/>
        <w:spacing w:before="280" w:after="80"/>
        <w:keepNext/>
      </w:pPr>
      <w:bookmarkStart w:id="111" w:name="_Toc_s010"/>
      <w:r>
        <w:rPr>
          <w:rFonts w:ascii="Calibri" w:hAnsi="Calibri"/>
          <w:b/>
          <w:color w:val="1B3A5C"/>
          <w:sz w:val="24"/>
        </w:rPr>
        <w:t>Semaine 5 · 28–30 septembre — Lancement du pilote</w:t>
      </w:r>
      <w:bookmarkEnd w:id="11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907"/>
            <w:shd w:val="clear" w:fill="1B3A5C"/>
          </w:tcPr>
          <w:p>
            <w:pPr>
              <w:spacing w:before="60" w:after="60"/>
            </w:pPr>
            <w:r>
              <w:rPr>
                <w:rFonts w:ascii="Calibri" w:hAnsi="Calibri"/>
                <w:b/>
                <w:color w:val="FFFFFF"/>
                <w:sz w:val="17"/>
              </w:rPr>
              <w:t>Jour</w:t>
            </w:r>
          </w:p>
        </w:tc>
        <w:tc>
          <w:tcPr>
            <w:tcW w:type="dxa" w:w="8504"/>
            <w:shd w:val="clear" w:fill="1B3A5C"/>
          </w:tcPr>
          <w:p>
            <w:pPr>
              <w:spacing w:before="60" w:after="60"/>
            </w:pPr>
            <w:r>
              <w:rPr>
                <w:rFonts w:ascii="Calibri" w:hAnsi="Calibri"/>
                <w:b/>
                <w:color w:val="FFFFFF"/>
                <w:sz w:val="17"/>
              </w:rPr>
              <w:t>Activité</w:t>
            </w:r>
          </w:p>
        </w:tc>
      </w:tr>
      <w:tr>
        <w:tc>
          <w:tcPr>
            <w:tcW w:type="dxa" w:w="907"/>
          </w:tcPr>
          <w:p>
            <w:pPr>
              <w:spacing w:before="40" w:after="40"/>
            </w:pPr>
            <w:r>
              <w:rPr>
                <w:rFonts w:ascii="Calibri" w:hAnsi="Calibri"/>
                <w:b w:val="0"/>
                <w:i w:val="0"/>
                <w:color w:val="333333"/>
                <w:sz w:val="17"/>
              </w:rPr>
              <w:t>28 sept.</w:t>
            </w:r>
          </w:p>
        </w:tc>
        <w:tc>
          <w:tcPr>
            <w:tcW w:type="dxa" w:w="8504"/>
          </w:tcPr>
          <w:p>
            <w:pPr>
              <w:spacing w:before="40" w:after="40"/>
            </w:pPr>
            <w:r>
              <w:rPr>
                <w:rFonts w:ascii="Calibri" w:hAnsi="Calibri"/>
                <w:b w:val="0"/>
                <w:i w:val="0"/>
                <w:color w:val="333333"/>
                <w:sz w:val="17"/>
              </w:rPr>
              <w:t>Déploiement en production ; tests de fumée ; terminaux synchronisés en production ; briefing final des collecteurs</w:t>
            </w:r>
          </w:p>
        </w:tc>
      </w:tr>
      <w:tr>
        <w:tc>
          <w:tcPr>
            <w:tcW w:type="dxa" w:w="907"/>
            <w:shd w:val="clear" w:fill="F2F6FA"/>
          </w:tcPr>
          <w:p>
            <w:pPr>
              <w:spacing w:before="40" w:after="40"/>
            </w:pPr>
            <w:r>
              <w:rPr>
                <w:rFonts w:ascii="Calibri" w:hAnsi="Calibri"/>
                <w:b w:val="0"/>
                <w:i w:val="0"/>
                <w:color w:val="333333"/>
                <w:sz w:val="17"/>
              </w:rPr>
              <w:t>29 sept.</w:t>
            </w:r>
          </w:p>
        </w:tc>
        <w:tc>
          <w:tcPr>
            <w:tcW w:type="dxa" w:w="8504"/>
            <w:shd w:val="clear" w:fill="F2F6FA"/>
          </w:tcPr>
          <w:p>
            <w:pPr>
              <w:spacing w:before="40" w:after="40"/>
            </w:pPr>
            <w:r>
              <w:rPr>
                <w:rFonts w:ascii="Calibri" w:hAnsi="Calibri"/>
                <w:b/>
                <w:i w:val="0"/>
                <w:color w:val="333333"/>
                <w:sz w:val="17"/>
              </w:rPr>
              <w:t>Lancement maîtrisé : un petit nombre de collecteurs, transactions réelles, accompagnement rapproché</w:t>
            </w:r>
          </w:p>
        </w:tc>
      </w:tr>
      <w:tr>
        <w:tc>
          <w:tcPr>
            <w:tcW w:type="dxa" w:w="907"/>
          </w:tcPr>
          <w:p>
            <w:pPr>
              <w:spacing w:before="40" w:after="40"/>
            </w:pPr>
            <w:r>
              <w:rPr>
                <w:rFonts w:ascii="Calibri" w:hAnsi="Calibri"/>
                <w:b w:val="0"/>
                <w:i w:val="0"/>
                <w:color w:val="333333"/>
                <w:sz w:val="17"/>
              </w:rPr>
              <w:t>30 sept.</w:t>
            </w:r>
          </w:p>
        </w:tc>
        <w:tc>
          <w:tcPr>
            <w:tcW w:type="dxa" w:w="8504"/>
          </w:tcPr>
          <w:p>
            <w:pPr>
              <w:spacing w:before="40" w:after="40"/>
            </w:pPr>
            <w:r>
              <w:rPr>
                <w:rFonts w:ascii="Calibri" w:hAnsi="Calibri"/>
                <w:b/>
                <w:i w:val="0"/>
                <w:color w:val="333333"/>
                <w:sz w:val="17"/>
              </w:rPr>
              <w:t>M3 — pilote complet : 15 collecteurs sur le terrain.</w:t>
            </w:r>
            <w:r>
              <w:rPr>
                <w:rFonts w:ascii="Calibri" w:hAnsi="Calibri"/>
                <w:b w:val="0"/>
                <w:i w:val="0"/>
                <w:color w:val="333333"/>
                <w:sz w:val="17"/>
              </w:rPr>
              <w:t xml:space="preserve"> Présence de support renforcée ; revue de fin de journée</w:t>
            </w:r>
          </w:p>
        </w:tc>
      </w:tr>
    </w:tbl>
    <w:p>
      <w:pPr>
        <w:spacing w:after="40"/>
      </w:pPr>
    </w:p>
    <w:p>
      <w:pPr>
        <w:pStyle w:val="Heading2"/>
        <w:spacing w:before="280" w:after="80"/>
        <w:keepNext/>
      </w:pPr>
      <w:bookmarkStart w:id="112" w:name="_Toc_s011"/>
      <w:r>
        <w:rPr>
          <w:rFonts w:ascii="Calibri" w:hAnsi="Calibri"/>
          <w:b/>
          <w:color w:val="1B3A5C"/>
          <w:sz w:val="24"/>
        </w:rPr>
        <w:t>1er octobre — M4, réunion de direction</w:t>
      </w:r>
      <w:bookmarkEnd w:id="11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Point</w:t>
            </w:r>
          </w:p>
        </w:tc>
        <w:tc>
          <w:tcPr>
            <w:tcW w:type="dxa" w:w="4873"/>
            <w:shd w:val="clear" w:fill="1B3A5C"/>
          </w:tcPr>
          <w:p>
            <w:pPr>
              <w:spacing w:before="60" w:after="60"/>
            </w:pPr>
            <w:r>
              <w:rPr>
                <w:rFonts w:ascii="Calibri" w:hAnsi="Calibri"/>
                <w:b/>
                <w:color w:val="FFFFFF"/>
                <w:sz w:val="17"/>
              </w:rPr>
              <w:t>Contenu</w:t>
            </w:r>
          </w:p>
        </w:tc>
      </w:tr>
      <w:tr>
        <w:tc>
          <w:tcPr>
            <w:tcW w:type="dxa" w:w="4873"/>
          </w:tcPr>
          <w:p>
            <w:pPr>
              <w:spacing w:before="40" w:after="40"/>
            </w:pPr>
            <w:r>
              <w:rPr>
                <w:rFonts w:ascii="Calibri" w:hAnsi="Calibri"/>
                <w:b w:val="0"/>
                <w:i w:val="0"/>
                <w:color w:val="333333"/>
                <w:sz w:val="17"/>
              </w:rPr>
              <w:t>Démonstration en direct</w:t>
            </w:r>
          </w:p>
        </w:tc>
        <w:tc>
          <w:tcPr>
            <w:tcW w:type="dxa" w:w="4873"/>
          </w:tcPr>
          <w:p>
            <w:pPr>
              <w:spacing w:before="40" w:after="40"/>
            </w:pPr>
            <w:r>
              <w:rPr>
                <w:rFonts w:ascii="Calibri" w:hAnsi="Calibri"/>
                <w:b w:val="0"/>
                <w:i w:val="0"/>
                <w:color w:val="333333"/>
                <w:sz w:val="17"/>
              </w:rPr>
              <w:t>Une souscription réelle et un encaissement réel exécutés sur un terminal en séance</w:t>
            </w:r>
          </w:p>
        </w:tc>
      </w:tr>
      <w:tr>
        <w:tc>
          <w:tcPr>
            <w:tcW w:type="dxa" w:w="4873"/>
            <w:shd w:val="clear" w:fill="F2F6FA"/>
          </w:tcPr>
          <w:p>
            <w:pPr>
              <w:spacing w:before="40" w:after="40"/>
            </w:pPr>
            <w:r>
              <w:rPr>
                <w:rFonts w:ascii="Calibri" w:hAnsi="Calibri"/>
                <w:b w:val="0"/>
                <w:i w:val="0"/>
                <w:color w:val="333333"/>
                <w:sz w:val="17"/>
              </w:rPr>
              <w:t>Architecture</w:t>
            </w:r>
          </w:p>
        </w:tc>
        <w:tc>
          <w:tcPr>
            <w:tcW w:type="dxa" w:w="4873"/>
            <w:shd w:val="clear" w:fill="F2F6FA"/>
          </w:tcPr>
          <w:p>
            <w:pPr>
              <w:spacing w:before="40" w:after="40"/>
            </w:pPr>
            <w:r>
              <w:rPr>
                <w:rFonts w:ascii="Calibri" w:hAnsi="Calibri"/>
                <w:b w:val="0"/>
                <w:i w:val="0"/>
                <w:color w:val="333333"/>
                <w:sz w:val="17"/>
              </w:rPr>
              <w:t>Document 1, sections 3, 4, 6 — y compris l'approche SUNULIFE</w:t>
            </w:r>
          </w:p>
        </w:tc>
      </w:tr>
      <w:tr>
        <w:tc>
          <w:tcPr>
            <w:tcW w:type="dxa" w:w="4873"/>
          </w:tcPr>
          <w:p>
            <w:pPr>
              <w:spacing w:before="40" w:after="40"/>
            </w:pPr>
            <w:r>
              <w:rPr>
                <w:rFonts w:ascii="Calibri" w:hAnsi="Calibri"/>
                <w:b w:val="0"/>
                <w:i w:val="0"/>
                <w:color w:val="333333"/>
                <w:sz w:val="17"/>
              </w:rPr>
              <w:t>Sécurité</w:t>
            </w:r>
          </w:p>
        </w:tc>
        <w:tc>
          <w:tcPr>
            <w:tcW w:type="dxa" w:w="4873"/>
          </w:tcPr>
          <w:p>
            <w:pPr>
              <w:spacing w:before="40" w:after="40"/>
            </w:pPr>
            <w:r>
              <w:rPr>
                <w:rFonts w:ascii="Calibri" w:hAnsi="Calibri"/>
                <w:b w:val="0"/>
                <w:i w:val="0"/>
                <w:color w:val="333333"/>
                <w:sz w:val="17"/>
              </w:rPr>
              <w:t>Document 2, sections 4, 8, 12 — y compris le programme de durcissement, présenté ouvertement</w:t>
            </w:r>
          </w:p>
        </w:tc>
      </w:tr>
      <w:tr>
        <w:tc>
          <w:tcPr>
            <w:tcW w:type="dxa" w:w="4873"/>
            <w:shd w:val="clear" w:fill="F2F6FA"/>
          </w:tcPr>
          <w:p>
            <w:pPr>
              <w:spacing w:before="40" w:after="40"/>
            </w:pPr>
            <w:r>
              <w:rPr>
                <w:rFonts w:ascii="Calibri" w:hAnsi="Calibri"/>
                <w:b w:val="0"/>
                <w:i w:val="0"/>
                <w:color w:val="333333"/>
                <w:sz w:val="17"/>
              </w:rPr>
              <w:t>Fonctions demandées</w:t>
            </w:r>
          </w:p>
        </w:tc>
        <w:tc>
          <w:tcPr>
            <w:tcW w:type="dxa" w:w="4873"/>
            <w:shd w:val="clear" w:fill="F2F6FA"/>
          </w:tcPr>
          <w:p>
            <w:pPr>
              <w:spacing w:before="40" w:after="40"/>
            </w:pPr>
            <w:r>
              <w:rPr>
                <w:rFonts w:ascii="Calibri" w:hAnsi="Calibri"/>
                <w:b w:val="0"/>
                <w:i w:val="0"/>
                <w:color w:val="333333"/>
                <w:sz w:val="17"/>
              </w:rPr>
              <w:t>Carte physique, carte virtuelle QR, Mobile Money — état d'avancement et dates de livraison en octobre</w:t>
            </w:r>
          </w:p>
        </w:tc>
      </w:tr>
      <w:tr>
        <w:tc>
          <w:tcPr>
            <w:tcW w:type="dxa" w:w="4873"/>
          </w:tcPr>
          <w:p>
            <w:pPr>
              <w:spacing w:before="40" w:after="40"/>
            </w:pPr>
            <w:r>
              <w:rPr>
                <w:rFonts w:ascii="Calibri" w:hAnsi="Calibri"/>
                <w:b w:val="0"/>
                <w:i w:val="0"/>
                <w:color w:val="333333"/>
                <w:sz w:val="17"/>
              </w:rPr>
              <w:t>SUNULIFE</w:t>
            </w:r>
          </w:p>
        </w:tc>
        <w:tc>
          <w:tcPr>
            <w:tcW w:type="dxa" w:w="4873"/>
          </w:tcPr>
          <w:p>
            <w:pPr>
              <w:spacing w:before="40" w:after="40"/>
            </w:pPr>
            <w:r>
              <w:rPr>
                <w:rFonts w:ascii="Calibri" w:hAnsi="Calibri"/>
                <w:b w:val="0"/>
                <w:i w:val="0"/>
                <w:color w:val="333333"/>
                <w:sz w:val="17"/>
              </w:rPr>
              <w:t xml:space="preserve">Section 8 et </w:t>
            </w:r>
            <w:r>
              <w:rPr>
                <w:rFonts w:ascii="Calibri" w:hAnsi="Calibri"/>
                <w:b/>
                <w:i w:val="0"/>
                <w:color w:val="333333"/>
                <w:sz w:val="17"/>
              </w:rPr>
              <w:t>le questionnaire du §8.5 — le point décisif à trancher lors de cette réunion</w:t>
            </w:r>
          </w:p>
        </w:tc>
      </w:tr>
      <w:tr>
        <w:tc>
          <w:tcPr>
            <w:tcW w:type="dxa" w:w="4873"/>
            <w:shd w:val="clear" w:fill="F2F6FA"/>
          </w:tcPr>
          <w:p>
            <w:pPr>
              <w:spacing w:before="40" w:after="40"/>
            </w:pPr>
            <w:r>
              <w:rPr>
                <w:rFonts w:ascii="Calibri" w:hAnsi="Calibri"/>
                <w:b w:val="0"/>
                <w:i w:val="0"/>
                <w:color w:val="333333"/>
                <w:sz w:val="17"/>
              </w:rPr>
              <w:t>Premiers chiffres</w:t>
            </w:r>
          </w:p>
        </w:tc>
        <w:tc>
          <w:tcPr>
            <w:tcW w:type="dxa" w:w="4873"/>
            <w:shd w:val="clear" w:fill="F2F6FA"/>
          </w:tcPr>
          <w:p>
            <w:pPr>
              <w:spacing w:before="40" w:after="40"/>
            </w:pPr>
            <w:r>
              <w:rPr>
                <w:rFonts w:ascii="Calibri" w:hAnsi="Calibri"/>
                <w:b w:val="0"/>
                <w:i w:val="0"/>
                <w:color w:val="333333"/>
                <w:sz w:val="17"/>
              </w:rPr>
              <w:t>Encaissements du pilote sur les deux premiers jours</w:t>
            </w:r>
          </w:p>
        </w:tc>
      </w:tr>
      <w:tr>
        <w:tc>
          <w:tcPr>
            <w:tcW w:type="dxa" w:w="4873"/>
          </w:tcPr>
          <w:p>
            <w:pPr>
              <w:spacing w:before="40" w:after="40"/>
            </w:pPr>
            <w:r>
              <w:rPr>
                <w:rFonts w:ascii="Calibri" w:hAnsi="Calibri"/>
                <w:b w:val="0"/>
                <w:i w:val="0"/>
                <w:color w:val="333333"/>
                <w:sz w:val="17"/>
              </w:rPr>
              <w:t>Calendrier jusqu'à novembre</w:t>
            </w:r>
          </w:p>
        </w:tc>
        <w:tc>
          <w:tcPr>
            <w:tcW w:type="dxa" w:w="4873"/>
          </w:tcPr>
          <w:p>
            <w:pPr>
              <w:spacing w:before="40" w:after="40"/>
            </w:pPr>
            <w:r>
              <w:rPr>
                <w:rFonts w:ascii="Calibri" w:hAnsi="Calibri"/>
                <w:b w:val="0"/>
                <w:i w:val="0"/>
                <w:color w:val="333333"/>
                <w:sz w:val="17"/>
              </w:rPr>
              <w:t>Le présent document, section 3</w:t>
            </w:r>
          </w:p>
        </w:tc>
      </w:tr>
      <w:tr>
        <w:tc>
          <w:tcPr>
            <w:tcW w:type="dxa" w:w="4873"/>
            <w:shd w:val="clear" w:fill="F2F6FA"/>
          </w:tcPr>
          <w:p>
            <w:pPr>
              <w:spacing w:before="40" w:after="40"/>
            </w:pPr>
            <w:r>
              <w:rPr>
                <w:rFonts w:ascii="Calibri" w:hAnsi="Calibri"/>
                <w:b w:val="0"/>
                <w:i w:val="0"/>
                <w:color w:val="333333"/>
                <w:sz w:val="17"/>
              </w:rPr>
              <w:t>Décisions demandées</w:t>
            </w:r>
          </w:p>
        </w:tc>
        <w:tc>
          <w:tcPr>
            <w:tcW w:type="dxa" w:w="4873"/>
            <w:shd w:val="clear" w:fill="F2F6FA"/>
          </w:tcPr>
          <w:p>
            <w:pPr>
              <w:spacing w:before="40" w:after="40"/>
            </w:pPr>
            <w:r>
              <w:rPr>
                <w:rFonts w:ascii="Calibri" w:hAnsi="Calibri"/>
                <w:b w:val="0"/>
                <w:i w:val="0"/>
                <w:color w:val="333333"/>
                <w:sz w:val="17"/>
              </w:rPr>
              <w:t>Accès SUNULIFE, confirmation de la voie Mobile Money, périmètre de production</w:t>
            </w:r>
          </w:p>
        </w:tc>
      </w:tr>
    </w:tbl>
    <w:p>
      <w:pPr>
        <w:spacing w:after="40"/>
      </w:pPr>
    </w:p>
    <w:p>
      <w:pPr>
        <w:pStyle w:val="Heading1"/>
        <w:pageBreakBefore/>
        <w:spacing w:before="360" w:after="80"/>
        <w:keepNext/>
        <w:pBdr>
          <w:bottom w:val="single" w:sz="8" w:space="6" w:color="1B3A5C"/>
        </w:pBdr>
      </w:pPr>
      <w:bookmarkStart w:id="113" w:name="_Toc_s012"/>
      <w:r>
        <w:rPr>
          <w:rFonts w:ascii="Calibri" w:hAnsi="Calibri"/>
          <w:b/>
          <w:color w:val="1B3A5C"/>
          <w:sz w:val="30"/>
        </w:rPr>
        <w:t>4. Calendrier — octobre et novembre (jusqu'à la production)</w:t>
      </w:r>
      <w:bookmarkEnd w:id="113"/>
    </w:p>
    <w:p>
      <w:pPr>
        <w:pStyle w:val="Heading2"/>
        <w:spacing w:before="280" w:after="80"/>
        <w:keepNext/>
      </w:pPr>
      <w:bookmarkStart w:id="114" w:name="_Toc_s013"/>
      <w:r>
        <w:rPr>
          <w:rFonts w:ascii="Calibri" w:hAnsi="Calibri"/>
          <w:b/>
          <w:color w:val="1B3A5C"/>
          <w:sz w:val="24"/>
        </w:rPr>
        <w:t>Octobre · semaines 1 à 4 — Exploitation du pilote et achèvement</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Semaine</w:t>
            </w:r>
          </w:p>
        </w:tc>
        <w:tc>
          <w:tcPr>
            <w:tcW w:type="dxa" w:w="4873"/>
            <w:shd w:val="clear" w:fill="1B3A5C"/>
          </w:tcPr>
          <w:p>
            <w:pPr>
              <w:spacing w:before="60" w:after="60"/>
            </w:pPr>
            <w:r>
              <w:rPr>
                <w:rFonts w:ascii="Calibri" w:hAnsi="Calibri"/>
                <w:b/>
                <w:color w:val="FFFFFF"/>
                <w:sz w:val="17"/>
              </w:rPr>
              <w:t>Objet</w:t>
            </w:r>
          </w:p>
        </w:tc>
      </w:tr>
      <w:tr>
        <w:tc>
          <w:tcPr>
            <w:tcW w:type="dxa" w:w="4873"/>
          </w:tcPr>
          <w:p>
            <w:pPr>
              <w:spacing w:before="40" w:after="40"/>
            </w:pPr>
            <w:r>
              <w:rPr>
                <w:rFonts w:ascii="Calibri" w:hAnsi="Calibri"/>
                <w:b/>
                <w:i w:val="0"/>
                <w:color w:val="333333"/>
                <w:sz w:val="17"/>
              </w:rPr>
              <w:t>1er–4 oct.</w:t>
            </w:r>
          </w:p>
        </w:tc>
        <w:tc>
          <w:tcPr>
            <w:tcW w:type="dxa" w:w="4873"/>
          </w:tcPr>
          <w:p>
            <w:pPr>
              <w:spacing w:before="40" w:after="40"/>
            </w:pPr>
            <w:r>
              <w:rPr>
                <w:rFonts w:ascii="Calibri" w:hAnsi="Calibri"/>
                <w:b w:val="0"/>
                <w:i w:val="0"/>
                <w:color w:val="333333"/>
                <w:sz w:val="17"/>
              </w:rPr>
              <w:t>Accompagnement intensif du pilote ; tri quotidien des anomalies ; premier cycle de rapprochement ; recueil des retours du terrain</w:t>
            </w:r>
          </w:p>
        </w:tc>
      </w:tr>
      <w:tr>
        <w:tc>
          <w:tcPr>
            <w:tcW w:type="dxa" w:w="4873"/>
            <w:shd w:val="clear" w:fill="F2F6FA"/>
          </w:tcPr>
          <w:p>
            <w:pPr>
              <w:spacing w:before="40" w:after="40"/>
            </w:pPr>
            <w:r>
              <w:rPr>
                <w:rFonts w:ascii="Calibri" w:hAnsi="Calibri"/>
                <w:b/>
                <w:i w:val="0"/>
                <w:color w:val="333333"/>
                <w:sz w:val="17"/>
              </w:rPr>
              <w:t>5–11 oct.</w:t>
            </w:r>
          </w:p>
        </w:tc>
        <w:tc>
          <w:tcPr>
            <w:tcW w:type="dxa" w:w="4873"/>
            <w:shd w:val="clear" w:fill="F2F6FA"/>
          </w:tcPr>
          <w:p>
            <w:pPr>
              <w:spacing w:before="40" w:after="40"/>
            </w:pPr>
            <w:r>
              <w:rPr>
                <w:rFonts w:ascii="Calibri" w:hAnsi="Calibri"/>
                <w:b/>
                <w:i w:val="0"/>
                <w:color w:val="333333"/>
                <w:sz w:val="17"/>
              </w:rPr>
              <w:t>Intégration Mobile Money</w:t>
            </w:r>
            <w:r>
              <w:rPr>
                <w:rFonts w:ascii="Calibri" w:hAnsi="Calibri"/>
                <w:b w:val="0"/>
                <w:i w:val="0"/>
                <w:color w:val="333333"/>
                <w:sz w:val="17"/>
              </w:rPr>
              <w:t xml:space="preserve"> (sous réserve de l'enrôlement OP-4) ; carte virtuelle QR à l'échelle ; corrections issues des retours du terrain</w:t>
            </w:r>
          </w:p>
        </w:tc>
      </w:tr>
      <w:tr>
        <w:tc>
          <w:tcPr>
            <w:tcW w:type="dxa" w:w="4873"/>
          </w:tcPr>
          <w:p>
            <w:pPr>
              <w:spacing w:before="40" w:after="40"/>
            </w:pPr>
            <w:r>
              <w:rPr>
                <w:rFonts w:ascii="Calibri" w:hAnsi="Calibri"/>
                <w:b/>
                <w:i w:val="0"/>
                <w:color w:val="333333"/>
                <w:sz w:val="17"/>
              </w:rPr>
              <w:t>12–18 oct.</w:t>
            </w:r>
          </w:p>
        </w:tc>
        <w:tc>
          <w:tcPr>
            <w:tcW w:type="dxa" w:w="4873"/>
          </w:tcPr>
          <w:p>
            <w:pPr>
              <w:spacing w:before="40" w:after="40"/>
            </w:pPr>
            <w:r>
              <w:rPr>
                <w:rFonts w:ascii="Calibri" w:hAnsi="Calibri"/>
                <w:b/>
                <w:i w:val="0"/>
                <w:color w:val="333333"/>
                <w:sz w:val="17"/>
              </w:rPr>
              <w:t>SUNULIFE phase 1</w:t>
            </w:r>
            <w:r>
              <w:rPr>
                <w:rFonts w:ascii="Calibri" w:hAnsi="Calibri"/>
                <w:b w:val="0"/>
                <w:i w:val="0"/>
                <w:color w:val="333333"/>
                <w:sz w:val="17"/>
              </w:rPr>
              <w:t xml:space="preserve"> en lecture seule </w:t>
            </w:r>
            <w:r>
              <w:rPr>
                <w:rFonts w:ascii="Calibri" w:hAnsi="Calibri"/>
                <w:b w:val="0"/>
                <w:i/>
                <w:color w:val="333333"/>
                <w:sz w:val="17"/>
              </w:rPr>
              <w:t>si OP-1 est tranché</w:t>
            </w:r>
            <w:r>
              <w:rPr>
                <w:rFonts w:ascii="Calibri" w:hAnsi="Calibri"/>
                <w:b w:val="0"/>
                <w:i w:val="0"/>
                <w:color w:val="333333"/>
                <w:sz w:val="17"/>
              </w:rPr>
              <w:t>, sinon le repli par fichiers ; points de durcissement restants H-5, H-7, H-8, H-9</w:t>
            </w:r>
          </w:p>
        </w:tc>
      </w:tr>
      <w:tr>
        <w:tc>
          <w:tcPr>
            <w:tcW w:type="dxa" w:w="4873"/>
            <w:shd w:val="clear" w:fill="F2F6FA"/>
          </w:tcPr>
          <w:p>
            <w:pPr>
              <w:spacing w:before="40" w:after="40"/>
            </w:pPr>
            <w:r>
              <w:rPr>
                <w:rFonts w:ascii="Calibri" w:hAnsi="Calibri"/>
                <w:b/>
                <w:i w:val="0"/>
                <w:color w:val="333333"/>
                <w:sz w:val="17"/>
              </w:rPr>
              <w:t>19–25 oct.</w:t>
            </w:r>
          </w:p>
        </w:tc>
        <w:tc>
          <w:tcPr>
            <w:tcW w:type="dxa" w:w="4873"/>
            <w:shd w:val="clear" w:fill="F2F6FA"/>
          </w:tcPr>
          <w:p>
            <w:pPr>
              <w:spacing w:before="40" w:after="40"/>
            </w:pPr>
            <w:r>
              <w:rPr>
                <w:rFonts w:ascii="Calibri" w:hAnsi="Calibri"/>
                <w:b w:val="0"/>
                <w:i w:val="0"/>
                <w:color w:val="333333"/>
                <w:sz w:val="17"/>
              </w:rPr>
              <w:t xml:space="preserve">Tests de non-régression complets ; test de charge ; </w:t>
            </w:r>
            <w:r>
              <w:rPr>
                <w:rFonts w:ascii="Calibri" w:hAnsi="Calibri"/>
                <w:b/>
                <w:i w:val="0"/>
                <w:color w:val="333333"/>
                <w:sz w:val="17"/>
              </w:rPr>
              <w:t>second test de restauration</w:t>
            </w:r>
            <w:r>
              <w:rPr>
                <w:rFonts w:ascii="Calibri" w:hAnsi="Calibri"/>
                <w:b w:val="0"/>
                <w:i w:val="0"/>
                <w:color w:val="333333"/>
                <w:sz w:val="17"/>
              </w:rPr>
              <w:t xml:space="preserve"> ; documentation finale et versions françaises vérifiées ; formation de la population d'utilisateurs élargie</w:t>
            </w:r>
          </w:p>
        </w:tc>
      </w:tr>
      <w:tr>
        <w:tc>
          <w:tcPr>
            <w:tcW w:type="dxa" w:w="4873"/>
          </w:tcPr>
          <w:p>
            <w:pPr>
              <w:spacing w:before="40" w:after="40"/>
            </w:pPr>
            <w:r>
              <w:rPr>
                <w:rFonts w:ascii="Calibri" w:hAnsi="Calibri"/>
                <w:b/>
                <w:i w:val="0"/>
                <w:color w:val="333333"/>
                <w:sz w:val="17"/>
              </w:rPr>
              <w:t>26–28 oct.</w:t>
            </w:r>
          </w:p>
        </w:tc>
        <w:tc>
          <w:tcPr>
            <w:tcW w:type="dxa" w:w="4873"/>
          </w:tcPr>
          <w:p>
            <w:pPr>
              <w:spacing w:before="40" w:after="40"/>
            </w:pPr>
            <w:r>
              <w:rPr>
                <w:rFonts w:ascii="Calibri" w:hAnsi="Calibri"/>
                <w:b w:val="0"/>
                <w:i w:val="0"/>
                <w:color w:val="333333"/>
                <w:sz w:val="17"/>
              </w:rPr>
              <w:t xml:space="preserve">Bilan du pilote ; revue d'aptitude à la production ; </w:t>
            </w:r>
            <w:r>
              <w:rPr>
                <w:rFonts w:ascii="Calibri" w:hAnsi="Calibri"/>
                <w:b/>
                <w:i w:val="0"/>
                <w:color w:val="333333"/>
                <w:sz w:val="17"/>
              </w:rPr>
              <w:t>M6 — go/no-go le 28 octobre</w:t>
            </w:r>
          </w:p>
        </w:tc>
      </w:tr>
    </w:tbl>
    <w:p>
      <w:pPr>
        <w:spacing w:after="40"/>
      </w:pPr>
    </w:p>
    <w:p>
      <w:pPr>
        <w:pStyle w:val="Heading2"/>
        <w:spacing w:before="280" w:after="80"/>
        <w:keepNext/>
      </w:pPr>
      <w:bookmarkStart w:id="115" w:name="_Toc_s014"/>
      <w:r>
        <w:rPr>
          <w:rFonts w:ascii="Calibri" w:hAnsi="Calibri"/>
          <w:b/>
          <w:color w:val="1B3A5C"/>
          <w:sz w:val="24"/>
        </w:rPr>
        <w:t>Novembre — Lancement en production</w:t>
      </w:r>
      <w:bookmarkEnd w:id="11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Période</w:t>
            </w:r>
          </w:p>
        </w:tc>
        <w:tc>
          <w:tcPr>
            <w:tcW w:type="dxa" w:w="4873"/>
            <w:shd w:val="clear" w:fill="1B3A5C"/>
          </w:tcPr>
          <w:p>
            <w:pPr>
              <w:spacing w:before="60" w:after="60"/>
            </w:pPr>
            <w:r>
              <w:rPr>
                <w:rFonts w:ascii="Calibri" w:hAnsi="Calibri"/>
                <w:b/>
                <w:color w:val="FFFFFF"/>
                <w:sz w:val="17"/>
              </w:rPr>
              <w:t>Activité</w:t>
            </w:r>
          </w:p>
        </w:tc>
      </w:tr>
      <w:tr>
        <w:tc>
          <w:tcPr>
            <w:tcW w:type="dxa" w:w="4873"/>
          </w:tcPr>
          <w:p>
            <w:pPr>
              <w:spacing w:before="40" w:after="40"/>
            </w:pPr>
            <w:r>
              <w:rPr>
                <w:rFonts w:ascii="Calibri" w:hAnsi="Calibri"/>
                <w:b/>
                <w:i w:val="0"/>
                <w:color w:val="333333"/>
                <w:sz w:val="17"/>
              </w:rPr>
              <w:t>Premiers jours de novembre</w:t>
            </w:r>
          </w:p>
        </w:tc>
        <w:tc>
          <w:tcPr>
            <w:tcW w:type="dxa" w:w="4873"/>
          </w:tcPr>
          <w:p>
            <w:pPr>
              <w:spacing w:before="40" w:after="40"/>
            </w:pPr>
            <w:r>
              <w:rPr>
                <w:rFonts w:ascii="Calibri" w:hAnsi="Calibri"/>
                <w:b/>
                <w:i w:val="0"/>
                <w:color w:val="333333"/>
                <w:sz w:val="17"/>
              </w:rPr>
              <w:t>M7 — lancement effectif en production.</w:t>
            </w:r>
            <w:r>
              <w:rPr>
                <w:rFonts w:ascii="Calibri" w:hAnsi="Calibri"/>
                <w:b w:val="0"/>
                <w:i w:val="0"/>
                <w:color w:val="333333"/>
                <w:sz w:val="17"/>
              </w:rPr>
              <w:t xml:space="preserve"> Extension progressive de la population de collecteurs ; support renforcé pendant deux semaines</w:t>
            </w:r>
          </w:p>
        </w:tc>
      </w:tr>
      <w:tr>
        <w:tc>
          <w:tcPr>
            <w:tcW w:type="dxa" w:w="4873"/>
            <w:shd w:val="clear" w:fill="F2F6FA"/>
          </w:tcPr>
          <w:p>
            <w:pPr>
              <w:spacing w:before="40" w:after="40"/>
            </w:pPr>
            <w:r>
              <w:rPr>
                <w:rFonts w:ascii="Calibri" w:hAnsi="Calibri"/>
                <w:b w:val="0"/>
                <w:i w:val="0"/>
                <w:color w:val="333333"/>
                <w:sz w:val="17"/>
              </w:rPr>
              <w:t>Semaines 2 à 4</w:t>
            </w:r>
          </w:p>
        </w:tc>
        <w:tc>
          <w:tcPr>
            <w:tcW w:type="dxa" w:w="4873"/>
            <w:shd w:val="clear" w:fill="F2F6FA"/>
          </w:tcPr>
          <w:p>
            <w:pPr>
              <w:spacing w:before="40" w:after="40"/>
            </w:pPr>
            <w:r>
              <w:rPr>
                <w:rFonts w:ascii="Calibri" w:hAnsi="Calibri"/>
                <w:b w:val="0"/>
                <w:i w:val="0"/>
                <w:color w:val="333333"/>
                <w:sz w:val="17"/>
              </w:rPr>
              <w:t>Stabilisation ; supervision ; rapprochement hebdomadaire ; premier rapport mensuel à SUNU</w:t>
            </w:r>
          </w:p>
        </w:tc>
      </w:tr>
      <w:tr>
        <w:tc>
          <w:tcPr>
            <w:tcW w:type="dxa" w:w="4873"/>
          </w:tcPr>
          <w:p>
            <w:pPr>
              <w:spacing w:before="40" w:after="40"/>
            </w:pPr>
            <w:r>
              <w:rPr>
                <w:rFonts w:ascii="Calibri" w:hAnsi="Calibri"/>
                <w:b w:val="0"/>
                <w:i w:val="0"/>
                <w:color w:val="333333"/>
                <w:sz w:val="17"/>
              </w:rPr>
              <w:t>Fin novembre</w:t>
            </w:r>
          </w:p>
        </w:tc>
        <w:tc>
          <w:tcPr>
            <w:tcW w:type="dxa" w:w="4873"/>
          </w:tcPr>
          <w:p>
            <w:pPr>
              <w:spacing w:before="40" w:after="40"/>
            </w:pPr>
            <w:r>
              <w:rPr>
                <w:rFonts w:ascii="Calibri" w:hAnsi="Calibri"/>
                <w:b w:val="0"/>
                <w:i w:val="0"/>
                <w:color w:val="333333"/>
                <w:sz w:val="17"/>
              </w:rPr>
              <w:t>Revue post-lancement ; passage au support standard ; feuille de route de la phase 2 (intégration SUNULIFE en écriture, TdR Besoin 4)</w:t>
            </w:r>
          </w:p>
        </w:tc>
      </w:tr>
    </w:tbl>
    <w:p>
      <w:pPr>
        <w:spacing w:after="40"/>
      </w:pPr>
    </w:p>
    <w:p>
      <w:pPr>
        <w:pStyle w:val="Heading1"/>
        <w:pageBreakBefore/>
        <w:spacing w:before="360" w:after="80"/>
        <w:keepNext/>
        <w:pBdr>
          <w:bottom w:val="single" w:sz="8" w:space="6" w:color="1B3A5C"/>
        </w:pBdr>
      </w:pPr>
      <w:bookmarkStart w:id="116" w:name="_Toc_s015"/>
      <w:r>
        <w:rPr>
          <w:rFonts w:ascii="Calibri" w:hAnsi="Calibri"/>
          <w:b/>
          <w:color w:val="1B3A5C"/>
          <w:sz w:val="30"/>
        </w:rPr>
        <w:t>5. Critères de réception et jalons go/no-go</w:t>
      </w:r>
      <w:bookmarkEnd w:id="116"/>
    </w:p>
    <w:p>
      <w:pPr>
        <w:pStyle w:val="Heading2"/>
        <w:spacing w:before="280" w:after="80"/>
        <w:keepNext/>
      </w:pPr>
      <w:bookmarkStart w:id="117" w:name="_Toc_s016"/>
      <w:r>
        <w:rPr>
          <w:rFonts w:ascii="Calibri" w:hAnsi="Calibri"/>
          <w:b/>
          <w:color w:val="1B3A5C"/>
          <w:sz w:val="24"/>
        </w:rPr>
        <w:t>5.1 Scénarios de réception en recette (M2)</w:t>
      </w:r>
      <w:bookmarkEnd w:id="117"/>
    </w:p>
    <w:p>
      <w:r>
        <w:rPr>
          <w:rFonts w:ascii="Calibri" w:hAnsi="Calibri"/>
          <w:b w:val="0"/>
          <w:i w:val="0"/>
          <w:color w:val="333333"/>
          <w:sz w:val="20"/>
        </w:rPr>
        <w:t>Chaque scénario est exécuté par SUNU et signé.</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907"/>
            <w:shd w:val="clear" w:fill="1B3A5C"/>
          </w:tcPr>
          <w:p>
            <w:pPr>
              <w:spacing w:before="60" w:after="60"/>
            </w:pPr>
            <w:r>
              <w:rPr>
                <w:rFonts w:ascii="Calibri" w:hAnsi="Calibri"/>
                <w:b/>
                <w:color w:val="FFFFFF"/>
                <w:sz w:val="17"/>
              </w:rPr>
              <w:t>#</w:t>
            </w:r>
          </w:p>
        </w:tc>
        <w:tc>
          <w:tcPr>
            <w:tcW w:type="dxa" w:w="4252"/>
            <w:shd w:val="clear" w:fill="1B3A5C"/>
          </w:tcPr>
          <w:p>
            <w:pPr>
              <w:spacing w:before="60" w:after="60"/>
            </w:pPr>
            <w:r>
              <w:rPr>
                <w:rFonts w:ascii="Calibri" w:hAnsi="Calibri"/>
                <w:b/>
                <w:color w:val="FFFFFF"/>
                <w:sz w:val="17"/>
              </w:rPr>
              <w:t>Scénario</w:t>
            </w:r>
          </w:p>
        </w:tc>
        <w:tc>
          <w:tcPr>
            <w:tcW w:type="dxa" w:w="4252"/>
            <w:shd w:val="clear" w:fill="1B3A5C"/>
          </w:tcPr>
          <w:p>
            <w:pPr>
              <w:spacing w:before="60" w:after="60"/>
            </w:pPr>
            <w:r>
              <w:rPr>
                <w:rFonts w:ascii="Calibri" w:hAnsi="Calibri"/>
                <w:b/>
                <w:color w:val="FFFFFF"/>
                <w:sz w:val="17"/>
              </w:rPr>
              <w:t>Critère de réussite</w:t>
            </w:r>
          </w:p>
        </w:tc>
      </w:tr>
      <w:tr>
        <w:tc>
          <w:tcPr>
            <w:tcW w:type="dxa" w:w="907"/>
          </w:tcPr>
          <w:p>
            <w:pPr>
              <w:spacing w:before="40" w:after="40"/>
            </w:pPr>
            <w:r>
              <w:rPr>
                <w:rFonts w:ascii="Calibri" w:hAnsi="Calibri"/>
                <w:b w:val="0"/>
                <w:i w:val="0"/>
                <w:color w:val="333333"/>
                <w:sz w:val="17"/>
              </w:rPr>
              <w:t>T1</w:t>
            </w:r>
          </w:p>
        </w:tc>
        <w:tc>
          <w:tcPr>
            <w:tcW w:type="dxa" w:w="4252"/>
          </w:tcPr>
          <w:p>
            <w:pPr>
              <w:spacing w:before="40" w:after="40"/>
            </w:pPr>
            <w:r>
              <w:rPr>
                <w:rFonts w:ascii="Calibri" w:hAnsi="Calibri"/>
                <w:b w:val="0"/>
                <w:i w:val="0"/>
                <w:color w:val="333333"/>
                <w:sz w:val="17"/>
              </w:rPr>
              <w:t>Souscription complète avec photographies et GPS</w:t>
            </w:r>
          </w:p>
        </w:tc>
        <w:tc>
          <w:tcPr>
            <w:tcW w:type="dxa" w:w="4252"/>
          </w:tcPr>
          <w:p>
            <w:pPr>
              <w:spacing w:before="40" w:after="40"/>
            </w:pPr>
            <w:r>
              <w:rPr>
                <w:rFonts w:ascii="Calibri" w:hAnsi="Calibri"/>
                <w:b w:val="0"/>
                <w:i w:val="0"/>
                <w:color w:val="333333"/>
                <w:sz w:val="17"/>
              </w:rPr>
              <w:t>Dossier complet et lisible au back-office avec tous les champs exigés par le TdR</w:t>
            </w:r>
          </w:p>
        </w:tc>
      </w:tr>
      <w:tr>
        <w:tc>
          <w:tcPr>
            <w:tcW w:type="dxa" w:w="907"/>
            <w:shd w:val="clear" w:fill="F2F6FA"/>
          </w:tcPr>
          <w:p>
            <w:pPr>
              <w:spacing w:before="40" w:after="40"/>
            </w:pPr>
            <w:r>
              <w:rPr>
                <w:rFonts w:ascii="Calibri" w:hAnsi="Calibri"/>
                <w:b w:val="0"/>
                <w:i w:val="0"/>
                <w:color w:val="333333"/>
                <w:sz w:val="17"/>
              </w:rPr>
              <w:t>T2</w:t>
            </w:r>
          </w:p>
        </w:tc>
        <w:tc>
          <w:tcPr>
            <w:tcW w:type="dxa" w:w="4252"/>
            <w:shd w:val="clear" w:fill="F2F6FA"/>
          </w:tcPr>
          <w:p>
            <w:pPr>
              <w:spacing w:before="40" w:after="40"/>
            </w:pPr>
            <w:r>
              <w:rPr>
                <w:rFonts w:ascii="Calibri" w:hAnsi="Calibri"/>
                <w:b w:val="0"/>
                <w:i w:val="0"/>
                <w:color w:val="333333"/>
                <w:sz w:val="17"/>
              </w:rPr>
              <w:t>Frais de police et première prime</w:t>
            </w:r>
          </w:p>
        </w:tc>
        <w:tc>
          <w:tcPr>
            <w:tcW w:type="dxa" w:w="4252"/>
            <w:shd w:val="clear" w:fill="F2F6FA"/>
          </w:tcPr>
          <w:p>
            <w:pPr>
              <w:spacing w:before="40" w:after="40"/>
            </w:pPr>
            <w:r>
              <w:rPr>
                <w:rFonts w:ascii="Calibri" w:hAnsi="Calibri"/>
                <w:b w:val="0"/>
                <w:i w:val="0"/>
                <w:color w:val="333333"/>
                <w:sz w:val="17"/>
              </w:rPr>
              <w:t>Deux reçus distincts imprimés avec les montants exacts</w:t>
            </w:r>
          </w:p>
        </w:tc>
      </w:tr>
      <w:tr>
        <w:tc>
          <w:tcPr>
            <w:tcW w:type="dxa" w:w="907"/>
          </w:tcPr>
          <w:p>
            <w:pPr>
              <w:spacing w:before="40" w:after="40"/>
            </w:pPr>
            <w:r>
              <w:rPr>
                <w:rFonts w:ascii="Calibri" w:hAnsi="Calibri"/>
                <w:b w:val="0"/>
                <w:i w:val="0"/>
                <w:color w:val="333333"/>
                <w:sz w:val="17"/>
              </w:rPr>
              <w:t>T3</w:t>
            </w:r>
          </w:p>
        </w:tc>
        <w:tc>
          <w:tcPr>
            <w:tcW w:type="dxa" w:w="4252"/>
          </w:tcPr>
          <w:p>
            <w:pPr>
              <w:spacing w:before="40" w:after="40"/>
            </w:pPr>
            <w:r>
              <w:rPr>
                <w:rFonts w:ascii="Calibri" w:hAnsi="Calibri"/>
                <w:b w:val="0"/>
                <w:i w:val="0"/>
                <w:color w:val="333333"/>
                <w:sz w:val="17"/>
              </w:rPr>
              <w:t>Souscription entièrement hors ligne, puis reconnexion</w:t>
            </w:r>
          </w:p>
        </w:tc>
        <w:tc>
          <w:tcPr>
            <w:tcW w:type="dxa" w:w="4252"/>
          </w:tcPr>
          <w:p>
            <w:pPr>
              <w:spacing w:before="40" w:after="40"/>
            </w:pPr>
            <w:r>
              <w:rPr>
                <w:rFonts w:ascii="Calibri" w:hAnsi="Calibri"/>
                <w:b w:val="0"/>
                <w:i w:val="0"/>
                <w:color w:val="333333"/>
                <w:sz w:val="17"/>
              </w:rPr>
              <w:t>Rien de perdu, rien de dupliqué</w:t>
            </w:r>
          </w:p>
        </w:tc>
      </w:tr>
      <w:tr>
        <w:tc>
          <w:tcPr>
            <w:tcW w:type="dxa" w:w="907"/>
            <w:shd w:val="clear" w:fill="F2F6FA"/>
          </w:tcPr>
          <w:p>
            <w:pPr>
              <w:spacing w:before="40" w:after="40"/>
            </w:pPr>
            <w:r>
              <w:rPr>
                <w:rFonts w:ascii="Calibri" w:hAnsi="Calibri"/>
                <w:b w:val="0"/>
                <w:i w:val="0"/>
                <w:color w:val="333333"/>
                <w:sz w:val="17"/>
              </w:rPr>
              <w:t>T4</w:t>
            </w:r>
          </w:p>
        </w:tc>
        <w:tc>
          <w:tcPr>
            <w:tcW w:type="dxa" w:w="4252"/>
            <w:shd w:val="clear" w:fill="F2F6FA"/>
          </w:tcPr>
          <w:p>
            <w:pPr>
              <w:spacing w:before="40" w:after="40"/>
            </w:pPr>
            <w:r>
              <w:rPr>
                <w:rFonts w:ascii="Calibri" w:hAnsi="Calibri"/>
                <w:b w:val="0"/>
                <w:i w:val="0"/>
                <w:color w:val="333333"/>
                <w:sz w:val="17"/>
              </w:rPr>
              <w:t>Émission de carte pour un assuré mono-police</w:t>
            </w:r>
          </w:p>
        </w:tc>
        <w:tc>
          <w:tcPr>
            <w:tcW w:type="dxa" w:w="4252"/>
            <w:shd w:val="clear" w:fill="F2F6FA"/>
          </w:tcPr>
          <w:p>
            <w:pPr>
              <w:spacing w:before="40" w:after="40"/>
            </w:pPr>
            <w:r>
              <w:rPr>
                <w:rFonts w:ascii="Calibri" w:hAnsi="Calibri"/>
                <w:b w:val="0"/>
                <w:i w:val="0"/>
                <w:color w:val="333333"/>
                <w:sz w:val="17"/>
              </w:rPr>
              <w:t>Carte imprimée, encodée, active</w:t>
            </w:r>
          </w:p>
        </w:tc>
      </w:tr>
      <w:tr>
        <w:tc>
          <w:tcPr>
            <w:tcW w:type="dxa" w:w="907"/>
          </w:tcPr>
          <w:p>
            <w:pPr>
              <w:spacing w:before="40" w:after="40"/>
            </w:pPr>
            <w:r>
              <w:rPr>
                <w:rFonts w:ascii="Calibri" w:hAnsi="Calibri"/>
                <w:b w:val="0"/>
                <w:i w:val="0"/>
                <w:color w:val="333333"/>
                <w:sz w:val="17"/>
              </w:rPr>
              <w:t>T5</w:t>
            </w:r>
          </w:p>
        </w:tc>
        <w:tc>
          <w:tcPr>
            <w:tcW w:type="dxa" w:w="4252"/>
          </w:tcPr>
          <w:p>
            <w:pPr>
              <w:spacing w:before="40" w:after="40"/>
            </w:pPr>
            <w:r>
              <w:rPr>
                <w:rFonts w:ascii="Calibri" w:hAnsi="Calibri"/>
                <w:b w:val="0"/>
                <w:i w:val="0"/>
                <w:color w:val="333333"/>
                <w:sz w:val="17"/>
              </w:rPr>
              <w:t xml:space="preserve">Émission de carte pour un assuré </w:t>
            </w:r>
            <w:r>
              <w:rPr>
                <w:rFonts w:ascii="Calibri" w:hAnsi="Calibri"/>
                <w:b/>
                <w:i w:val="0"/>
                <w:color w:val="333333"/>
                <w:sz w:val="17"/>
              </w:rPr>
              <w:t>multi-polices</w:t>
            </w:r>
          </w:p>
        </w:tc>
        <w:tc>
          <w:tcPr>
            <w:tcW w:type="dxa" w:w="4252"/>
          </w:tcPr>
          <w:p>
            <w:pPr>
              <w:spacing w:before="40" w:after="40"/>
            </w:pPr>
            <w:r>
              <w:rPr>
                <w:rFonts w:ascii="Calibri" w:hAnsi="Calibri"/>
                <w:b w:val="0"/>
                <w:i w:val="0"/>
                <w:color w:val="333333"/>
                <w:sz w:val="17"/>
              </w:rPr>
              <w:t>Toutes les polices présentes sur la carte et affichées sur le terminal</w:t>
            </w:r>
          </w:p>
        </w:tc>
      </w:tr>
      <w:tr>
        <w:tc>
          <w:tcPr>
            <w:tcW w:type="dxa" w:w="907"/>
            <w:shd w:val="clear" w:fill="F2F6FA"/>
          </w:tcPr>
          <w:p>
            <w:pPr>
              <w:spacing w:before="40" w:after="40"/>
            </w:pPr>
            <w:r>
              <w:rPr>
                <w:rFonts w:ascii="Calibri" w:hAnsi="Calibri"/>
                <w:b w:val="0"/>
                <w:i w:val="0"/>
                <w:color w:val="333333"/>
                <w:sz w:val="17"/>
              </w:rPr>
              <w:t>T6</w:t>
            </w:r>
          </w:p>
        </w:tc>
        <w:tc>
          <w:tcPr>
            <w:tcW w:type="dxa" w:w="4252"/>
            <w:shd w:val="clear" w:fill="F2F6FA"/>
          </w:tcPr>
          <w:p>
            <w:pPr>
              <w:spacing w:before="40" w:after="40"/>
            </w:pPr>
            <w:r>
              <w:rPr>
                <w:rFonts w:ascii="Calibri" w:hAnsi="Calibri"/>
                <w:b w:val="0"/>
                <w:i w:val="0"/>
                <w:color w:val="333333"/>
                <w:sz w:val="17"/>
              </w:rPr>
              <w:t>Encaissement de prime par carte</w:t>
            </w:r>
          </w:p>
        </w:tc>
        <w:tc>
          <w:tcPr>
            <w:tcW w:type="dxa" w:w="4252"/>
            <w:shd w:val="clear" w:fill="F2F6FA"/>
          </w:tcPr>
          <w:p>
            <w:pPr>
              <w:spacing w:before="40" w:after="40"/>
            </w:pPr>
            <w:r>
              <w:rPr>
                <w:rFonts w:ascii="Calibri" w:hAnsi="Calibri"/>
                <w:b w:val="0"/>
                <w:i w:val="0"/>
                <w:color w:val="333333"/>
                <w:sz w:val="17"/>
              </w:rPr>
              <w:t>Liste de polices correcte, reçu correct</w:t>
            </w:r>
          </w:p>
        </w:tc>
      </w:tr>
      <w:tr>
        <w:tc>
          <w:tcPr>
            <w:tcW w:type="dxa" w:w="907"/>
          </w:tcPr>
          <w:p>
            <w:pPr>
              <w:spacing w:before="40" w:after="40"/>
            </w:pPr>
            <w:r>
              <w:rPr>
                <w:rFonts w:ascii="Calibri" w:hAnsi="Calibri"/>
                <w:b w:val="0"/>
                <w:i w:val="0"/>
                <w:color w:val="333333"/>
                <w:sz w:val="17"/>
              </w:rPr>
              <w:t>T7</w:t>
            </w:r>
          </w:p>
        </w:tc>
        <w:tc>
          <w:tcPr>
            <w:tcW w:type="dxa" w:w="4252"/>
          </w:tcPr>
          <w:p>
            <w:pPr>
              <w:spacing w:before="40" w:after="40"/>
            </w:pPr>
            <w:r>
              <w:rPr>
                <w:rFonts w:ascii="Calibri" w:hAnsi="Calibri"/>
                <w:b w:val="0"/>
                <w:i w:val="0"/>
                <w:color w:val="333333"/>
                <w:sz w:val="17"/>
              </w:rPr>
              <w:t>Encaissement de prime par QR</w:t>
            </w:r>
          </w:p>
        </w:tc>
        <w:tc>
          <w:tcPr>
            <w:tcW w:type="dxa" w:w="4252"/>
          </w:tcPr>
          <w:p>
            <w:pPr>
              <w:spacing w:before="40" w:after="40"/>
            </w:pPr>
            <w:r>
              <w:rPr>
                <w:rFonts w:ascii="Calibri" w:hAnsi="Calibri"/>
                <w:b w:val="0"/>
                <w:i w:val="0"/>
                <w:color w:val="333333"/>
                <w:sz w:val="17"/>
              </w:rPr>
              <w:t>Même résultat que T6</w:t>
            </w:r>
          </w:p>
        </w:tc>
      </w:tr>
      <w:tr>
        <w:tc>
          <w:tcPr>
            <w:tcW w:type="dxa" w:w="907"/>
            <w:shd w:val="clear" w:fill="F2F6FA"/>
          </w:tcPr>
          <w:p>
            <w:pPr>
              <w:spacing w:before="40" w:after="40"/>
            </w:pPr>
            <w:r>
              <w:rPr>
                <w:rFonts w:ascii="Calibri" w:hAnsi="Calibri"/>
                <w:b w:val="0"/>
                <w:i w:val="0"/>
                <w:color w:val="333333"/>
                <w:sz w:val="17"/>
              </w:rPr>
              <w:t>T8</w:t>
            </w:r>
          </w:p>
        </w:tc>
        <w:tc>
          <w:tcPr>
            <w:tcW w:type="dxa" w:w="4252"/>
            <w:shd w:val="clear" w:fill="F2F6FA"/>
          </w:tcPr>
          <w:p>
            <w:pPr>
              <w:spacing w:before="40" w:after="40"/>
            </w:pPr>
            <w:r>
              <w:rPr>
                <w:rFonts w:ascii="Calibri" w:hAnsi="Calibri"/>
                <w:b w:val="0"/>
                <w:i w:val="0"/>
                <w:color w:val="333333"/>
                <w:sz w:val="17"/>
              </w:rPr>
              <w:t>Encaissement hors ligne puis synchronisation</w:t>
            </w:r>
          </w:p>
        </w:tc>
        <w:tc>
          <w:tcPr>
            <w:tcW w:type="dxa" w:w="4252"/>
            <w:shd w:val="clear" w:fill="F2F6FA"/>
          </w:tcPr>
          <w:p>
            <w:pPr>
              <w:spacing w:before="40" w:after="40"/>
            </w:pPr>
            <w:r>
              <w:rPr>
                <w:rFonts w:ascii="Calibri" w:hAnsi="Calibri"/>
                <w:b w:val="0"/>
                <w:i w:val="0"/>
                <w:color w:val="333333"/>
                <w:sz w:val="17"/>
              </w:rPr>
              <w:t>Encaissement présent une fois et une seule</w:t>
            </w:r>
          </w:p>
        </w:tc>
      </w:tr>
      <w:tr>
        <w:tc>
          <w:tcPr>
            <w:tcW w:type="dxa" w:w="907"/>
          </w:tcPr>
          <w:p>
            <w:pPr>
              <w:spacing w:before="40" w:after="40"/>
            </w:pPr>
            <w:r>
              <w:rPr>
                <w:rFonts w:ascii="Calibri" w:hAnsi="Calibri"/>
                <w:b w:val="0"/>
                <w:i w:val="0"/>
                <w:color w:val="333333"/>
                <w:sz w:val="17"/>
              </w:rPr>
              <w:t>T9</w:t>
            </w:r>
          </w:p>
        </w:tc>
        <w:tc>
          <w:tcPr>
            <w:tcW w:type="dxa" w:w="4252"/>
          </w:tcPr>
          <w:p>
            <w:pPr>
              <w:spacing w:before="40" w:after="40"/>
            </w:pPr>
            <w:r>
              <w:rPr>
                <w:rFonts w:ascii="Calibri" w:hAnsi="Calibri"/>
                <w:b w:val="0"/>
                <w:i w:val="0"/>
                <w:color w:val="333333"/>
                <w:sz w:val="17"/>
              </w:rPr>
              <w:t>Plafond atteint</w:t>
            </w:r>
          </w:p>
        </w:tc>
        <w:tc>
          <w:tcPr>
            <w:tcW w:type="dxa" w:w="4252"/>
          </w:tcPr>
          <w:p>
            <w:pPr>
              <w:spacing w:before="40" w:after="40"/>
            </w:pPr>
            <w:r>
              <w:rPr>
                <w:rFonts w:ascii="Calibri" w:hAnsi="Calibri"/>
                <w:b w:val="0"/>
                <w:i w:val="0"/>
                <w:color w:val="333333"/>
                <w:sz w:val="17"/>
              </w:rPr>
              <w:t>Le terminal bloque les nouveaux encaissements ; la souscription reste possible</w:t>
            </w:r>
          </w:p>
        </w:tc>
      </w:tr>
      <w:tr>
        <w:tc>
          <w:tcPr>
            <w:tcW w:type="dxa" w:w="907"/>
            <w:shd w:val="clear" w:fill="F2F6FA"/>
          </w:tcPr>
          <w:p>
            <w:pPr>
              <w:spacing w:before="40" w:after="40"/>
            </w:pPr>
            <w:r>
              <w:rPr>
                <w:rFonts w:ascii="Calibri" w:hAnsi="Calibri"/>
                <w:b w:val="0"/>
                <w:i w:val="0"/>
                <w:color w:val="333333"/>
                <w:sz w:val="17"/>
              </w:rPr>
              <w:t>T10</w:t>
            </w:r>
          </w:p>
        </w:tc>
        <w:tc>
          <w:tcPr>
            <w:tcW w:type="dxa" w:w="4252"/>
            <w:shd w:val="clear" w:fill="F2F6FA"/>
          </w:tcPr>
          <w:p>
            <w:pPr>
              <w:spacing w:before="40" w:after="40"/>
            </w:pPr>
            <w:r>
              <w:rPr>
                <w:rFonts w:ascii="Calibri" w:hAnsi="Calibri"/>
                <w:b w:val="0"/>
                <w:i w:val="0"/>
                <w:color w:val="333333"/>
                <w:sz w:val="17"/>
              </w:rPr>
              <w:t>Versement déclaré et confirmé</w:t>
            </w:r>
          </w:p>
        </w:tc>
        <w:tc>
          <w:tcPr>
            <w:tcW w:type="dxa" w:w="4252"/>
            <w:shd w:val="clear" w:fill="F2F6FA"/>
          </w:tcPr>
          <w:p>
            <w:pPr>
              <w:spacing w:before="40" w:after="40"/>
            </w:pPr>
            <w:r>
              <w:rPr>
                <w:rFonts w:ascii="Calibri" w:hAnsi="Calibri"/>
                <w:b w:val="0"/>
                <w:i w:val="0"/>
                <w:color w:val="333333"/>
                <w:sz w:val="17"/>
              </w:rPr>
              <w:t>Solde réduit, terminal libéré</w:t>
            </w:r>
          </w:p>
        </w:tc>
      </w:tr>
      <w:tr>
        <w:tc>
          <w:tcPr>
            <w:tcW w:type="dxa" w:w="907"/>
          </w:tcPr>
          <w:p>
            <w:pPr>
              <w:spacing w:before="40" w:after="40"/>
            </w:pPr>
            <w:r>
              <w:rPr>
                <w:rFonts w:ascii="Calibri" w:hAnsi="Calibri"/>
                <w:b w:val="0"/>
                <w:i w:val="0"/>
                <w:color w:val="333333"/>
                <w:sz w:val="17"/>
              </w:rPr>
              <w:t>T11</w:t>
            </w:r>
          </w:p>
        </w:tc>
        <w:tc>
          <w:tcPr>
            <w:tcW w:type="dxa" w:w="4252"/>
          </w:tcPr>
          <w:p>
            <w:pPr>
              <w:spacing w:before="40" w:after="40"/>
            </w:pPr>
            <w:r>
              <w:rPr>
                <w:rFonts w:ascii="Calibri" w:hAnsi="Calibri"/>
                <w:b w:val="0"/>
                <w:i w:val="0"/>
                <w:color w:val="333333"/>
                <w:sz w:val="17"/>
              </w:rPr>
              <w:t>Versement avec écart</w:t>
            </w:r>
          </w:p>
        </w:tc>
        <w:tc>
          <w:tcPr>
            <w:tcW w:type="dxa" w:w="4252"/>
          </w:tcPr>
          <w:p>
            <w:pPr>
              <w:spacing w:before="40" w:after="40"/>
            </w:pPr>
            <w:r>
              <w:rPr>
                <w:rFonts w:ascii="Calibri" w:hAnsi="Calibri"/>
                <w:b w:val="0"/>
                <w:i w:val="0"/>
                <w:color w:val="333333"/>
                <w:sz w:val="17"/>
              </w:rPr>
              <w:t>Écart consigné et signalé ; solde réduit du montant réel</w:t>
            </w:r>
          </w:p>
        </w:tc>
      </w:tr>
      <w:tr>
        <w:tc>
          <w:tcPr>
            <w:tcW w:type="dxa" w:w="907"/>
            <w:shd w:val="clear" w:fill="F2F6FA"/>
          </w:tcPr>
          <w:p>
            <w:pPr>
              <w:spacing w:before="40" w:after="40"/>
            </w:pPr>
            <w:r>
              <w:rPr>
                <w:rFonts w:ascii="Calibri" w:hAnsi="Calibri"/>
                <w:b w:val="0"/>
                <w:i w:val="0"/>
                <w:color w:val="333333"/>
                <w:sz w:val="17"/>
              </w:rPr>
              <w:t>T12</w:t>
            </w:r>
          </w:p>
        </w:tc>
        <w:tc>
          <w:tcPr>
            <w:tcW w:type="dxa" w:w="4252"/>
            <w:shd w:val="clear" w:fill="F2F6FA"/>
          </w:tcPr>
          <w:p>
            <w:pPr>
              <w:spacing w:before="40" w:after="40"/>
            </w:pPr>
            <w:r>
              <w:rPr>
                <w:rFonts w:ascii="Calibri" w:hAnsi="Calibri"/>
                <w:b w:val="0"/>
                <w:i w:val="0"/>
                <w:color w:val="333333"/>
                <w:sz w:val="17"/>
              </w:rPr>
              <w:t>Export Excel</w:t>
            </w:r>
          </w:p>
        </w:tc>
        <w:tc>
          <w:tcPr>
            <w:tcW w:type="dxa" w:w="4252"/>
            <w:shd w:val="clear" w:fill="F2F6FA"/>
          </w:tcPr>
          <w:p>
            <w:pPr>
              <w:spacing w:before="40" w:after="40"/>
            </w:pPr>
            <w:r>
              <w:rPr>
                <w:rFonts w:ascii="Calibri" w:hAnsi="Calibri"/>
                <w:b w:val="0"/>
                <w:i w:val="0"/>
                <w:color w:val="333333"/>
                <w:sz w:val="17"/>
              </w:rPr>
              <w:t>Le fichier s'ouvre, contient tous les encaissements de la période, champs exploitables pour la saisie SUNULIFE</w:t>
            </w:r>
          </w:p>
        </w:tc>
      </w:tr>
      <w:tr>
        <w:tc>
          <w:tcPr>
            <w:tcW w:type="dxa" w:w="907"/>
          </w:tcPr>
          <w:p>
            <w:pPr>
              <w:spacing w:before="40" w:after="40"/>
            </w:pPr>
            <w:r>
              <w:rPr>
                <w:rFonts w:ascii="Calibri" w:hAnsi="Calibri"/>
                <w:b w:val="0"/>
                <w:i w:val="0"/>
                <w:color w:val="333333"/>
                <w:sz w:val="17"/>
              </w:rPr>
              <w:t>T13</w:t>
            </w:r>
          </w:p>
        </w:tc>
        <w:tc>
          <w:tcPr>
            <w:tcW w:type="dxa" w:w="4252"/>
          </w:tcPr>
          <w:p>
            <w:pPr>
              <w:spacing w:before="40" w:after="40"/>
            </w:pPr>
            <w:r>
              <w:rPr>
                <w:rFonts w:ascii="Calibri" w:hAnsi="Calibri"/>
                <w:b w:val="0"/>
                <w:i w:val="0"/>
                <w:color w:val="333333"/>
                <w:sz w:val="17"/>
              </w:rPr>
              <w:t>Import de phase 0</w:t>
            </w:r>
          </w:p>
        </w:tc>
        <w:tc>
          <w:tcPr>
            <w:tcW w:type="dxa" w:w="4252"/>
          </w:tcPr>
          <w:p>
            <w:pPr>
              <w:spacing w:before="40" w:after="40"/>
            </w:pPr>
            <w:r>
              <w:rPr>
                <w:rFonts w:ascii="Calibri" w:hAnsi="Calibri"/>
                <w:b w:val="0"/>
                <w:i w:val="0"/>
                <w:color w:val="333333"/>
                <w:sz w:val="17"/>
              </w:rPr>
              <w:t>Un client SUNULIFE existant est retrouvé par un collecteur sur le terrain</w:t>
            </w:r>
          </w:p>
        </w:tc>
      </w:tr>
      <w:tr>
        <w:tc>
          <w:tcPr>
            <w:tcW w:type="dxa" w:w="907"/>
            <w:shd w:val="clear" w:fill="F2F6FA"/>
          </w:tcPr>
          <w:p>
            <w:pPr>
              <w:spacing w:before="40" w:after="40"/>
            </w:pPr>
            <w:r>
              <w:rPr>
                <w:rFonts w:ascii="Calibri" w:hAnsi="Calibri"/>
                <w:b w:val="0"/>
                <w:i w:val="0"/>
                <w:color w:val="333333"/>
                <w:sz w:val="17"/>
              </w:rPr>
              <w:t>T14</w:t>
            </w:r>
          </w:p>
        </w:tc>
        <w:tc>
          <w:tcPr>
            <w:tcW w:type="dxa" w:w="4252"/>
            <w:shd w:val="clear" w:fill="F2F6FA"/>
          </w:tcPr>
          <w:p>
            <w:pPr>
              <w:spacing w:before="40" w:after="40"/>
            </w:pPr>
            <w:r>
              <w:rPr>
                <w:rFonts w:ascii="Calibri" w:hAnsi="Calibri"/>
                <w:b w:val="0"/>
                <w:i w:val="0"/>
                <w:color w:val="333333"/>
                <w:sz w:val="17"/>
              </w:rPr>
              <w:t>Profils et habilitations</w:t>
            </w:r>
          </w:p>
        </w:tc>
        <w:tc>
          <w:tcPr>
            <w:tcW w:type="dxa" w:w="4252"/>
            <w:shd w:val="clear" w:fill="F2F6FA"/>
          </w:tcPr>
          <w:p>
            <w:pPr>
              <w:spacing w:before="40" w:after="40"/>
            </w:pPr>
            <w:r>
              <w:rPr>
                <w:rFonts w:ascii="Calibri" w:hAnsi="Calibri"/>
                <w:b w:val="0"/>
                <w:i w:val="0"/>
                <w:color w:val="333333"/>
                <w:sz w:val="17"/>
              </w:rPr>
              <w:t xml:space="preserve">Chaque profil ne peut faire que ce que permet le Doc 2 §5.2 — </w:t>
            </w:r>
            <w:r>
              <w:rPr>
                <w:rFonts w:ascii="Calibri" w:hAnsi="Calibri"/>
                <w:b/>
                <w:i w:val="0"/>
                <w:color w:val="333333"/>
                <w:sz w:val="17"/>
              </w:rPr>
              <w:t>tests négatifs compris</w:t>
            </w:r>
          </w:p>
        </w:tc>
      </w:tr>
      <w:tr>
        <w:tc>
          <w:tcPr>
            <w:tcW w:type="dxa" w:w="907"/>
          </w:tcPr>
          <w:p>
            <w:pPr>
              <w:spacing w:before="40" w:after="40"/>
            </w:pPr>
            <w:r>
              <w:rPr>
                <w:rFonts w:ascii="Calibri" w:hAnsi="Calibri"/>
                <w:b w:val="0"/>
                <w:i w:val="0"/>
                <w:color w:val="333333"/>
                <w:sz w:val="17"/>
              </w:rPr>
              <w:t>T15</w:t>
            </w:r>
          </w:p>
        </w:tc>
        <w:tc>
          <w:tcPr>
            <w:tcW w:type="dxa" w:w="4252"/>
          </w:tcPr>
          <w:p>
            <w:pPr>
              <w:spacing w:before="40" w:after="40"/>
            </w:pPr>
            <w:r>
              <w:rPr>
                <w:rFonts w:ascii="Calibri" w:hAnsi="Calibri"/>
                <w:b w:val="0"/>
                <w:i w:val="0"/>
                <w:color w:val="333333"/>
                <w:sz w:val="17"/>
              </w:rPr>
              <w:t>Renvoi après expiration réseau</w:t>
            </w:r>
          </w:p>
        </w:tc>
        <w:tc>
          <w:tcPr>
            <w:tcW w:type="dxa" w:w="4252"/>
          </w:tcPr>
          <w:p>
            <w:pPr>
              <w:spacing w:before="40" w:after="40"/>
            </w:pPr>
            <w:r>
              <w:rPr>
                <w:rFonts w:ascii="Calibri" w:hAnsi="Calibri"/>
                <w:b w:val="0"/>
                <w:i w:val="0"/>
                <w:color w:val="333333"/>
                <w:sz w:val="17"/>
              </w:rPr>
              <w:t>Aucun encaissement en double</w:t>
            </w:r>
          </w:p>
        </w:tc>
      </w:tr>
      <w:tr>
        <w:tc>
          <w:tcPr>
            <w:tcW w:type="dxa" w:w="907"/>
            <w:shd w:val="clear" w:fill="F2F6FA"/>
          </w:tcPr>
          <w:p>
            <w:pPr>
              <w:spacing w:before="40" w:after="40"/>
            </w:pPr>
            <w:r>
              <w:rPr>
                <w:rFonts w:ascii="Calibri" w:hAnsi="Calibri"/>
                <w:b w:val="0"/>
                <w:i w:val="0"/>
                <w:color w:val="333333"/>
                <w:sz w:val="17"/>
              </w:rPr>
              <w:t>T16</w:t>
            </w:r>
          </w:p>
        </w:tc>
        <w:tc>
          <w:tcPr>
            <w:tcW w:type="dxa" w:w="4252"/>
            <w:shd w:val="clear" w:fill="F2F6FA"/>
          </w:tcPr>
          <w:p>
            <w:pPr>
              <w:spacing w:before="40" w:after="40"/>
            </w:pPr>
            <w:r>
              <w:rPr>
                <w:rFonts w:ascii="Calibri" w:hAnsi="Calibri"/>
                <w:b w:val="0"/>
                <w:i w:val="0"/>
                <w:color w:val="333333"/>
                <w:sz w:val="17"/>
              </w:rPr>
              <w:t>Carte bloquée</w:t>
            </w:r>
          </w:p>
        </w:tc>
        <w:tc>
          <w:tcPr>
            <w:tcW w:type="dxa" w:w="4252"/>
            <w:shd w:val="clear" w:fill="F2F6FA"/>
          </w:tcPr>
          <w:p>
            <w:pPr>
              <w:spacing w:before="40" w:after="40"/>
            </w:pPr>
            <w:r>
              <w:rPr>
                <w:rFonts w:ascii="Calibri" w:hAnsi="Calibri"/>
                <w:b w:val="0"/>
                <w:i w:val="0"/>
                <w:color w:val="333333"/>
                <w:sz w:val="17"/>
              </w:rPr>
              <w:t>Carte refusée immédiatement ; le client peut toujours payer par recherche ou par QR</w:t>
            </w:r>
          </w:p>
        </w:tc>
      </w:tr>
      <w:tr>
        <w:tc>
          <w:tcPr>
            <w:tcW w:type="dxa" w:w="907"/>
          </w:tcPr>
          <w:p>
            <w:pPr>
              <w:spacing w:before="40" w:after="40"/>
            </w:pPr>
            <w:r>
              <w:rPr>
                <w:rFonts w:ascii="Calibri" w:hAnsi="Calibri"/>
                <w:b w:val="0"/>
                <w:i w:val="0"/>
                <w:color w:val="333333"/>
                <w:sz w:val="17"/>
              </w:rPr>
              <w:t>T17</w:t>
            </w:r>
          </w:p>
        </w:tc>
        <w:tc>
          <w:tcPr>
            <w:tcW w:type="dxa" w:w="4252"/>
          </w:tcPr>
          <w:p>
            <w:pPr>
              <w:spacing w:before="40" w:after="40"/>
            </w:pPr>
            <w:r>
              <w:rPr>
                <w:rFonts w:ascii="Calibri" w:hAnsi="Calibri"/>
                <w:b w:val="0"/>
                <w:i w:val="0"/>
                <w:color w:val="333333"/>
                <w:sz w:val="17"/>
              </w:rPr>
              <w:t>Piste d'audit</w:t>
            </w:r>
          </w:p>
        </w:tc>
        <w:tc>
          <w:tcPr>
            <w:tcW w:type="dxa" w:w="4252"/>
          </w:tcPr>
          <w:p>
            <w:pPr>
              <w:spacing w:before="40" w:after="40"/>
            </w:pPr>
            <w:r>
              <w:rPr>
                <w:rFonts w:ascii="Calibri" w:hAnsi="Calibri"/>
                <w:b w:val="0"/>
                <w:i w:val="0"/>
                <w:color w:val="333333"/>
                <w:sz w:val="17"/>
              </w:rPr>
              <w:t>Toute action sensible tracée avec acteur, horodatage et valeurs avant/après</w:t>
            </w:r>
          </w:p>
        </w:tc>
      </w:tr>
      <w:tr>
        <w:tc>
          <w:tcPr>
            <w:tcW w:type="dxa" w:w="907"/>
            <w:shd w:val="clear" w:fill="F2F6FA"/>
          </w:tcPr>
          <w:p>
            <w:pPr>
              <w:spacing w:before="40" w:after="40"/>
            </w:pPr>
            <w:r>
              <w:rPr>
                <w:rFonts w:ascii="Calibri" w:hAnsi="Calibri"/>
                <w:b w:val="0"/>
                <w:i w:val="0"/>
                <w:color w:val="333333"/>
                <w:sz w:val="17"/>
              </w:rPr>
              <w:t>T18</w:t>
            </w:r>
          </w:p>
        </w:tc>
        <w:tc>
          <w:tcPr>
            <w:tcW w:type="dxa" w:w="4252"/>
            <w:shd w:val="clear" w:fill="F2F6FA"/>
          </w:tcPr>
          <w:p>
            <w:pPr>
              <w:spacing w:before="40" w:after="40"/>
            </w:pPr>
            <w:r>
              <w:rPr>
                <w:rFonts w:ascii="Calibri" w:hAnsi="Calibri"/>
                <w:b w:val="0"/>
                <w:i w:val="0"/>
                <w:color w:val="333333"/>
                <w:sz w:val="17"/>
              </w:rPr>
              <w:t>Les deux langues</w:t>
            </w:r>
          </w:p>
        </w:tc>
        <w:tc>
          <w:tcPr>
            <w:tcW w:type="dxa" w:w="4252"/>
            <w:shd w:val="clear" w:fill="F2F6FA"/>
          </w:tcPr>
          <w:p>
            <w:pPr>
              <w:spacing w:before="40" w:after="40"/>
            </w:pPr>
            <w:r>
              <w:rPr>
                <w:rFonts w:ascii="Calibri" w:hAnsi="Calibri"/>
                <w:b w:val="0"/>
                <w:i w:val="0"/>
                <w:color w:val="333333"/>
                <w:sz w:val="17"/>
              </w:rPr>
              <w:t>Chaque écran et chaque reçu corrects en français et en anglais</w:t>
            </w:r>
          </w:p>
        </w:tc>
      </w:tr>
    </w:tbl>
    <w:p>
      <w:pPr>
        <w:spacing w:after="40"/>
      </w:pPr>
    </w:p>
    <w:p>
      <w:pPr>
        <w:pStyle w:val="Heading2"/>
        <w:spacing w:before="280" w:after="80"/>
        <w:keepNext/>
      </w:pPr>
      <w:bookmarkStart w:id="118" w:name="_Toc_s017"/>
      <w:r>
        <w:rPr>
          <w:rFonts w:ascii="Calibri" w:hAnsi="Calibri"/>
          <w:b/>
          <w:color w:val="1B3A5C"/>
          <w:sz w:val="24"/>
        </w:rPr>
        <w:t>5.2 Jalon G4 — go/no-go du pilote (27 septembre)</w:t>
      </w:r>
      <w:bookmarkEnd w:id="118"/>
    </w:p>
    <w:p>
      <w:r>
        <w:rPr>
          <w:rFonts w:ascii="Calibri" w:hAnsi="Calibri"/>
          <w:b/>
          <w:i w:val="0"/>
          <w:color w:val="333333"/>
          <w:sz w:val="20"/>
        </w:rPr>
        <w:t>Le GO exige la totalité des points suivants :</w:t>
      </w:r>
    </w:p>
    <w:p>
      <w:pPr>
        <w:spacing w:after="40"/>
        <w:ind w:left="312" w:hanging="198"/>
      </w:pPr>
      <w:r>
        <w:rPr>
          <w:rFonts w:ascii="Calibri" w:hAnsi="Calibri"/>
          <w:b/>
          <w:color w:val="2C5F8A"/>
          <w:sz w:val="20"/>
        </w:rPr>
        <w:t xml:space="preserve">☐  </w:t>
      </w:r>
      <w:r>
        <w:rPr>
          <w:rFonts w:ascii="Calibri" w:hAnsi="Calibri"/>
          <w:b w:val="0"/>
          <w:i w:val="0"/>
          <w:color w:val="333333"/>
          <w:sz w:val="20"/>
        </w:rPr>
        <w:t>Recette signée par SUNU ; aucune anomalie bloquante ou critique ouverte</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Liste de contrôle sécurité (Doc 2 §18) signée — y compris les points bloquants </w:t>
      </w:r>
      <w:r>
        <w:rPr>
          <w:rFonts w:ascii="Calibri" w:hAnsi="Calibri"/>
          <w:b/>
          <w:i w:val="0"/>
          <w:color w:val="333333"/>
          <w:sz w:val="20"/>
        </w:rPr>
        <w:t>H-1, H-4, H-6</w:t>
      </w:r>
    </w:p>
    <w:p>
      <w:pPr>
        <w:spacing w:after="40"/>
        <w:ind w:left="312" w:hanging="198"/>
      </w:pPr>
      <w:r>
        <w:rPr>
          <w:rFonts w:ascii="Calibri" w:hAnsi="Calibri"/>
          <w:b/>
          <w:color w:val="2C5F8A"/>
          <w:sz w:val="20"/>
        </w:rPr>
        <w:t xml:space="preserve">☐  </w:t>
      </w:r>
      <w:r>
        <w:rPr>
          <w:rFonts w:ascii="Calibri" w:hAnsi="Calibri"/>
          <w:b w:val="0"/>
          <w:i w:val="0"/>
          <w:color w:val="333333"/>
          <w:sz w:val="20"/>
        </w:rPr>
        <w:t>15 terminaux en main, configurés, durcis, affectés à des collecteurs nommés</w:t>
      </w:r>
    </w:p>
    <w:p>
      <w:pPr>
        <w:spacing w:after="40"/>
        <w:ind w:left="312" w:hanging="198"/>
      </w:pPr>
      <w:r>
        <w:rPr>
          <w:rFonts w:ascii="Calibri" w:hAnsi="Calibri"/>
          <w:b/>
          <w:color w:val="2C5F8A"/>
          <w:sz w:val="20"/>
        </w:rPr>
        <w:t xml:space="preserve">☐  </w:t>
      </w:r>
      <w:r>
        <w:rPr>
          <w:rFonts w:ascii="Calibri" w:hAnsi="Calibri"/>
          <w:b w:val="0"/>
          <w:i w:val="0"/>
          <w:color w:val="333333"/>
          <w:sz w:val="20"/>
        </w:rPr>
        <w:t>Cartes et station de personnalisation opérationnelles ; au moins 20 cartes produites en test</w:t>
      </w:r>
    </w:p>
    <w:p>
      <w:pPr>
        <w:spacing w:after="40"/>
        <w:ind w:left="312" w:hanging="198"/>
      </w:pPr>
      <w:r>
        <w:rPr>
          <w:rFonts w:ascii="Calibri" w:hAnsi="Calibri"/>
          <w:b/>
          <w:color w:val="2C5F8A"/>
          <w:sz w:val="20"/>
        </w:rPr>
        <w:t xml:space="preserve">☐  </w:t>
      </w:r>
      <w:r>
        <w:rPr>
          <w:rFonts w:ascii="Calibri" w:hAnsi="Calibri"/>
          <w:b w:val="0"/>
          <w:i w:val="0"/>
          <w:color w:val="333333"/>
          <w:sz w:val="20"/>
        </w:rPr>
        <w:t>Collecteurs formés et briefings signés</w:t>
      </w:r>
    </w:p>
    <w:p>
      <w:pPr>
        <w:spacing w:after="40"/>
        <w:ind w:left="312" w:hanging="198"/>
      </w:pPr>
      <w:r>
        <w:rPr>
          <w:rFonts w:ascii="Calibri" w:hAnsi="Calibri"/>
          <w:b/>
          <w:color w:val="2C5F8A"/>
          <w:sz w:val="20"/>
        </w:rPr>
        <w:t xml:space="preserve">☐  </w:t>
      </w:r>
      <w:r>
        <w:rPr>
          <w:rFonts w:ascii="Calibri" w:hAnsi="Calibri"/>
          <w:b w:val="0"/>
          <w:i w:val="0"/>
          <w:color w:val="333333"/>
          <w:sz w:val="20"/>
        </w:rPr>
        <w:t>Personnel back-office et superviseurs formés</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Environnement de production opérationnel ; sauvegarde en fonctionnement ; </w:t>
      </w:r>
      <w:r>
        <w:rPr>
          <w:rFonts w:ascii="Calibri" w:hAnsi="Calibri"/>
          <w:b/>
          <w:i w:val="0"/>
          <w:color w:val="333333"/>
          <w:sz w:val="20"/>
        </w:rPr>
        <w:t>restauration testée</w:t>
      </w:r>
    </w:p>
    <w:p>
      <w:pPr>
        <w:spacing w:after="40"/>
        <w:ind w:left="312" w:hanging="198"/>
      </w:pPr>
      <w:r>
        <w:rPr>
          <w:rFonts w:ascii="Calibri" w:hAnsi="Calibri"/>
          <w:b/>
          <w:color w:val="2C5F8A"/>
          <w:sz w:val="20"/>
        </w:rPr>
        <w:t xml:space="preserve">☐  </w:t>
      </w:r>
      <w:r>
        <w:rPr>
          <w:rFonts w:ascii="Calibri" w:hAnsi="Calibri"/>
          <w:b w:val="0"/>
          <w:i w:val="0"/>
          <w:color w:val="333333"/>
          <w:sz w:val="20"/>
        </w:rPr>
        <w:t>Données de phase 0 chargées et validées par SUNU</w:t>
      </w:r>
    </w:p>
    <w:p>
      <w:pPr>
        <w:spacing w:after="40"/>
        <w:ind w:left="312" w:hanging="198"/>
      </w:pPr>
      <w:r>
        <w:rPr>
          <w:rFonts w:ascii="Calibri" w:hAnsi="Calibri"/>
          <w:b/>
          <w:color w:val="2C5F8A"/>
          <w:sz w:val="20"/>
        </w:rPr>
        <w:t xml:space="preserve">☐  </w:t>
      </w:r>
      <w:r>
        <w:rPr>
          <w:rFonts w:ascii="Calibri" w:hAnsi="Calibri"/>
          <w:b w:val="0"/>
          <w:i w:val="0"/>
          <w:color w:val="333333"/>
          <w:sz w:val="20"/>
        </w:rPr>
        <w:t>Plafonds, produits, tarifs et comptes de versement paramétrés</w:t>
      </w:r>
    </w:p>
    <w:p>
      <w:pPr>
        <w:spacing w:after="40"/>
        <w:ind w:left="312" w:hanging="198"/>
      </w:pPr>
      <w:r>
        <w:rPr>
          <w:rFonts w:ascii="Calibri" w:hAnsi="Calibri"/>
          <w:b/>
          <w:color w:val="2C5F8A"/>
          <w:sz w:val="20"/>
        </w:rPr>
        <w:t xml:space="preserve">☐  </w:t>
      </w:r>
      <w:r>
        <w:rPr>
          <w:rFonts w:ascii="Calibri" w:hAnsi="Calibri"/>
          <w:b w:val="0"/>
          <w:i w:val="0"/>
          <w:color w:val="333333"/>
          <w:sz w:val="20"/>
        </w:rPr>
        <w:t>Procédure et contacts de support publiés des deux côtés</w:t>
      </w:r>
    </w:p>
    <w:p>
      <w:pPr>
        <w:spacing w:after="40"/>
        <w:ind w:left="312" w:hanging="198"/>
      </w:pPr>
      <w:r>
        <w:rPr>
          <w:rFonts w:ascii="Calibri" w:hAnsi="Calibri"/>
          <w:b/>
          <w:color w:val="2C5F8A"/>
          <w:sz w:val="20"/>
        </w:rPr>
        <w:t xml:space="preserve">☐  </w:t>
      </w:r>
      <w:r>
        <w:rPr>
          <w:rFonts w:ascii="Calibri" w:hAnsi="Calibri"/>
          <w:b w:val="0"/>
          <w:i w:val="0"/>
          <w:color w:val="333333"/>
          <w:sz w:val="20"/>
        </w:rPr>
        <w:t>Procédure de retour arrière documentée et comprise</w:t>
      </w:r>
    </w:p>
    <w:p>
      <w:r>
        <w:rPr>
          <w:rFonts w:ascii="Calibri" w:hAnsi="Calibri"/>
          <w:b/>
          <w:i w:val="0"/>
          <w:color w:val="333333"/>
          <w:sz w:val="20"/>
        </w:rPr>
        <w:t>Si un point n'est pas satisfait :</w:t>
      </w:r>
      <w:r>
        <w:rPr>
          <w:rFonts w:ascii="Calibri" w:hAnsi="Calibri"/>
          <w:b w:val="0"/>
          <w:i w:val="0"/>
          <w:color w:val="333333"/>
          <w:sz w:val="20"/>
        </w:rPr>
        <w:t xml:space="preserve"> un pilote partiel avec moins de collecteurs est préférable à un report intégral — il préserve l'échéance du 30 septembre sur des transactions réelles pendant que l'élément manquant est complété. C'est le repli recommandé, décidé au jalon G4 plutôt qu'improvisé.</w:t>
      </w:r>
    </w:p>
    <w:p>
      <w:pPr>
        <w:pStyle w:val="Heading2"/>
        <w:spacing w:before="280" w:after="80"/>
        <w:keepNext/>
      </w:pPr>
      <w:bookmarkStart w:id="119" w:name="_Toc_s018"/>
      <w:r>
        <w:rPr>
          <w:rFonts w:ascii="Calibri" w:hAnsi="Calibri"/>
          <w:b/>
          <w:color w:val="1B3A5C"/>
          <w:sz w:val="24"/>
        </w:rPr>
        <w:t>5.3 Jalon M6 — go/no-go de production (28 octobre)</w:t>
      </w:r>
      <w:bookmarkEnd w:id="119"/>
    </w:p>
    <w:p>
      <w:pPr>
        <w:spacing w:after="40"/>
        <w:ind w:left="312" w:hanging="198"/>
      </w:pPr>
      <w:r>
        <w:rPr>
          <w:rFonts w:ascii="Calibri" w:hAnsi="Calibri"/>
          <w:b/>
          <w:color w:val="2C5F8A"/>
          <w:sz w:val="20"/>
        </w:rPr>
        <w:t xml:space="preserve">☐  </w:t>
      </w:r>
      <w:r>
        <w:rPr>
          <w:rFonts w:ascii="Calibri" w:hAnsi="Calibri"/>
          <w:b w:val="0"/>
          <w:i w:val="0"/>
          <w:color w:val="333333"/>
          <w:sz w:val="20"/>
        </w:rPr>
        <w:t>Pilote exploité au moins 3 semaines sans incident critique</w:t>
      </w:r>
    </w:p>
    <w:p>
      <w:pPr>
        <w:spacing w:after="40"/>
        <w:ind w:left="312" w:hanging="198"/>
      </w:pPr>
      <w:r>
        <w:rPr>
          <w:rFonts w:ascii="Calibri" w:hAnsi="Calibri"/>
          <w:b/>
          <w:color w:val="2C5F8A"/>
          <w:sz w:val="20"/>
        </w:rPr>
        <w:t xml:space="preserve">☐  </w:t>
      </w:r>
      <w:r>
        <w:rPr>
          <w:rFonts w:ascii="Calibri" w:hAnsi="Calibri"/>
          <w:b w:val="0"/>
          <w:i w:val="0"/>
          <w:color w:val="333333"/>
          <w:sz w:val="20"/>
        </w:rPr>
        <w:t>Toutes les anomalies du pilote clôturées ou acceptées avec contournement</w:t>
      </w:r>
    </w:p>
    <w:p>
      <w:pPr>
        <w:spacing w:after="40"/>
        <w:ind w:left="312" w:hanging="198"/>
      </w:pPr>
      <w:r>
        <w:rPr>
          <w:rFonts w:ascii="Calibri" w:hAnsi="Calibri"/>
          <w:b/>
          <w:color w:val="2C5F8A"/>
          <w:sz w:val="20"/>
        </w:rPr>
        <w:t xml:space="preserve">☐  </w:t>
      </w:r>
      <w:r>
        <w:rPr>
          <w:rFonts w:ascii="Calibri" w:hAnsi="Calibri"/>
          <w:b w:val="0"/>
          <w:i w:val="0"/>
          <w:color w:val="333333"/>
          <w:sz w:val="20"/>
        </w:rPr>
        <w:t>Tous les points de durcissement (Doc 2 §12) clôturés</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Mobile Money en production </w:t>
      </w:r>
      <w:r>
        <w:rPr>
          <w:rFonts w:ascii="Calibri" w:hAnsi="Calibri"/>
          <w:b/>
          <w:i w:val="0"/>
          <w:color w:val="333333"/>
          <w:sz w:val="20"/>
        </w:rPr>
        <w:t>ou</w:t>
      </w:r>
      <w:r>
        <w:rPr>
          <w:rFonts w:ascii="Calibri" w:hAnsi="Calibri"/>
          <w:b w:val="0"/>
          <w:i w:val="0"/>
          <w:color w:val="333333"/>
          <w:sz w:val="20"/>
        </w:rPr>
        <w:t xml:space="preserve"> formellement reporté par SUNU avec une date</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SUNULIFE phase 1 en production </w:t>
      </w:r>
      <w:r>
        <w:rPr>
          <w:rFonts w:ascii="Calibri" w:hAnsi="Calibri"/>
          <w:b/>
          <w:i w:val="0"/>
          <w:color w:val="333333"/>
          <w:sz w:val="20"/>
        </w:rPr>
        <w:t>ou</w:t>
      </w:r>
      <w:r>
        <w:rPr>
          <w:rFonts w:ascii="Calibri" w:hAnsi="Calibri"/>
          <w:b w:val="0"/>
          <w:i w:val="0"/>
          <w:color w:val="333333"/>
          <w:sz w:val="20"/>
        </w:rPr>
        <w:t xml:space="preserve"> repli par fichiers accepté et en fonctionnement</w:t>
      </w:r>
    </w:p>
    <w:p>
      <w:pPr>
        <w:spacing w:after="40"/>
        <w:ind w:left="312" w:hanging="198"/>
      </w:pPr>
      <w:r>
        <w:rPr>
          <w:rFonts w:ascii="Calibri" w:hAnsi="Calibri"/>
          <w:b/>
          <w:color w:val="2C5F8A"/>
          <w:sz w:val="20"/>
        </w:rPr>
        <w:t xml:space="preserve">☐  </w:t>
      </w:r>
      <w:r>
        <w:rPr>
          <w:rFonts w:ascii="Calibri" w:hAnsi="Calibri"/>
          <w:b w:val="0"/>
          <w:i w:val="0"/>
          <w:color w:val="333333"/>
          <w:sz w:val="20"/>
        </w:rPr>
        <w:t>Rapprochement conforme pendant 3 semaines consécutives</w:t>
      </w:r>
    </w:p>
    <w:p>
      <w:pPr>
        <w:spacing w:after="40"/>
        <w:ind w:left="312" w:hanging="198"/>
      </w:pPr>
      <w:r>
        <w:rPr>
          <w:rFonts w:ascii="Calibri" w:hAnsi="Calibri"/>
          <w:b/>
          <w:color w:val="2C5F8A"/>
          <w:sz w:val="20"/>
        </w:rPr>
        <w:t xml:space="preserve">☐  </w:t>
      </w:r>
      <w:r>
        <w:rPr>
          <w:rFonts w:ascii="Calibri" w:hAnsi="Calibri"/>
          <w:b w:val="0"/>
          <w:i w:val="0"/>
          <w:color w:val="333333"/>
          <w:sz w:val="20"/>
        </w:rPr>
        <w:t>Documentation finale, en français, livrée</w:t>
      </w:r>
    </w:p>
    <w:p>
      <w:pPr>
        <w:spacing w:after="40"/>
        <w:ind w:left="312" w:hanging="198"/>
      </w:pPr>
      <w:r>
        <w:rPr>
          <w:rFonts w:ascii="Calibri" w:hAnsi="Calibri"/>
          <w:b/>
          <w:color w:val="2C5F8A"/>
          <w:sz w:val="20"/>
        </w:rPr>
        <w:t xml:space="preserve">☐  </w:t>
      </w:r>
      <w:r>
        <w:rPr>
          <w:rFonts w:ascii="Calibri" w:hAnsi="Calibri"/>
          <w:b w:val="0"/>
          <w:i w:val="0"/>
          <w:color w:val="333333"/>
          <w:sz w:val="20"/>
        </w:rPr>
        <w:t>Population d'utilisateurs élargie formée</w:t>
      </w:r>
    </w:p>
    <w:p>
      <w:pPr>
        <w:spacing w:after="40"/>
        <w:ind w:left="312" w:hanging="198"/>
      </w:pPr>
      <w:r>
        <w:rPr>
          <w:rFonts w:ascii="Calibri" w:hAnsi="Calibri"/>
          <w:b/>
          <w:color w:val="2C5F8A"/>
          <w:sz w:val="20"/>
        </w:rPr>
        <w:t xml:space="preserve">☐  </w:t>
      </w:r>
      <w:r>
        <w:rPr>
          <w:rFonts w:ascii="Calibri" w:hAnsi="Calibri"/>
          <w:b w:val="0"/>
          <w:i w:val="0"/>
          <w:color w:val="333333"/>
          <w:sz w:val="20"/>
        </w:rPr>
        <w:t>Second test de restauration réussi</w:t>
      </w:r>
    </w:p>
    <w:p>
      <w:pPr>
        <w:spacing w:after="40"/>
        <w:ind w:left="312" w:hanging="198"/>
      </w:pPr>
      <w:r>
        <w:rPr>
          <w:rFonts w:ascii="Calibri" w:hAnsi="Calibri"/>
          <w:b/>
          <w:color w:val="2C5F8A"/>
          <w:sz w:val="20"/>
        </w:rPr>
        <w:t xml:space="preserve">☐  </w:t>
      </w:r>
      <w:r>
        <w:rPr>
          <w:rFonts w:ascii="Calibri" w:hAnsi="Calibri"/>
          <w:b w:val="0"/>
          <w:i w:val="0"/>
          <w:color w:val="333333"/>
          <w:sz w:val="20"/>
        </w:rPr>
        <w:t>Modèle de support convenu pour la production</w:t>
      </w:r>
    </w:p>
    <w:p>
      <w:pPr>
        <w:pStyle w:val="Heading1"/>
        <w:pageBreakBefore/>
        <w:spacing w:before="360" w:after="80"/>
        <w:keepNext/>
        <w:pBdr>
          <w:bottom w:val="single" w:sz="8" w:space="6" w:color="1B3A5C"/>
        </w:pBdr>
      </w:pPr>
      <w:bookmarkStart w:id="120" w:name="_Toc_s019"/>
      <w:r>
        <w:rPr>
          <w:rFonts w:ascii="Calibri" w:hAnsi="Calibri"/>
          <w:b/>
          <w:color w:val="1B3A5C"/>
          <w:sz w:val="30"/>
        </w:rPr>
        <w:t>6. Dépendances vis-à-vis de SUNU — datées</w:t>
      </w:r>
      <w:bookmarkEnd w:id="120"/>
    </w:p>
    <w:p>
      <w:r>
        <w:rPr>
          <w:rFonts w:ascii="Calibri" w:hAnsi="Calibri"/>
          <w:b w:val="0"/>
          <w:i w:val="0"/>
          <w:color w:val="333333"/>
          <w:sz w:val="20"/>
        </w:rPr>
        <w:t>Chaque ligne est un prérequis du calendrier. Une date manquée décale le plan ; c'est énoncé ici afin que cela ne soit jamais une surprise ultérieure.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Dépendance</w:t>
            </w:r>
          </w:p>
        </w:tc>
        <w:tc>
          <w:tcPr>
            <w:tcW w:type="dxa" w:w="2126"/>
            <w:shd w:val="clear" w:fill="1B3A5C"/>
          </w:tcPr>
          <w:p>
            <w:pPr>
              <w:spacing w:before="60" w:after="60"/>
            </w:pPr>
            <w:r>
              <w:rPr>
                <w:rFonts w:ascii="Calibri" w:hAnsi="Calibri"/>
                <w:b/>
                <w:color w:val="FFFFFF"/>
                <w:sz w:val="17"/>
              </w:rPr>
              <w:t>Échéance</w:t>
            </w:r>
          </w:p>
        </w:tc>
        <w:tc>
          <w:tcPr>
            <w:tcW w:type="dxa" w:w="2126"/>
            <w:shd w:val="clear" w:fill="1B3A5C"/>
          </w:tcPr>
          <w:p>
            <w:pPr>
              <w:spacing w:before="60" w:after="60"/>
            </w:pPr>
            <w:r>
              <w:rPr>
                <w:rFonts w:ascii="Calibri" w:hAnsi="Calibri"/>
                <w:b/>
                <w:color w:val="FFFFFF"/>
                <w:sz w:val="17"/>
              </w:rPr>
              <w:t>Bloque</w:t>
            </w:r>
          </w:p>
        </w:tc>
        <w:tc>
          <w:tcPr>
            <w:tcW w:type="dxa" w:w="2126"/>
            <w:shd w:val="clear" w:fill="1B3A5C"/>
          </w:tcPr>
          <w:p>
            <w:pPr>
              <w:spacing w:before="60" w:after="60"/>
            </w:pPr>
            <w:r>
              <w:rPr>
                <w:rFonts w:ascii="Calibri" w:hAnsi="Calibri"/>
                <w:b/>
                <w:color w:val="FFFFFF"/>
                <w:sz w:val="17"/>
              </w:rPr>
              <w:t>Responsable</w:t>
            </w:r>
          </w:p>
        </w:tc>
      </w:tr>
      <w:tr>
        <w:tc>
          <w:tcPr>
            <w:tcW w:type="dxa" w:w="907"/>
          </w:tcPr>
          <w:p>
            <w:pPr>
              <w:spacing w:before="40" w:after="40"/>
            </w:pPr>
            <w:r>
              <w:rPr>
                <w:rFonts w:ascii="Calibri" w:hAnsi="Calibri"/>
                <w:b/>
                <w:i w:val="0"/>
                <w:color w:val="333333"/>
                <w:sz w:val="17"/>
              </w:rPr>
              <w:t>D1</w:t>
            </w:r>
          </w:p>
        </w:tc>
        <w:tc>
          <w:tcPr>
            <w:tcW w:type="dxa" w:w="2126"/>
          </w:tcPr>
          <w:p>
            <w:pPr>
              <w:spacing w:before="40" w:after="40"/>
            </w:pPr>
            <w:r>
              <w:rPr>
                <w:rFonts w:ascii="Calibri" w:hAnsi="Calibri"/>
                <w:b w:val="0"/>
                <w:i w:val="0"/>
                <w:color w:val="333333"/>
                <w:sz w:val="17"/>
              </w:rPr>
              <w:t>Décision d'hébergement et mise à disposition des environnements (OP-5)</w:t>
            </w:r>
          </w:p>
        </w:tc>
        <w:tc>
          <w:tcPr>
            <w:tcW w:type="dxa" w:w="2126"/>
          </w:tcPr>
          <w:p>
            <w:pPr>
              <w:spacing w:before="40" w:after="40"/>
            </w:pPr>
            <w:r>
              <w:rPr>
                <w:rFonts w:ascii="Calibri" w:hAnsi="Calibri"/>
                <w:b/>
                <w:i w:val="0"/>
                <w:color w:val="333333"/>
                <w:sz w:val="17"/>
              </w:rPr>
              <w:t>5 sept.</w:t>
            </w:r>
          </w:p>
        </w:tc>
        <w:tc>
          <w:tcPr>
            <w:tcW w:type="dxa" w:w="2126"/>
          </w:tcPr>
          <w:p>
            <w:pPr>
              <w:spacing w:before="40" w:after="40"/>
            </w:pPr>
            <w:r>
              <w:rPr>
                <w:rFonts w:ascii="Calibri" w:hAnsi="Calibri"/>
                <w:b w:val="0"/>
                <w:i w:val="0"/>
                <w:color w:val="333333"/>
                <w:sz w:val="17"/>
              </w:rPr>
              <w:t>M1, donc tout le reste</w:t>
            </w:r>
          </w:p>
        </w:tc>
        <w:tc>
          <w:tcPr>
            <w:tcW w:type="dxa" w:w="2126"/>
          </w:tcPr>
          <w:p>
            <w:pPr>
              <w:spacing w:before="40" w:after="40"/>
            </w:pPr>
            <w:r>
              <w:rPr>
                <w:rFonts w:ascii="Calibri" w:hAnsi="Calibri"/>
                <w:b w:val="0"/>
                <w:i w:val="0"/>
                <w:color w:val="333333"/>
                <w:sz w:val="17"/>
              </w:rPr>
              <w:t>DSI SUNU</w:t>
            </w:r>
          </w:p>
        </w:tc>
      </w:tr>
      <w:tr>
        <w:tc>
          <w:tcPr>
            <w:tcW w:type="dxa" w:w="907"/>
            <w:shd w:val="clear" w:fill="F2F6FA"/>
          </w:tcPr>
          <w:p>
            <w:pPr>
              <w:spacing w:before="40" w:after="40"/>
            </w:pPr>
            <w:r>
              <w:rPr>
                <w:rFonts w:ascii="Calibri" w:hAnsi="Calibri"/>
                <w:b/>
                <w:i w:val="0"/>
                <w:color w:val="333333"/>
                <w:sz w:val="17"/>
              </w:rPr>
              <w:t>D2</w:t>
            </w:r>
          </w:p>
        </w:tc>
        <w:tc>
          <w:tcPr>
            <w:tcW w:type="dxa" w:w="2126"/>
            <w:shd w:val="clear" w:fill="F2F6FA"/>
          </w:tcPr>
          <w:p>
            <w:pPr>
              <w:spacing w:before="40" w:after="40"/>
            </w:pPr>
            <w:r>
              <w:rPr>
                <w:rFonts w:ascii="Calibri" w:hAnsi="Calibri"/>
                <w:b w:val="0"/>
                <w:i w:val="0"/>
                <w:color w:val="333333"/>
                <w:sz w:val="17"/>
              </w:rPr>
              <w:t>Décision sur la technologie de carte (OP-3)</w:t>
            </w:r>
          </w:p>
        </w:tc>
        <w:tc>
          <w:tcPr>
            <w:tcW w:type="dxa" w:w="2126"/>
            <w:shd w:val="clear" w:fill="F2F6FA"/>
          </w:tcPr>
          <w:p>
            <w:pPr>
              <w:spacing w:before="40" w:after="40"/>
            </w:pPr>
            <w:r>
              <w:rPr>
                <w:rFonts w:ascii="Calibri" w:hAnsi="Calibri"/>
                <w:b/>
                <w:i w:val="0"/>
                <w:color w:val="333333"/>
                <w:sz w:val="17"/>
              </w:rPr>
              <w:t>8 sept.</w:t>
            </w:r>
          </w:p>
        </w:tc>
        <w:tc>
          <w:tcPr>
            <w:tcW w:type="dxa" w:w="2126"/>
            <w:shd w:val="clear" w:fill="F2F6FA"/>
          </w:tcPr>
          <w:p>
            <w:pPr>
              <w:spacing w:before="40" w:after="40"/>
            </w:pPr>
            <w:r>
              <w:rPr>
                <w:rFonts w:ascii="Calibri" w:hAnsi="Calibri"/>
                <w:b w:val="0"/>
                <w:i w:val="0"/>
                <w:color w:val="333333"/>
                <w:sz w:val="17"/>
              </w:rPr>
              <w:t>Commande des cartes ; M3</w:t>
            </w:r>
          </w:p>
        </w:tc>
        <w:tc>
          <w:tcPr>
            <w:tcW w:type="dxa" w:w="2126"/>
            <w:shd w:val="clear" w:fill="F2F6FA"/>
          </w:tcPr>
          <w:p>
            <w:pPr>
              <w:spacing w:before="40" w:after="40"/>
            </w:pPr>
            <w:r>
              <w:rPr>
                <w:rFonts w:ascii="Calibri" w:hAnsi="Calibri"/>
                <w:b w:val="0"/>
                <w:i w:val="0"/>
                <w:color w:val="333333"/>
                <w:sz w:val="17"/>
              </w:rPr>
              <w:t>Opérations SUNU</w:t>
            </w:r>
          </w:p>
        </w:tc>
      </w:tr>
      <w:tr>
        <w:tc>
          <w:tcPr>
            <w:tcW w:type="dxa" w:w="907"/>
          </w:tcPr>
          <w:p>
            <w:pPr>
              <w:spacing w:before="40" w:after="40"/>
            </w:pPr>
            <w:r>
              <w:rPr>
                <w:rFonts w:ascii="Calibri" w:hAnsi="Calibri"/>
                <w:b/>
                <w:i w:val="0"/>
                <w:color w:val="333333"/>
                <w:sz w:val="17"/>
              </w:rPr>
              <w:t>D3</w:t>
            </w:r>
          </w:p>
        </w:tc>
        <w:tc>
          <w:tcPr>
            <w:tcW w:type="dxa" w:w="2126"/>
          </w:tcPr>
          <w:p>
            <w:pPr>
              <w:spacing w:before="40" w:after="40"/>
            </w:pPr>
            <w:r>
              <w:rPr>
                <w:rFonts w:ascii="Calibri" w:hAnsi="Calibri"/>
                <w:b w:val="0"/>
                <w:i w:val="0"/>
                <w:color w:val="333333"/>
                <w:sz w:val="17"/>
              </w:rPr>
              <w:t>Décision sur la voie Mobile Money et démarrage de l'enrôlement (OP-4)</w:t>
            </w:r>
          </w:p>
        </w:tc>
        <w:tc>
          <w:tcPr>
            <w:tcW w:type="dxa" w:w="2126"/>
          </w:tcPr>
          <w:p>
            <w:pPr>
              <w:spacing w:before="40" w:after="40"/>
            </w:pPr>
            <w:r>
              <w:rPr>
                <w:rFonts w:ascii="Calibri" w:hAnsi="Calibri"/>
                <w:b/>
                <w:i w:val="0"/>
                <w:color w:val="333333"/>
                <w:sz w:val="17"/>
              </w:rPr>
              <w:t>8 sept.</w:t>
            </w:r>
          </w:p>
        </w:tc>
        <w:tc>
          <w:tcPr>
            <w:tcW w:type="dxa" w:w="2126"/>
          </w:tcPr>
          <w:p>
            <w:pPr>
              <w:spacing w:before="40" w:after="40"/>
            </w:pPr>
            <w:r>
              <w:rPr>
                <w:rFonts w:ascii="Calibri" w:hAnsi="Calibri"/>
                <w:b w:val="0"/>
                <w:i w:val="0"/>
                <w:color w:val="333333"/>
                <w:sz w:val="17"/>
              </w:rPr>
              <w:t>Livraison MoMo en octobre ; M7</w:t>
            </w:r>
          </w:p>
        </w:tc>
        <w:tc>
          <w:tcPr>
            <w:tcW w:type="dxa" w:w="2126"/>
          </w:tcPr>
          <w:p>
            <w:pPr>
              <w:spacing w:before="40" w:after="40"/>
            </w:pPr>
            <w:r>
              <w:rPr>
                <w:rFonts w:ascii="Calibri" w:hAnsi="Calibri"/>
                <w:b w:val="0"/>
                <w:i w:val="0"/>
                <w:color w:val="333333"/>
                <w:sz w:val="17"/>
              </w:rPr>
              <w:t>Direction Financière SUNU</w:t>
            </w:r>
          </w:p>
        </w:tc>
      </w:tr>
      <w:tr>
        <w:tc>
          <w:tcPr>
            <w:tcW w:type="dxa" w:w="907"/>
            <w:shd w:val="clear" w:fill="F2F6FA"/>
          </w:tcPr>
          <w:p>
            <w:pPr>
              <w:spacing w:before="40" w:after="40"/>
            </w:pPr>
            <w:r>
              <w:rPr>
                <w:rFonts w:ascii="Calibri" w:hAnsi="Calibri"/>
                <w:b/>
                <w:i w:val="0"/>
                <w:color w:val="333333"/>
                <w:sz w:val="17"/>
              </w:rPr>
              <w:t>D4</w:t>
            </w:r>
          </w:p>
        </w:tc>
        <w:tc>
          <w:tcPr>
            <w:tcW w:type="dxa" w:w="2126"/>
            <w:shd w:val="clear" w:fill="F2F6FA"/>
          </w:tcPr>
          <w:p>
            <w:pPr>
              <w:spacing w:before="40" w:after="40"/>
            </w:pPr>
            <w:r>
              <w:rPr>
                <w:rFonts w:ascii="Calibri" w:hAnsi="Calibri"/>
                <w:b w:val="0"/>
                <w:i w:val="0"/>
                <w:color w:val="333333"/>
                <w:sz w:val="17"/>
              </w:rPr>
              <w:t>Commande matérielle passée : 15 terminaux, 5 000 cartes, station de personnalisation</w:t>
            </w:r>
          </w:p>
        </w:tc>
        <w:tc>
          <w:tcPr>
            <w:tcW w:type="dxa" w:w="2126"/>
            <w:shd w:val="clear" w:fill="F2F6FA"/>
          </w:tcPr>
          <w:p>
            <w:pPr>
              <w:spacing w:before="40" w:after="40"/>
            </w:pPr>
            <w:r>
              <w:rPr>
                <w:rFonts w:ascii="Calibri" w:hAnsi="Calibri"/>
                <w:b/>
                <w:i w:val="0"/>
                <w:color w:val="333333"/>
                <w:sz w:val="17"/>
              </w:rPr>
              <w:t>8 sept.</w:t>
            </w:r>
          </w:p>
        </w:tc>
        <w:tc>
          <w:tcPr>
            <w:tcW w:type="dxa" w:w="2126"/>
            <w:shd w:val="clear" w:fill="F2F6FA"/>
          </w:tcPr>
          <w:p>
            <w:pPr>
              <w:spacing w:before="40" w:after="40"/>
            </w:pPr>
            <w:r>
              <w:rPr>
                <w:rFonts w:ascii="Calibri" w:hAnsi="Calibri"/>
                <w:b w:val="0"/>
                <w:i w:val="0"/>
                <w:color w:val="333333"/>
                <w:sz w:val="17"/>
              </w:rPr>
              <w:t>M3 — le plus long délai du projet</w:t>
            </w:r>
          </w:p>
        </w:tc>
        <w:tc>
          <w:tcPr>
            <w:tcW w:type="dxa" w:w="2126"/>
            <w:shd w:val="clear" w:fill="F2F6FA"/>
          </w:tcPr>
          <w:p>
            <w:pPr>
              <w:spacing w:before="40" w:after="40"/>
            </w:pPr>
            <w:r>
              <w:rPr>
                <w:rFonts w:ascii="Calibri" w:hAnsi="Calibri"/>
                <w:b w:val="0"/>
                <w:i w:val="0"/>
                <w:color w:val="333333"/>
                <w:sz w:val="17"/>
              </w:rPr>
              <w:t>Achats SUNU</w:t>
            </w:r>
          </w:p>
        </w:tc>
      </w:tr>
      <w:tr>
        <w:tc>
          <w:tcPr>
            <w:tcW w:type="dxa" w:w="907"/>
          </w:tcPr>
          <w:p>
            <w:pPr>
              <w:spacing w:before="40" w:after="40"/>
            </w:pPr>
            <w:r>
              <w:rPr>
                <w:rFonts w:ascii="Calibri" w:hAnsi="Calibri"/>
                <w:b/>
                <w:i w:val="0"/>
                <w:color w:val="333333"/>
                <w:sz w:val="17"/>
              </w:rPr>
              <w:t>D5</w:t>
            </w:r>
          </w:p>
        </w:tc>
        <w:tc>
          <w:tcPr>
            <w:tcW w:type="dxa" w:w="2126"/>
          </w:tcPr>
          <w:p>
            <w:pPr>
              <w:spacing w:before="40" w:after="40"/>
            </w:pPr>
            <w:r>
              <w:rPr>
                <w:rFonts w:ascii="Calibri" w:hAnsi="Calibri"/>
                <w:b w:val="0"/>
                <w:i w:val="0"/>
                <w:color w:val="333333"/>
                <w:sz w:val="17"/>
              </w:rPr>
              <w:t>Extraction clients et polices pour l'import de phase 0 (OP-2)</w:t>
            </w:r>
          </w:p>
        </w:tc>
        <w:tc>
          <w:tcPr>
            <w:tcW w:type="dxa" w:w="2126"/>
          </w:tcPr>
          <w:p>
            <w:pPr>
              <w:spacing w:before="40" w:after="40"/>
            </w:pPr>
            <w:r>
              <w:rPr>
                <w:rFonts w:ascii="Calibri" w:hAnsi="Calibri"/>
                <w:b/>
                <w:i w:val="0"/>
                <w:color w:val="333333"/>
                <w:sz w:val="17"/>
              </w:rPr>
              <w:t>10 sept.</w:t>
            </w:r>
          </w:p>
        </w:tc>
        <w:tc>
          <w:tcPr>
            <w:tcW w:type="dxa" w:w="2126"/>
          </w:tcPr>
          <w:p>
            <w:pPr>
              <w:spacing w:before="40" w:after="40"/>
            </w:pPr>
            <w:r>
              <w:rPr>
                <w:rFonts w:ascii="Calibri" w:hAnsi="Calibri"/>
                <w:b w:val="0"/>
                <w:i w:val="0"/>
                <w:color w:val="333333"/>
                <w:sz w:val="17"/>
              </w:rPr>
              <w:t>T13 ; l'exigence prioritaire SUNULIFE au pilote</w:t>
            </w:r>
          </w:p>
        </w:tc>
        <w:tc>
          <w:tcPr>
            <w:tcW w:type="dxa" w:w="2126"/>
          </w:tcPr>
          <w:p>
            <w:pPr>
              <w:spacing w:before="40" w:after="40"/>
            </w:pPr>
            <w:r>
              <w:rPr>
                <w:rFonts w:ascii="Calibri" w:hAnsi="Calibri"/>
                <w:b w:val="0"/>
                <w:i w:val="0"/>
                <w:color w:val="333333"/>
                <w:sz w:val="17"/>
              </w:rPr>
              <w:t>DSI SUNU</w:t>
            </w:r>
          </w:p>
        </w:tc>
      </w:tr>
      <w:tr>
        <w:tc>
          <w:tcPr>
            <w:tcW w:type="dxa" w:w="907"/>
            <w:shd w:val="clear" w:fill="F2F6FA"/>
          </w:tcPr>
          <w:p>
            <w:pPr>
              <w:spacing w:before="40" w:after="40"/>
            </w:pPr>
            <w:r>
              <w:rPr>
                <w:rFonts w:ascii="Calibri" w:hAnsi="Calibri"/>
                <w:b/>
                <w:i w:val="0"/>
                <w:color w:val="333333"/>
                <w:sz w:val="17"/>
              </w:rPr>
              <w:t>D6</w:t>
            </w:r>
          </w:p>
        </w:tc>
        <w:tc>
          <w:tcPr>
            <w:tcW w:type="dxa" w:w="2126"/>
            <w:shd w:val="clear" w:fill="F2F6FA"/>
          </w:tcPr>
          <w:p>
            <w:pPr>
              <w:spacing w:before="40" w:after="40"/>
            </w:pPr>
            <w:r>
              <w:rPr>
                <w:rFonts w:ascii="Calibri" w:hAnsi="Calibri"/>
                <w:b w:val="0"/>
                <w:i w:val="0"/>
                <w:color w:val="333333"/>
                <w:sz w:val="17"/>
              </w:rPr>
              <w:t>Liste des produits du pilote, tarifs et règles de frais de police (OP-7)</w:t>
            </w:r>
          </w:p>
        </w:tc>
        <w:tc>
          <w:tcPr>
            <w:tcW w:type="dxa" w:w="2126"/>
            <w:shd w:val="clear" w:fill="F2F6FA"/>
          </w:tcPr>
          <w:p>
            <w:pPr>
              <w:spacing w:before="40" w:after="40"/>
            </w:pPr>
            <w:r>
              <w:rPr>
                <w:rFonts w:ascii="Calibri" w:hAnsi="Calibri"/>
                <w:b/>
                <w:i w:val="0"/>
                <w:color w:val="333333"/>
                <w:sz w:val="17"/>
              </w:rPr>
              <w:t>10 sept.</w:t>
            </w:r>
          </w:p>
        </w:tc>
        <w:tc>
          <w:tcPr>
            <w:tcW w:type="dxa" w:w="2126"/>
            <w:shd w:val="clear" w:fill="F2F6FA"/>
          </w:tcPr>
          <w:p>
            <w:pPr>
              <w:spacing w:before="40" w:after="40"/>
            </w:pPr>
            <w:r>
              <w:rPr>
                <w:rFonts w:ascii="Calibri" w:hAnsi="Calibri"/>
                <w:b w:val="0"/>
                <w:i w:val="0"/>
                <w:color w:val="333333"/>
                <w:sz w:val="17"/>
              </w:rPr>
              <w:t>Paramétrage ; recette</w:t>
            </w:r>
          </w:p>
        </w:tc>
        <w:tc>
          <w:tcPr>
            <w:tcW w:type="dxa" w:w="2126"/>
            <w:shd w:val="clear" w:fill="F2F6FA"/>
          </w:tcPr>
          <w:p>
            <w:pPr>
              <w:spacing w:before="40" w:after="40"/>
            </w:pPr>
            <w:r>
              <w:rPr>
                <w:rFonts w:ascii="Calibri" w:hAnsi="Calibri"/>
                <w:b w:val="0"/>
                <w:i w:val="0"/>
                <w:color w:val="333333"/>
                <w:sz w:val="17"/>
              </w:rPr>
              <w:t>Opérations SUNU</w:t>
            </w:r>
          </w:p>
        </w:tc>
      </w:tr>
      <w:tr>
        <w:tc>
          <w:tcPr>
            <w:tcW w:type="dxa" w:w="907"/>
          </w:tcPr>
          <w:p>
            <w:pPr>
              <w:spacing w:before="40" w:after="40"/>
            </w:pPr>
            <w:r>
              <w:rPr>
                <w:rFonts w:ascii="Calibri" w:hAnsi="Calibri"/>
                <w:b/>
                <w:i w:val="0"/>
                <w:color w:val="333333"/>
                <w:sz w:val="17"/>
              </w:rPr>
              <w:t>D7</w:t>
            </w:r>
          </w:p>
        </w:tc>
        <w:tc>
          <w:tcPr>
            <w:tcW w:type="dxa" w:w="2126"/>
          </w:tcPr>
          <w:p>
            <w:pPr>
              <w:spacing w:before="40" w:after="40"/>
            </w:pPr>
            <w:r>
              <w:rPr>
                <w:rFonts w:ascii="Calibri" w:hAnsi="Calibri"/>
                <w:b w:val="0"/>
                <w:i w:val="0"/>
                <w:color w:val="333333"/>
                <w:sz w:val="17"/>
              </w:rPr>
              <w:t>Contenu du reçu et mentions légales requises (OP-8)</w:t>
            </w:r>
          </w:p>
        </w:tc>
        <w:tc>
          <w:tcPr>
            <w:tcW w:type="dxa" w:w="2126"/>
          </w:tcPr>
          <w:p>
            <w:pPr>
              <w:spacing w:before="40" w:after="40"/>
            </w:pPr>
            <w:r>
              <w:rPr>
                <w:rFonts w:ascii="Calibri" w:hAnsi="Calibri"/>
                <w:b/>
                <w:i w:val="0"/>
                <w:color w:val="333333"/>
                <w:sz w:val="17"/>
              </w:rPr>
              <w:t>10 sept.</w:t>
            </w:r>
          </w:p>
        </w:tc>
        <w:tc>
          <w:tcPr>
            <w:tcW w:type="dxa" w:w="2126"/>
          </w:tcPr>
          <w:p>
            <w:pPr>
              <w:spacing w:before="40" w:after="40"/>
            </w:pPr>
            <w:r>
              <w:rPr>
                <w:rFonts w:ascii="Calibri" w:hAnsi="Calibri"/>
                <w:b w:val="0"/>
                <w:i w:val="0"/>
                <w:color w:val="333333"/>
                <w:sz w:val="17"/>
              </w:rPr>
              <w:t>Modèles de reçus ; recette</w:t>
            </w:r>
          </w:p>
        </w:tc>
        <w:tc>
          <w:tcPr>
            <w:tcW w:type="dxa" w:w="2126"/>
          </w:tcPr>
          <w:p>
            <w:pPr>
              <w:spacing w:before="40" w:after="40"/>
            </w:pPr>
            <w:r>
              <w:rPr>
                <w:rFonts w:ascii="Calibri" w:hAnsi="Calibri"/>
                <w:b w:val="0"/>
                <w:i w:val="0"/>
                <w:color w:val="333333"/>
                <w:sz w:val="17"/>
              </w:rPr>
              <w:t>Opérations + Juridique SUNU</w:t>
            </w:r>
          </w:p>
        </w:tc>
      </w:tr>
      <w:tr>
        <w:tc>
          <w:tcPr>
            <w:tcW w:type="dxa" w:w="907"/>
            <w:shd w:val="clear" w:fill="F2F6FA"/>
          </w:tcPr>
          <w:p>
            <w:pPr>
              <w:spacing w:before="40" w:after="40"/>
            </w:pPr>
            <w:r>
              <w:rPr>
                <w:rFonts w:ascii="Calibri" w:hAnsi="Calibri"/>
                <w:b/>
                <w:i w:val="0"/>
                <w:color w:val="333333"/>
                <w:sz w:val="17"/>
              </w:rPr>
              <w:t>D8</w:t>
            </w:r>
          </w:p>
        </w:tc>
        <w:tc>
          <w:tcPr>
            <w:tcW w:type="dxa" w:w="2126"/>
            <w:shd w:val="clear" w:fill="F2F6FA"/>
          </w:tcPr>
          <w:p>
            <w:pPr>
              <w:spacing w:before="40" w:after="40"/>
            </w:pPr>
            <w:r>
              <w:rPr>
                <w:rFonts w:ascii="Calibri" w:hAnsi="Calibri"/>
                <w:b w:val="0"/>
                <w:i w:val="0"/>
                <w:color w:val="333333"/>
                <w:sz w:val="17"/>
              </w:rPr>
              <w:t>Réponses au questionnaire SUNULIFE (OP-1)</w:t>
            </w:r>
          </w:p>
        </w:tc>
        <w:tc>
          <w:tcPr>
            <w:tcW w:type="dxa" w:w="2126"/>
            <w:shd w:val="clear" w:fill="F2F6FA"/>
          </w:tcPr>
          <w:p>
            <w:pPr>
              <w:spacing w:before="40" w:after="40"/>
            </w:pPr>
            <w:r>
              <w:rPr>
                <w:rFonts w:ascii="Calibri" w:hAnsi="Calibri"/>
                <w:b/>
                <w:i w:val="0"/>
                <w:color w:val="333333"/>
                <w:sz w:val="17"/>
              </w:rPr>
              <w:t>15 sept.</w:t>
            </w:r>
            <w:r>
              <w:rPr>
                <w:rFonts w:ascii="Calibri" w:hAnsi="Calibri"/>
                <w:b w:val="0"/>
                <w:i w:val="0"/>
                <w:color w:val="333333"/>
                <w:sz w:val="17"/>
              </w:rPr>
              <w:t>, ou fermement à M4</w:t>
            </w:r>
          </w:p>
        </w:tc>
        <w:tc>
          <w:tcPr>
            <w:tcW w:type="dxa" w:w="2126"/>
            <w:shd w:val="clear" w:fill="F2F6FA"/>
          </w:tcPr>
          <w:p>
            <w:pPr>
              <w:spacing w:before="40" w:after="40"/>
            </w:pPr>
            <w:r>
              <w:rPr>
                <w:rFonts w:ascii="Calibri" w:hAnsi="Calibri"/>
                <w:b w:val="0"/>
                <w:i w:val="0"/>
                <w:color w:val="333333"/>
                <w:sz w:val="17"/>
              </w:rPr>
              <w:t>SUNULIFE phase 1 en octobre</w:t>
            </w:r>
          </w:p>
        </w:tc>
        <w:tc>
          <w:tcPr>
            <w:tcW w:type="dxa" w:w="2126"/>
            <w:shd w:val="clear" w:fill="F2F6FA"/>
          </w:tcPr>
          <w:p>
            <w:pPr>
              <w:spacing w:before="40" w:after="40"/>
            </w:pPr>
            <w:r>
              <w:rPr>
                <w:rFonts w:ascii="Calibri" w:hAnsi="Calibri"/>
                <w:b w:val="0"/>
                <w:i w:val="0"/>
                <w:color w:val="333333"/>
                <w:sz w:val="17"/>
              </w:rPr>
              <w:t>DSI SUNU + éditeur</w:t>
            </w:r>
          </w:p>
        </w:tc>
      </w:tr>
      <w:tr>
        <w:tc>
          <w:tcPr>
            <w:tcW w:type="dxa" w:w="907"/>
          </w:tcPr>
          <w:p>
            <w:pPr>
              <w:spacing w:before="40" w:after="40"/>
            </w:pPr>
            <w:r>
              <w:rPr>
                <w:rFonts w:ascii="Calibri" w:hAnsi="Calibri"/>
                <w:b/>
                <w:i w:val="0"/>
                <w:color w:val="333333"/>
                <w:sz w:val="17"/>
              </w:rPr>
              <w:t>D9</w:t>
            </w:r>
          </w:p>
        </w:tc>
        <w:tc>
          <w:tcPr>
            <w:tcW w:type="dxa" w:w="2126"/>
          </w:tcPr>
          <w:p>
            <w:pPr>
              <w:spacing w:before="40" w:after="40"/>
            </w:pPr>
            <w:r>
              <w:rPr>
                <w:rFonts w:ascii="Calibri" w:hAnsi="Calibri"/>
                <w:b w:val="0"/>
                <w:i w:val="0"/>
                <w:color w:val="333333"/>
                <w:sz w:val="17"/>
              </w:rPr>
              <w:t>Montants des plafonds des collecteurs (OP-6)</w:t>
            </w:r>
          </w:p>
        </w:tc>
        <w:tc>
          <w:tcPr>
            <w:tcW w:type="dxa" w:w="2126"/>
          </w:tcPr>
          <w:p>
            <w:pPr>
              <w:spacing w:before="40" w:after="40"/>
            </w:pPr>
            <w:r>
              <w:rPr>
                <w:rFonts w:ascii="Calibri" w:hAnsi="Calibri"/>
                <w:b/>
                <w:i w:val="0"/>
                <w:color w:val="333333"/>
                <w:sz w:val="17"/>
              </w:rPr>
              <w:t>15 sept.</w:t>
            </w:r>
          </w:p>
        </w:tc>
        <w:tc>
          <w:tcPr>
            <w:tcW w:type="dxa" w:w="2126"/>
          </w:tcPr>
          <w:p>
            <w:pPr>
              <w:spacing w:before="40" w:after="40"/>
            </w:pPr>
            <w:r>
              <w:rPr>
                <w:rFonts w:ascii="Calibri" w:hAnsi="Calibri"/>
                <w:b w:val="0"/>
                <w:i w:val="0"/>
                <w:color w:val="333333"/>
                <w:sz w:val="17"/>
              </w:rPr>
              <w:t>Paramétrage ; recette</w:t>
            </w:r>
          </w:p>
        </w:tc>
        <w:tc>
          <w:tcPr>
            <w:tcW w:type="dxa" w:w="2126"/>
          </w:tcPr>
          <w:p>
            <w:pPr>
              <w:spacing w:before="40" w:after="40"/>
            </w:pPr>
            <w:r>
              <w:rPr>
                <w:rFonts w:ascii="Calibri" w:hAnsi="Calibri"/>
                <w:b w:val="0"/>
                <w:i w:val="0"/>
                <w:color w:val="333333"/>
                <w:sz w:val="17"/>
              </w:rPr>
              <w:t>Opérations SUNU</w:t>
            </w:r>
          </w:p>
        </w:tc>
      </w:tr>
      <w:tr>
        <w:tc>
          <w:tcPr>
            <w:tcW w:type="dxa" w:w="907"/>
            <w:shd w:val="clear" w:fill="F2F6FA"/>
          </w:tcPr>
          <w:p>
            <w:pPr>
              <w:spacing w:before="40" w:after="40"/>
            </w:pPr>
            <w:r>
              <w:rPr>
                <w:rFonts w:ascii="Calibri" w:hAnsi="Calibri"/>
                <w:b/>
                <w:i w:val="0"/>
                <w:color w:val="333333"/>
                <w:sz w:val="17"/>
              </w:rPr>
              <w:t>D10</w:t>
            </w:r>
          </w:p>
        </w:tc>
        <w:tc>
          <w:tcPr>
            <w:tcW w:type="dxa" w:w="2126"/>
            <w:shd w:val="clear" w:fill="F2F6FA"/>
          </w:tcPr>
          <w:p>
            <w:pPr>
              <w:spacing w:before="40" w:after="40"/>
            </w:pPr>
            <w:r>
              <w:rPr>
                <w:rFonts w:ascii="Calibri" w:hAnsi="Calibri"/>
                <w:b w:val="0"/>
                <w:i w:val="0"/>
                <w:color w:val="333333"/>
                <w:sz w:val="17"/>
              </w:rPr>
              <w:t>Compte bancaire et caisse désignés pour les versements (OP-10)</w:t>
            </w:r>
          </w:p>
        </w:tc>
        <w:tc>
          <w:tcPr>
            <w:tcW w:type="dxa" w:w="2126"/>
            <w:shd w:val="clear" w:fill="F2F6FA"/>
          </w:tcPr>
          <w:p>
            <w:pPr>
              <w:spacing w:before="40" w:after="40"/>
            </w:pPr>
            <w:r>
              <w:rPr>
                <w:rFonts w:ascii="Calibri" w:hAnsi="Calibri"/>
                <w:b/>
                <w:i w:val="0"/>
                <w:color w:val="333333"/>
                <w:sz w:val="17"/>
              </w:rPr>
              <w:t>15 sept.</w:t>
            </w:r>
          </w:p>
        </w:tc>
        <w:tc>
          <w:tcPr>
            <w:tcW w:type="dxa" w:w="2126"/>
            <w:shd w:val="clear" w:fill="F2F6FA"/>
          </w:tcPr>
          <w:p>
            <w:pPr>
              <w:spacing w:before="40" w:after="40"/>
            </w:pPr>
            <w:r>
              <w:rPr>
                <w:rFonts w:ascii="Calibri" w:hAnsi="Calibri"/>
                <w:b w:val="0"/>
                <w:i w:val="0"/>
                <w:color w:val="333333"/>
                <w:sz w:val="17"/>
              </w:rPr>
              <w:t>Paramétrage des versements ; T10</w:t>
            </w:r>
          </w:p>
        </w:tc>
        <w:tc>
          <w:tcPr>
            <w:tcW w:type="dxa" w:w="2126"/>
            <w:shd w:val="clear" w:fill="F2F6FA"/>
          </w:tcPr>
          <w:p>
            <w:pPr>
              <w:spacing w:before="40" w:after="40"/>
            </w:pPr>
            <w:r>
              <w:rPr>
                <w:rFonts w:ascii="Calibri" w:hAnsi="Calibri"/>
                <w:b w:val="0"/>
                <w:i w:val="0"/>
                <w:color w:val="333333"/>
                <w:sz w:val="17"/>
              </w:rPr>
              <w:t>Direction Financière SUNU</w:t>
            </w:r>
          </w:p>
        </w:tc>
      </w:tr>
      <w:tr>
        <w:tc>
          <w:tcPr>
            <w:tcW w:type="dxa" w:w="907"/>
          </w:tcPr>
          <w:p>
            <w:pPr>
              <w:spacing w:before="40" w:after="40"/>
            </w:pPr>
            <w:r>
              <w:rPr>
                <w:rFonts w:ascii="Calibri" w:hAnsi="Calibri"/>
                <w:b/>
                <w:i w:val="0"/>
                <w:color w:val="333333"/>
                <w:sz w:val="17"/>
              </w:rPr>
              <w:t>D11</w:t>
            </w:r>
          </w:p>
        </w:tc>
        <w:tc>
          <w:tcPr>
            <w:tcW w:type="dxa" w:w="2126"/>
          </w:tcPr>
          <w:p>
            <w:pPr>
              <w:spacing w:before="40" w:after="40"/>
            </w:pPr>
            <w:r>
              <w:rPr>
                <w:rFonts w:ascii="Calibri" w:hAnsi="Calibri"/>
                <w:b w:val="0"/>
                <w:i w:val="0"/>
                <w:color w:val="333333"/>
                <w:sz w:val="17"/>
              </w:rPr>
              <w:t>Testeurs nommés disponibles pour la recette, 14–25 sept.</w:t>
            </w:r>
          </w:p>
        </w:tc>
        <w:tc>
          <w:tcPr>
            <w:tcW w:type="dxa" w:w="2126"/>
          </w:tcPr>
          <w:p>
            <w:pPr>
              <w:spacing w:before="40" w:after="40"/>
            </w:pPr>
            <w:r>
              <w:rPr>
                <w:rFonts w:ascii="Calibri" w:hAnsi="Calibri"/>
                <w:b/>
                <w:i w:val="0"/>
                <w:color w:val="333333"/>
                <w:sz w:val="17"/>
              </w:rPr>
              <w:t>14 sept.</w:t>
            </w:r>
          </w:p>
        </w:tc>
        <w:tc>
          <w:tcPr>
            <w:tcW w:type="dxa" w:w="2126"/>
          </w:tcPr>
          <w:p>
            <w:pPr>
              <w:spacing w:before="40" w:after="40"/>
            </w:pPr>
            <w:r>
              <w:rPr>
                <w:rFonts w:ascii="Calibri" w:hAnsi="Calibri"/>
                <w:b w:val="0"/>
                <w:i w:val="0"/>
                <w:color w:val="333333"/>
                <w:sz w:val="17"/>
              </w:rPr>
              <w:t>M2</w:t>
            </w:r>
          </w:p>
        </w:tc>
        <w:tc>
          <w:tcPr>
            <w:tcW w:type="dxa" w:w="2126"/>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D12</w:t>
            </w:r>
          </w:p>
        </w:tc>
        <w:tc>
          <w:tcPr>
            <w:tcW w:type="dxa" w:w="2126"/>
            <w:shd w:val="clear" w:fill="F2F6FA"/>
          </w:tcPr>
          <w:p>
            <w:pPr>
              <w:spacing w:before="40" w:after="40"/>
            </w:pPr>
            <w:r>
              <w:rPr>
                <w:rFonts w:ascii="Calibri" w:hAnsi="Calibri"/>
                <w:b w:val="0"/>
                <w:i w:val="0"/>
                <w:color w:val="333333"/>
                <w:sz w:val="17"/>
              </w:rPr>
              <w:t>Collecteurs disponibles pour la formation, semaine du 14 sept.</w:t>
            </w:r>
          </w:p>
        </w:tc>
        <w:tc>
          <w:tcPr>
            <w:tcW w:type="dxa" w:w="2126"/>
            <w:shd w:val="clear" w:fill="F2F6FA"/>
          </w:tcPr>
          <w:p>
            <w:pPr>
              <w:spacing w:before="40" w:after="40"/>
            </w:pPr>
            <w:r>
              <w:rPr>
                <w:rFonts w:ascii="Calibri" w:hAnsi="Calibri"/>
                <w:b/>
                <w:i w:val="0"/>
                <w:color w:val="333333"/>
                <w:sz w:val="17"/>
              </w:rPr>
              <w:t>14 sept.</w:t>
            </w:r>
          </w:p>
        </w:tc>
        <w:tc>
          <w:tcPr>
            <w:tcW w:type="dxa" w:w="2126"/>
            <w:shd w:val="clear" w:fill="F2F6FA"/>
          </w:tcPr>
          <w:p>
            <w:pPr>
              <w:spacing w:before="40" w:after="40"/>
            </w:pPr>
            <w:r>
              <w:rPr>
                <w:rFonts w:ascii="Calibri" w:hAnsi="Calibri"/>
                <w:b w:val="0"/>
                <w:i w:val="0"/>
                <w:color w:val="333333"/>
                <w:sz w:val="17"/>
              </w:rPr>
              <w:t>M3</w:t>
            </w:r>
          </w:p>
        </w:tc>
        <w:tc>
          <w:tcPr>
            <w:tcW w:type="dxa" w:w="2126"/>
            <w:shd w:val="clear" w:fill="F2F6FA"/>
          </w:tcPr>
          <w:p>
            <w:pPr>
              <w:spacing w:before="40" w:after="40"/>
            </w:pPr>
            <w:r>
              <w:rPr>
                <w:rFonts w:ascii="Calibri" w:hAnsi="Calibri"/>
                <w:b w:val="0"/>
                <w:i w:val="0"/>
                <w:color w:val="333333"/>
                <w:sz w:val="17"/>
              </w:rPr>
              <w:t>RH + Opérations SUNU</w:t>
            </w:r>
          </w:p>
        </w:tc>
      </w:tr>
      <w:tr>
        <w:tc>
          <w:tcPr>
            <w:tcW w:type="dxa" w:w="907"/>
          </w:tcPr>
          <w:p>
            <w:pPr>
              <w:spacing w:before="40" w:after="40"/>
            </w:pPr>
            <w:r>
              <w:rPr>
                <w:rFonts w:ascii="Calibri" w:hAnsi="Calibri"/>
                <w:b/>
                <w:i w:val="0"/>
                <w:color w:val="333333"/>
                <w:sz w:val="17"/>
              </w:rPr>
              <w:t>D13</w:t>
            </w:r>
          </w:p>
        </w:tc>
        <w:tc>
          <w:tcPr>
            <w:tcW w:type="dxa" w:w="2126"/>
          </w:tcPr>
          <w:p>
            <w:pPr>
              <w:spacing w:before="40" w:after="40"/>
            </w:pPr>
            <w:r>
              <w:rPr>
                <w:rFonts w:ascii="Calibri" w:hAnsi="Calibri"/>
                <w:b w:val="0"/>
                <w:i w:val="0"/>
                <w:color w:val="333333"/>
                <w:sz w:val="17"/>
              </w:rPr>
              <w:t>Périmètre du pilote défini : collecteurs, zones, produits</w:t>
            </w:r>
          </w:p>
        </w:tc>
        <w:tc>
          <w:tcPr>
            <w:tcW w:type="dxa" w:w="2126"/>
          </w:tcPr>
          <w:p>
            <w:pPr>
              <w:spacing w:before="40" w:after="40"/>
            </w:pPr>
            <w:r>
              <w:rPr>
                <w:rFonts w:ascii="Calibri" w:hAnsi="Calibri"/>
                <w:b/>
                <w:i w:val="0"/>
                <w:color w:val="333333"/>
                <w:sz w:val="17"/>
              </w:rPr>
              <w:t>21 sept.</w:t>
            </w:r>
          </w:p>
        </w:tc>
        <w:tc>
          <w:tcPr>
            <w:tcW w:type="dxa" w:w="2126"/>
          </w:tcPr>
          <w:p>
            <w:pPr>
              <w:spacing w:before="40" w:after="40"/>
            </w:pPr>
            <w:r>
              <w:rPr>
                <w:rFonts w:ascii="Calibri" w:hAnsi="Calibri"/>
                <w:b w:val="0"/>
                <w:i w:val="0"/>
                <w:color w:val="333333"/>
                <w:sz w:val="17"/>
              </w:rPr>
              <w:t>M3</w:t>
            </w:r>
          </w:p>
        </w:tc>
        <w:tc>
          <w:tcPr>
            <w:tcW w:type="dxa" w:w="2126"/>
          </w:tcPr>
          <w:p>
            <w:pPr>
              <w:spacing w:before="40" w:after="40"/>
            </w:pPr>
            <w:r>
              <w:rPr>
                <w:rFonts w:ascii="Calibri" w:hAnsi="Calibri"/>
                <w:b w:val="0"/>
                <w:i w:val="0"/>
                <w:color w:val="333333"/>
                <w:sz w:val="17"/>
              </w:rPr>
              <w:t>Opérations SUNU</w:t>
            </w:r>
          </w:p>
        </w:tc>
      </w:tr>
      <w:tr>
        <w:tc>
          <w:tcPr>
            <w:tcW w:type="dxa" w:w="907"/>
            <w:shd w:val="clear" w:fill="F2F6FA"/>
          </w:tcPr>
          <w:p>
            <w:pPr>
              <w:spacing w:before="40" w:after="40"/>
            </w:pPr>
            <w:r>
              <w:rPr>
                <w:rFonts w:ascii="Calibri" w:hAnsi="Calibri"/>
                <w:b/>
                <w:i w:val="0"/>
                <w:color w:val="333333"/>
                <w:sz w:val="17"/>
              </w:rPr>
              <w:t>D14</w:t>
            </w:r>
          </w:p>
        </w:tc>
        <w:tc>
          <w:tcPr>
            <w:tcW w:type="dxa" w:w="2126"/>
            <w:shd w:val="clear" w:fill="F2F6FA"/>
          </w:tcPr>
          <w:p>
            <w:pPr>
              <w:spacing w:before="40" w:after="40"/>
            </w:pPr>
            <w:r>
              <w:rPr>
                <w:rFonts w:ascii="Calibri" w:hAnsi="Calibri"/>
                <w:b w:val="0"/>
                <w:i w:val="0"/>
                <w:color w:val="333333"/>
                <w:sz w:val="17"/>
              </w:rPr>
              <w:t>Signature de la recette</w:t>
            </w:r>
          </w:p>
        </w:tc>
        <w:tc>
          <w:tcPr>
            <w:tcW w:type="dxa" w:w="2126"/>
            <w:shd w:val="clear" w:fill="F2F6FA"/>
          </w:tcPr>
          <w:p>
            <w:pPr>
              <w:spacing w:before="40" w:after="40"/>
            </w:pPr>
            <w:r>
              <w:rPr>
                <w:rFonts w:ascii="Calibri" w:hAnsi="Calibri"/>
                <w:b/>
                <w:i w:val="0"/>
                <w:color w:val="333333"/>
                <w:sz w:val="17"/>
              </w:rPr>
              <w:t>25 sept.</w:t>
            </w:r>
          </w:p>
        </w:tc>
        <w:tc>
          <w:tcPr>
            <w:tcW w:type="dxa" w:w="2126"/>
            <w:shd w:val="clear" w:fill="F2F6FA"/>
          </w:tcPr>
          <w:p>
            <w:pPr>
              <w:spacing w:before="40" w:after="40"/>
            </w:pPr>
            <w:r>
              <w:rPr>
                <w:rFonts w:ascii="Calibri" w:hAnsi="Calibri"/>
                <w:b w:val="0"/>
                <w:i w:val="0"/>
                <w:color w:val="333333"/>
                <w:sz w:val="17"/>
              </w:rPr>
              <w:t>M3</w:t>
            </w:r>
          </w:p>
        </w:tc>
        <w:tc>
          <w:tcPr>
            <w:tcW w:type="dxa" w:w="2126"/>
            <w:shd w:val="clear" w:fill="F2F6FA"/>
          </w:tcPr>
          <w:p>
            <w:pPr>
              <w:spacing w:before="40" w:after="40"/>
            </w:pPr>
            <w:r>
              <w:rPr>
                <w:rFonts w:ascii="Calibri" w:hAnsi="Calibri"/>
                <w:b w:val="0"/>
                <w:i w:val="0"/>
                <w:color w:val="333333"/>
                <w:sz w:val="17"/>
              </w:rPr>
              <w:t>SUNU</w:t>
            </w:r>
          </w:p>
        </w:tc>
      </w:tr>
      <w:tr>
        <w:tc>
          <w:tcPr>
            <w:tcW w:type="dxa" w:w="907"/>
          </w:tcPr>
          <w:p>
            <w:pPr>
              <w:spacing w:before="40" w:after="40"/>
            </w:pPr>
            <w:r>
              <w:rPr>
                <w:rFonts w:ascii="Calibri" w:hAnsi="Calibri"/>
                <w:b/>
                <w:i w:val="0"/>
                <w:color w:val="333333"/>
                <w:sz w:val="17"/>
              </w:rPr>
              <w:t>D15</w:t>
            </w:r>
          </w:p>
        </w:tc>
        <w:tc>
          <w:tcPr>
            <w:tcW w:type="dxa" w:w="2126"/>
          </w:tcPr>
          <w:p>
            <w:pPr>
              <w:spacing w:before="40" w:after="40"/>
            </w:pPr>
            <w:r>
              <w:rPr>
                <w:rFonts w:ascii="Calibri" w:hAnsi="Calibri"/>
                <w:b w:val="0"/>
                <w:i w:val="0"/>
                <w:color w:val="333333"/>
                <w:sz w:val="17"/>
              </w:rPr>
              <w:t>Déclaration CIL effectuée (Doc 2 §6.5)</w:t>
            </w:r>
          </w:p>
        </w:tc>
        <w:tc>
          <w:tcPr>
            <w:tcW w:type="dxa" w:w="2126"/>
          </w:tcPr>
          <w:p>
            <w:pPr>
              <w:spacing w:before="40" w:after="40"/>
            </w:pPr>
            <w:r>
              <w:rPr>
                <w:rFonts w:ascii="Calibri" w:hAnsi="Calibri"/>
                <w:b w:val="0"/>
                <w:i w:val="0"/>
                <w:color w:val="333333"/>
                <w:sz w:val="17"/>
              </w:rPr>
              <w:t>Avant M7</w:t>
            </w:r>
          </w:p>
        </w:tc>
        <w:tc>
          <w:tcPr>
            <w:tcW w:type="dxa" w:w="2126"/>
          </w:tcPr>
          <w:p>
            <w:pPr>
              <w:spacing w:before="40" w:after="40"/>
            </w:pPr>
            <w:r>
              <w:rPr>
                <w:rFonts w:ascii="Calibri" w:hAnsi="Calibri"/>
                <w:b w:val="0"/>
                <w:i w:val="0"/>
                <w:color w:val="333333"/>
                <w:sz w:val="17"/>
              </w:rPr>
              <w:t>Mise en production</w:t>
            </w:r>
          </w:p>
        </w:tc>
        <w:tc>
          <w:tcPr>
            <w:tcW w:type="dxa" w:w="2126"/>
          </w:tcPr>
          <w:p>
            <w:pPr>
              <w:spacing w:before="40" w:after="40"/>
            </w:pPr>
            <w:r>
              <w:rPr>
                <w:rFonts w:ascii="Calibri" w:hAnsi="Calibri"/>
                <w:b w:val="0"/>
                <w:i w:val="0"/>
                <w:color w:val="333333"/>
                <w:sz w:val="17"/>
              </w:rPr>
              <w:t>SUNU (responsable de traitement)</w:t>
            </w:r>
          </w:p>
        </w:tc>
      </w:tr>
      <w:tr>
        <w:tc>
          <w:tcPr>
            <w:tcW w:type="dxa" w:w="907"/>
            <w:shd w:val="clear" w:fill="F2F6FA"/>
          </w:tcPr>
          <w:p>
            <w:pPr>
              <w:spacing w:before="40" w:after="40"/>
            </w:pPr>
            <w:r>
              <w:rPr>
                <w:rFonts w:ascii="Calibri" w:hAnsi="Calibri"/>
                <w:b/>
                <w:i w:val="0"/>
                <w:color w:val="333333"/>
                <w:sz w:val="17"/>
              </w:rPr>
              <w:t>D16</w:t>
            </w:r>
          </w:p>
        </w:tc>
        <w:tc>
          <w:tcPr>
            <w:tcW w:type="dxa" w:w="2126"/>
            <w:shd w:val="clear" w:fill="F2F6FA"/>
          </w:tcPr>
          <w:p>
            <w:pPr>
              <w:spacing w:before="40" w:after="40"/>
            </w:pPr>
            <w:r>
              <w:rPr>
                <w:rFonts w:ascii="Calibri" w:hAnsi="Calibri"/>
                <w:b w:val="0"/>
                <w:i w:val="0"/>
                <w:color w:val="333333"/>
                <w:sz w:val="17"/>
              </w:rPr>
              <w:t>Contrat de sous-traitance signé</w:t>
            </w:r>
          </w:p>
        </w:tc>
        <w:tc>
          <w:tcPr>
            <w:tcW w:type="dxa" w:w="2126"/>
            <w:shd w:val="clear" w:fill="F2F6FA"/>
          </w:tcPr>
          <w:p>
            <w:pPr>
              <w:spacing w:before="40" w:after="40"/>
            </w:pPr>
            <w:r>
              <w:rPr>
                <w:rFonts w:ascii="Calibri" w:hAnsi="Calibri"/>
                <w:b w:val="0"/>
                <w:i w:val="0"/>
                <w:color w:val="333333"/>
                <w:sz w:val="17"/>
              </w:rPr>
              <w:t>Avant M7</w:t>
            </w:r>
          </w:p>
        </w:tc>
        <w:tc>
          <w:tcPr>
            <w:tcW w:type="dxa" w:w="2126"/>
            <w:shd w:val="clear" w:fill="F2F6FA"/>
          </w:tcPr>
          <w:p>
            <w:pPr>
              <w:spacing w:before="40" w:after="40"/>
            </w:pPr>
            <w:r>
              <w:rPr>
                <w:rFonts w:ascii="Calibri" w:hAnsi="Calibri"/>
                <w:b w:val="0"/>
                <w:i w:val="0"/>
                <w:color w:val="333333"/>
                <w:sz w:val="17"/>
              </w:rPr>
              <w:t>Mise en production</w:t>
            </w:r>
          </w:p>
        </w:tc>
        <w:tc>
          <w:tcPr>
            <w:tcW w:type="dxa" w:w="2126"/>
            <w:shd w:val="clear" w:fill="F2F6FA"/>
          </w:tcPr>
          <w:p>
            <w:pPr>
              <w:spacing w:before="40" w:after="40"/>
            </w:pPr>
            <w:r>
              <w:rPr>
                <w:rFonts w:ascii="Calibri" w:hAnsi="Calibri"/>
                <w:b w:val="0"/>
                <w:i w:val="0"/>
                <w:color w:val="333333"/>
                <w:sz w:val="17"/>
              </w:rPr>
              <w:t>Les deux</w:t>
            </w:r>
          </w:p>
        </w:tc>
      </w:tr>
    </w:tbl>
    <w:p>
      <w:pPr>
        <w:spacing w:after="40"/>
      </w:pPr>
    </w:p>
    <w:p>
      <w:pPr>
        <w:pStyle w:val="Heading1"/>
        <w:pageBreakBefore/>
        <w:spacing w:before="360" w:after="80"/>
        <w:keepNext/>
        <w:pBdr>
          <w:bottom w:val="single" w:sz="8" w:space="6" w:color="1B3A5C"/>
        </w:pBdr>
      </w:pPr>
      <w:bookmarkStart w:id="121" w:name="_Toc_s020"/>
      <w:r>
        <w:rPr>
          <w:rFonts w:ascii="Calibri" w:hAnsi="Calibri"/>
          <w:b/>
          <w:color w:val="1B3A5C"/>
          <w:sz w:val="30"/>
        </w:rPr>
        <w:t>7. Registre des risques</w:t>
      </w:r>
      <w:bookmarkEnd w:id="121"/>
    </w:p>
    <w:p>
      <w:r>
        <w:rPr>
          <w:rFonts w:ascii="Calibri" w:hAnsi="Calibri"/>
          <w:b w:val="0"/>
          <w:i w:val="0"/>
          <w:color w:val="333333"/>
          <w:sz w:val="20"/>
        </w:rPr>
        <w:t>Probabilité × Impact, avec la mesure d'atténuation réellement en place — non une formule générique.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624"/>
        <w:gridCol w:w="1624"/>
        <w:gridCol w:w="1624"/>
        <w:gridCol w:w="1624"/>
        <w:gridCol w:w="1624"/>
        <w:gridCol w:w="1624"/>
      </w:tblGrid>
      <w:tr>
        <w:trPr>
          <w:tblHeader w:val="true"/>
        </w:trPr>
        <w:tc>
          <w:tcPr>
            <w:tcW w:type="dxa" w:w="907"/>
            <w:shd w:val="clear" w:fill="1B3A5C"/>
          </w:tcPr>
          <w:p>
            <w:pPr>
              <w:spacing w:before="60" w:after="60"/>
            </w:pPr>
            <w:r>
              <w:rPr>
                <w:rFonts w:ascii="Calibri" w:hAnsi="Calibri"/>
                <w:b/>
                <w:color w:val="FFFFFF"/>
                <w:sz w:val="17"/>
              </w:rPr>
              <w:t>#</w:t>
            </w:r>
          </w:p>
        </w:tc>
        <w:tc>
          <w:tcPr>
            <w:tcW w:type="dxa" w:w="1701"/>
            <w:shd w:val="clear" w:fill="1B3A5C"/>
          </w:tcPr>
          <w:p>
            <w:pPr>
              <w:spacing w:before="60" w:after="60"/>
            </w:pPr>
            <w:r>
              <w:rPr>
                <w:rFonts w:ascii="Calibri" w:hAnsi="Calibri"/>
                <w:b/>
                <w:color w:val="FFFFFF"/>
                <w:sz w:val="17"/>
              </w:rPr>
              <w:t>Risque</w:t>
            </w:r>
          </w:p>
        </w:tc>
        <w:tc>
          <w:tcPr>
            <w:tcW w:type="dxa" w:w="1701"/>
            <w:shd w:val="clear" w:fill="1B3A5C"/>
          </w:tcPr>
          <w:p>
            <w:pPr>
              <w:spacing w:before="60" w:after="60"/>
            </w:pPr>
            <w:r>
              <w:rPr>
                <w:rFonts w:ascii="Calibri" w:hAnsi="Calibri"/>
                <w:b/>
                <w:color w:val="FFFFFF"/>
                <w:sz w:val="17"/>
              </w:rPr>
              <w:t>P</w:t>
            </w:r>
          </w:p>
        </w:tc>
        <w:tc>
          <w:tcPr>
            <w:tcW w:type="dxa" w:w="1701"/>
            <w:shd w:val="clear" w:fill="1B3A5C"/>
          </w:tcPr>
          <w:p>
            <w:pPr>
              <w:spacing w:before="60" w:after="60"/>
            </w:pPr>
            <w:r>
              <w:rPr>
                <w:rFonts w:ascii="Calibri" w:hAnsi="Calibri"/>
                <w:b/>
                <w:color w:val="FFFFFF"/>
                <w:sz w:val="17"/>
              </w:rPr>
              <w:t>I</w:t>
            </w:r>
          </w:p>
        </w:tc>
        <w:tc>
          <w:tcPr>
            <w:tcW w:type="dxa" w:w="1701"/>
            <w:shd w:val="clear" w:fill="1B3A5C"/>
          </w:tcPr>
          <w:p>
            <w:pPr>
              <w:spacing w:before="60" w:after="60"/>
            </w:pPr>
            <w:r>
              <w:rPr>
                <w:rFonts w:ascii="Calibri" w:hAnsi="Calibri"/>
                <w:b/>
                <w:color w:val="FFFFFF"/>
                <w:sz w:val="17"/>
              </w:rPr>
              <w:t>Atténuation</w:t>
            </w:r>
          </w:p>
        </w:tc>
        <w:tc>
          <w:tcPr>
            <w:tcW w:type="dxa" w:w="1701"/>
            <w:shd w:val="clear" w:fill="1B3A5C"/>
          </w:tcPr>
          <w:p>
            <w:pPr>
              <w:spacing w:before="60" w:after="60"/>
            </w:pPr>
            <w:r>
              <w:rPr>
                <w:rFonts w:ascii="Calibri" w:hAnsi="Calibri"/>
                <w:b/>
                <w:color w:val="FFFFFF"/>
                <w:sz w:val="17"/>
              </w:rPr>
              <w:t>Responsable</w:t>
            </w:r>
          </w:p>
        </w:tc>
      </w:tr>
      <w:tr>
        <w:tc>
          <w:tcPr>
            <w:tcW w:type="dxa" w:w="907"/>
          </w:tcPr>
          <w:p>
            <w:pPr>
              <w:spacing w:before="40" w:after="40"/>
            </w:pPr>
            <w:r>
              <w:rPr>
                <w:rFonts w:ascii="Calibri" w:hAnsi="Calibri"/>
                <w:b/>
                <w:i w:val="0"/>
                <w:color w:val="333333"/>
                <w:sz w:val="17"/>
              </w:rPr>
              <w:t>R1</w:t>
            </w:r>
          </w:p>
        </w:tc>
        <w:tc>
          <w:tcPr>
            <w:tcW w:type="dxa" w:w="1701"/>
          </w:tcPr>
          <w:p>
            <w:pPr>
              <w:spacing w:before="40" w:after="40"/>
            </w:pPr>
            <w:r>
              <w:rPr>
                <w:rFonts w:ascii="Calibri" w:hAnsi="Calibri"/>
                <w:b/>
                <w:i w:val="0"/>
                <w:color w:val="333333"/>
                <w:sz w:val="17"/>
              </w:rPr>
              <w:t>Matériel non livré à temps pour le 30 septembre</w:t>
            </w:r>
          </w:p>
        </w:tc>
        <w:tc>
          <w:tcPr>
            <w:tcW w:type="dxa" w:w="1701"/>
          </w:tcPr>
          <w:p>
            <w:pPr>
              <w:spacing w:before="40" w:after="40"/>
            </w:pPr>
            <w:r>
              <w:rPr>
                <w:rFonts w:ascii="Calibri" w:hAnsi="Calibri"/>
                <w:b/>
                <w:i w:val="0"/>
                <w:color w:val="333333"/>
                <w:sz w:val="17"/>
              </w:rPr>
              <w:t>Élevée</w:t>
            </w:r>
          </w:p>
        </w:tc>
        <w:tc>
          <w:tcPr>
            <w:tcW w:type="dxa" w:w="1701"/>
          </w:tcPr>
          <w:p>
            <w:pPr>
              <w:spacing w:before="40" w:after="40"/>
            </w:pPr>
            <w:r>
              <w:rPr>
                <w:rFonts w:ascii="Calibri" w:hAnsi="Calibri"/>
                <w:b/>
                <w:i w:val="0"/>
                <w:color w:val="333333"/>
                <w:sz w:val="17"/>
              </w:rPr>
              <w:t>Élevé</w:t>
            </w:r>
          </w:p>
        </w:tc>
        <w:tc>
          <w:tcPr>
            <w:tcW w:type="dxa" w:w="1701"/>
          </w:tcPr>
          <w:p>
            <w:pPr>
              <w:spacing w:before="40" w:after="40"/>
            </w:pPr>
            <w:r>
              <w:rPr>
                <w:rFonts w:ascii="Calibri" w:hAnsi="Calibri"/>
                <w:b w:val="0"/>
                <w:i w:val="0"/>
                <w:color w:val="333333"/>
                <w:sz w:val="17"/>
              </w:rPr>
              <w:t xml:space="preserve">Commander en semaine 1 (D4) ; confirmer par écrit les délais du fournisseur ; </w:t>
            </w:r>
            <w:r>
              <w:rPr>
                <w:rFonts w:ascii="Calibri" w:hAnsi="Calibri"/>
                <w:b/>
                <w:i w:val="0"/>
                <w:color w:val="333333"/>
                <w:sz w:val="17"/>
              </w:rPr>
              <w:t>repli : pilote sur un nombre réduit de terminaux</w:t>
            </w:r>
            <w:r>
              <w:rPr>
                <w:rFonts w:ascii="Calibri" w:hAnsi="Calibri"/>
                <w:b w:val="0"/>
                <w:i w:val="0"/>
                <w:color w:val="333333"/>
                <w:sz w:val="17"/>
              </w:rPr>
              <w:t>, même 5, pour tenir la date sur des transactions réelles</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R2</w:t>
            </w:r>
          </w:p>
        </w:tc>
        <w:tc>
          <w:tcPr>
            <w:tcW w:type="dxa" w:w="1701"/>
            <w:shd w:val="clear" w:fill="F2F6FA"/>
          </w:tcPr>
          <w:p>
            <w:pPr>
              <w:spacing w:before="40" w:after="40"/>
            </w:pPr>
            <w:r>
              <w:rPr>
                <w:rFonts w:ascii="Calibri" w:hAnsi="Calibri"/>
                <w:b/>
                <w:i w:val="0"/>
                <w:color w:val="333333"/>
                <w:sz w:val="17"/>
              </w:rPr>
              <w:t>API SUNULIFE indisponible ou non documentée</w:t>
            </w:r>
          </w:p>
        </w:tc>
        <w:tc>
          <w:tcPr>
            <w:tcW w:type="dxa" w:w="1701"/>
            <w:shd w:val="clear" w:fill="F2F6FA"/>
          </w:tcPr>
          <w:p>
            <w:pPr>
              <w:spacing w:before="40" w:after="40"/>
            </w:pPr>
            <w:r>
              <w:rPr>
                <w:rFonts w:ascii="Calibri" w:hAnsi="Calibri"/>
                <w:b/>
                <w:i w:val="0"/>
                <w:color w:val="333333"/>
                <w:sz w:val="17"/>
              </w:rPr>
              <w:t>Élevée</w:t>
            </w:r>
          </w:p>
        </w:tc>
        <w:tc>
          <w:tcPr>
            <w:tcW w:type="dxa" w:w="1701"/>
            <w:shd w:val="clear" w:fill="F2F6FA"/>
          </w:tcPr>
          <w:p>
            <w:pPr>
              <w:spacing w:before="40" w:after="40"/>
            </w:pPr>
            <w:r>
              <w:rPr>
                <w:rFonts w:ascii="Calibri" w:hAnsi="Calibri"/>
                <w:b w:val="0"/>
                <w:i w:val="0"/>
                <w:color w:val="333333"/>
                <w:sz w:val="17"/>
              </w:rPr>
              <w:t>Moyen</w:t>
            </w:r>
          </w:p>
        </w:tc>
        <w:tc>
          <w:tcPr>
            <w:tcW w:type="dxa" w:w="1701"/>
            <w:shd w:val="clear" w:fill="F2F6FA"/>
          </w:tcPr>
          <w:p>
            <w:pPr>
              <w:spacing w:before="40" w:after="40"/>
            </w:pPr>
            <w:r>
              <w:rPr>
                <w:rFonts w:ascii="Calibri" w:hAnsi="Calibri"/>
                <w:b w:val="0"/>
                <w:i w:val="0"/>
                <w:color w:val="333333"/>
                <w:sz w:val="17"/>
              </w:rPr>
              <w:t xml:space="preserve">Architecture conçue dès l'origine avec la phase 0 (import d'extraction) et le phasage 1/2 (Doc 1 §8.4) ; le repli par fichiers est pleinement pris en charge ; </w:t>
            </w:r>
            <w:r>
              <w:rPr>
                <w:rFonts w:ascii="Calibri" w:hAnsi="Calibri"/>
                <w:b/>
                <w:i w:val="0"/>
                <w:color w:val="333333"/>
                <w:sz w:val="17"/>
              </w:rPr>
              <w:t>la date n'en dépend pas</w:t>
            </w:r>
          </w:p>
        </w:tc>
        <w:tc>
          <w:tcPr>
            <w:tcW w:type="dxa" w:w="1701"/>
            <w:shd w:val="clear" w:fill="F2F6FA"/>
          </w:tcPr>
          <w:p>
            <w:pPr>
              <w:spacing w:before="40" w:after="40"/>
            </w:pPr>
            <w:r>
              <w:rPr>
                <w:rFonts w:ascii="Calibri" w:hAnsi="Calibri"/>
                <w:b w:val="0"/>
                <w:i w:val="0"/>
                <w:color w:val="333333"/>
                <w:sz w:val="17"/>
              </w:rPr>
              <w:t>Les deux</w:t>
            </w:r>
          </w:p>
        </w:tc>
      </w:tr>
      <w:tr>
        <w:tc>
          <w:tcPr>
            <w:tcW w:type="dxa" w:w="907"/>
          </w:tcPr>
          <w:p>
            <w:pPr>
              <w:spacing w:before="40" w:after="40"/>
            </w:pPr>
            <w:r>
              <w:rPr>
                <w:rFonts w:ascii="Calibri" w:hAnsi="Calibri"/>
                <w:b/>
                <w:i w:val="0"/>
                <w:color w:val="333333"/>
                <w:sz w:val="17"/>
              </w:rPr>
              <w:t>R3</w:t>
            </w:r>
          </w:p>
        </w:tc>
        <w:tc>
          <w:tcPr>
            <w:tcW w:type="dxa" w:w="1701"/>
          </w:tcPr>
          <w:p>
            <w:pPr>
              <w:spacing w:before="40" w:after="40"/>
            </w:pPr>
            <w:r>
              <w:rPr>
                <w:rFonts w:ascii="Calibri" w:hAnsi="Calibri"/>
                <w:b/>
                <w:i w:val="0"/>
                <w:color w:val="333333"/>
                <w:sz w:val="17"/>
              </w:rPr>
              <w:t>Enrôlement Mobile Money plus long que prévu</w:t>
            </w:r>
          </w:p>
        </w:tc>
        <w:tc>
          <w:tcPr>
            <w:tcW w:type="dxa" w:w="1701"/>
          </w:tcPr>
          <w:p>
            <w:pPr>
              <w:spacing w:before="40" w:after="40"/>
            </w:pPr>
            <w:r>
              <w:rPr>
                <w:rFonts w:ascii="Calibri" w:hAnsi="Calibri"/>
                <w:b/>
                <w:i w:val="0"/>
                <w:color w:val="333333"/>
                <w:sz w:val="17"/>
              </w:rPr>
              <w:t>Élevée</w:t>
            </w:r>
          </w:p>
        </w:tc>
        <w:tc>
          <w:tcPr>
            <w:tcW w:type="dxa" w:w="1701"/>
          </w:tcPr>
          <w:p>
            <w:pPr>
              <w:spacing w:before="40" w:after="40"/>
            </w:pPr>
            <w:r>
              <w:rPr>
                <w:rFonts w:ascii="Calibri" w:hAnsi="Calibri"/>
                <w:b w:val="0"/>
                <w:i w:val="0"/>
                <w:color w:val="333333"/>
                <w:sz w:val="17"/>
              </w:rPr>
              <w:t>Moyen</w:t>
            </w:r>
          </w:p>
        </w:tc>
        <w:tc>
          <w:tcPr>
            <w:tcW w:type="dxa" w:w="1701"/>
          </w:tcPr>
          <w:p>
            <w:pPr>
              <w:spacing w:before="40" w:after="40"/>
            </w:pPr>
            <w:r>
              <w:rPr>
                <w:rFonts w:ascii="Calibri" w:hAnsi="Calibri"/>
                <w:b w:val="0"/>
                <w:i w:val="0"/>
                <w:color w:val="333333"/>
                <w:sz w:val="17"/>
              </w:rPr>
              <w:t>Démarrer immédiatement (D3) ; agrégateur recommandé comme voie la plus rapide ; le MoMo est hors périmètre du pilote, il menace donc M7 et non M3</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R4</w:t>
            </w:r>
          </w:p>
        </w:tc>
        <w:tc>
          <w:tcPr>
            <w:tcW w:type="dxa" w:w="1701"/>
            <w:shd w:val="clear" w:fill="F2F6FA"/>
          </w:tcPr>
          <w:p>
            <w:pPr>
              <w:spacing w:before="40" w:after="40"/>
            </w:pPr>
            <w:r>
              <w:rPr>
                <w:rFonts w:ascii="Calibri" w:hAnsi="Calibri"/>
                <w:b w:val="0"/>
                <w:i w:val="0"/>
                <w:color w:val="333333"/>
                <w:sz w:val="17"/>
              </w:rPr>
              <w:t>La recette révèle des anomalies majeures</w:t>
            </w:r>
          </w:p>
        </w:tc>
        <w:tc>
          <w:tcPr>
            <w:tcW w:type="dxa" w:w="1701"/>
            <w:shd w:val="clear" w:fill="F2F6FA"/>
          </w:tcPr>
          <w:p>
            <w:pPr>
              <w:spacing w:before="40" w:after="40"/>
            </w:pPr>
            <w:r>
              <w:rPr>
                <w:rFonts w:ascii="Calibri" w:hAnsi="Calibri"/>
                <w:b w:val="0"/>
                <w:i w:val="0"/>
                <w:color w:val="333333"/>
                <w:sz w:val="17"/>
              </w:rPr>
              <w:t>Moyenne</w:t>
            </w:r>
          </w:p>
        </w:tc>
        <w:tc>
          <w:tcPr>
            <w:tcW w:type="dxa" w:w="1701"/>
            <w:shd w:val="clear" w:fill="F2F6FA"/>
          </w:tcPr>
          <w:p>
            <w:pPr>
              <w:spacing w:before="40" w:after="40"/>
            </w:pPr>
            <w:r>
              <w:rPr>
                <w:rFonts w:ascii="Calibri" w:hAnsi="Calibri"/>
                <w:b w:val="0"/>
                <w:i w:val="0"/>
                <w:color w:val="333333"/>
                <w:sz w:val="17"/>
              </w:rPr>
              <w:t>Élevé</w:t>
            </w:r>
          </w:p>
        </w:tc>
        <w:tc>
          <w:tcPr>
            <w:tcW w:type="dxa" w:w="1701"/>
            <w:shd w:val="clear" w:fill="F2F6FA"/>
          </w:tcPr>
          <w:p>
            <w:pPr>
              <w:spacing w:before="40" w:after="40"/>
            </w:pPr>
            <w:r>
              <w:rPr>
                <w:rFonts w:ascii="Calibri" w:hAnsi="Calibri"/>
                <w:b w:val="0"/>
                <w:i w:val="0"/>
                <w:color w:val="333333"/>
                <w:sz w:val="17"/>
              </w:rPr>
              <w:t>Deux semaines de recette avec cycle de correction quotidien ; cœur bâti sur du code éprouvé ; périmètre délibérément resserré</w:t>
            </w:r>
          </w:p>
        </w:tc>
        <w:tc>
          <w:tcPr>
            <w:tcW w:type="dxa" w:w="1701"/>
            <w:shd w:val="clear" w:fill="F2F6FA"/>
          </w:tcPr>
          <w:p>
            <w:pPr>
              <w:spacing w:before="40" w:after="40"/>
            </w:pPr>
            <w:r>
              <w:rPr>
                <w:rFonts w:ascii="Calibri" w:hAnsi="Calibri"/>
                <w:b w:val="0"/>
                <w:i w:val="0"/>
                <w:color w:val="333333"/>
                <w:sz w:val="17"/>
              </w:rPr>
              <w:t>DBS</w:t>
            </w:r>
          </w:p>
        </w:tc>
      </w:tr>
      <w:tr>
        <w:tc>
          <w:tcPr>
            <w:tcW w:type="dxa" w:w="907"/>
          </w:tcPr>
          <w:p>
            <w:pPr>
              <w:spacing w:before="40" w:after="40"/>
            </w:pPr>
            <w:r>
              <w:rPr>
                <w:rFonts w:ascii="Calibri" w:hAnsi="Calibri"/>
                <w:b/>
                <w:i w:val="0"/>
                <w:color w:val="333333"/>
                <w:sz w:val="17"/>
              </w:rPr>
              <w:t>R5</w:t>
            </w:r>
          </w:p>
        </w:tc>
        <w:tc>
          <w:tcPr>
            <w:tcW w:type="dxa" w:w="1701"/>
          </w:tcPr>
          <w:p>
            <w:pPr>
              <w:spacing w:before="40" w:after="40"/>
            </w:pPr>
            <w:r>
              <w:rPr>
                <w:rFonts w:ascii="Calibri" w:hAnsi="Calibri"/>
                <w:b w:val="0"/>
                <w:i w:val="0"/>
                <w:color w:val="333333"/>
                <w:sz w:val="17"/>
              </w:rPr>
              <w:t>Personnel SUNU indisponible pour la recette ou la formation en septembre</w:t>
            </w:r>
          </w:p>
        </w:tc>
        <w:tc>
          <w:tcPr>
            <w:tcW w:type="dxa" w:w="1701"/>
          </w:tcPr>
          <w:p>
            <w:pPr>
              <w:spacing w:before="40" w:after="40"/>
            </w:pPr>
            <w:r>
              <w:rPr>
                <w:rFonts w:ascii="Calibri" w:hAnsi="Calibri"/>
                <w:b w:val="0"/>
                <w:i w:val="0"/>
                <w:color w:val="333333"/>
                <w:sz w:val="17"/>
              </w:rPr>
              <w:t>Moyenne</w:t>
            </w:r>
          </w:p>
        </w:tc>
        <w:tc>
          <w:tcPr>
            <w:tcW w:type="dxa" w:w="1701"/>
          </w:tcPr>
          <w:p>
            <w:pPr>
              <w:spacing w:before="40" w:after="40"/>
            </w:pPr>
            <w:r>
              <w:rPr>
                <w:rFonts w:ascii="Calibri" w:hAnsi="Calibri"/>
                <w:b/>
                <w:i w:val="0"/>
                <w:color w:val="333333"/>
                <w:sz w:val="17"/>
              </w:rPr>
              <w:t>Élevé</w:t>
            </w:r>
          </w:p>
        </w:tc>
        <w:tc>
          <w:tcPr>
            <w:tcW w:type="dxa" w:w="1701"/>
          </w:tcPr>
          <w:p>
            <w:pPr>
              <w:spacing w:before="40" w:after="40"/>
            </w:pPr>
            <w:r>
              <w:rPr>
                <w:rFonts w:ascii="Calibri" w:hAnsi="Calibri"/>
                <w:b w:val="0"/>
                <w:i w:val="0"/>
                <w:color w:val="333333"/>
                <w:sz w:val="17"/>
              </w:rPr>
              <w:t>Participants nommés sécurisés en semaine 1 (D11, D12) ; supports de formation prêts à l'avance</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R6</w:t>
            </w:r>
          </w:p>
        </w:tc>
        <w:tc>
          <w:tcPr>
            <w:tcW w:type="dxa" w:w="1701"/>
            <w:shd w:val="clear" w:fill="F2F6FA"/>
          </w:tcPr>
          <w:p>
            <w:pPr>
              <w:spacing w:before="40" w:after="40"/>
            </w:pPr>
            <w:r>
              <w:rPr>
                <w:rFonts w:ascii="Calibri" w:hAnsi="Calibri"/>
                <w:b w:val="0"/>
                <w:i w:val="0"/>
                <w:color w:val="333333"/>
                <w:sz w:val="17"/>
              </w:rPr>
              <w:t>Couverture mobile médiocre dans les zones du pilote</w:t>
            </w:r>
          </w:p>
        </w:tc>
        <w:tc>
          <w:tcPr>
            <w:tcW w:type="dxa" w:w="1701"/>
            <w:shd w:val="clear" w:fill="F2F6FA"/>
          </w:tcPr>
          <w:p>
            <w:pPr>
              <w:spacing w:before="40" w:after="40"/>
            </w:pPr>
            <w:r>
              <w:rPr>
                <w:rFonts w:ascii="Calibri" w:hAnsi="Calibri"/>
                <w:b w:val="0"/>
                <w:i w:val="0"/>
                <w:color w:val="333333"/>
                <w:sz w:val="17"/>
              </w:rPr>
              <w:t>Moyenne</w:t>
            </w:r>
          </w:p>
        </w:tc>
        <w:tc>
          <w:tcPr>
            <w:tcW w:type="dxa" w:w="1701"/>
            <w:shd w:val="clear" w:fill="F2F6FA"/>
          </w:tcPr>
          <w:p>
            <w:pPr>
              <w:spacing w:before="40" w:after="40"/>
            </w:pPr>
            <w:r>
              <w:rPr>
                <w:rFonts w:ascii="Calibri" w:hAnsi="Calibri"/>
                <w:b w:val="0"/>
                <w:i w:val="0"/>
                <w:color w:val="333333"/>
                <w:sz w:val="17"/>
              </w:rPr>
              <w:t>Moyen</w:t>
            </w:r>
          </w:p>
        </w:tc>
        <w:tc>
          <w:tcPr>
            <w:tcW w:type="dxa" w:w="1701"/>
            <w:shd w:val="clear" w:fill="F2F6FA"/>
          </w:tcPr>
          <w:p>
            <w:pPr>
              <w:spacing w:before="40" w:after="40"/>
            </w:pPr>
            <w:r>
              <w:rPr>
                <w:rFonts w:ascii="Calibri" w:hAnsi="Calibri"/>
                <w:b w:val="0"/>
                <w:i w:val="0"/>
                <w:color w:val="333333"/>
                <w:sz w:val="17"/>
              </w:rPr>
              <w:t>Le mode hors ligne est une propriété centrale de conception, non une option ; à tester explicitement en zone mal couverte pendant la recette</w:t>
            </w:r>
          </w:p>
        </w:tc>
        <w:tc>
          <w:tcPr>
            <w:tcW w:type="dxa" w:w="1701"/>
            <w:shd w:val="clear" w:fill="F2F6FA"/>
          </w:tcPr>
          <w:p>
            <w:pPr>
              <w:spacing w:before="40" w:after="40"/>
            </w:pPr>
            <w:r>
              <w:rPr>
                <w:rFonts w:ascii="Calibri" w:hAnsi="Calibri"/>
                <w:b w:val="0"/>
                <w:i w:val="0"/>
                <w:color w:val="333333"/>
                <w:sz w:val="17"/>
              </w:rPr>
              <w:t>Les deux</w:t>
            </w:r>
          </w:p>
        </w:tc>
      </w:tr>
      <w:tr>
        <w:tc>
          <w:tcPr>
            <w:tcW w:type="dxa" w:w="907"/>
          </w:tcPr>
          <w:p>
            <w:pPr>
              <w:spacing w:before="40" w:after="40"/>
            </w:pPr>
            <w:r>
              <w:rPr>
                <w:rFonts w:ascii="Calibri" w:hAnsi="Calibri"/>
                <w:b/>
                <w:i w:val="0"/>
                <w:color w:val="333333"/>
                <w:sz w:val="17"/>
              </w:rPr>
              <w:t>R7</w:t>
            </w:r>
          </w:p>
        </w:tc>
        <w:tc>
          <w:tcPr>
            <w:tcW w:type="dxa" w:w="1701"/>
          </w:tcPr>
          <w:p>
            <w:pPr>
              <w:spacing w:before="40" w:after="40"/>
            </w:pPr>
            <w:r>
              <w:rPr>
                <w:rFonts w:ascii="Calibri" w:hAnsi="Calibri"/>
                <w:b w:val="0"/>
                <w:i w:val="0"/>
                <w:color w:val="333333"/>
                <w:sz w:val="17"/>
              </w:rPr>
              <w:t>Résistance ou mauvais usage sur le terrain par les collecteurs</w:t>
            </w:r>
          </w:p>
        </w:tc>
        <w:tc>
          <w:tcPr>
            <w:tcW w:type="dxa" w:w="1701"/>
          </w:tcPr>
          <w:p>
            <w:pPr>
              <w:spacing w:before="40" w:after="40"/>
            </w:pPr>
            <w:r>
              <w:rPr>
                <w:rFonts w:ascii="Calibri" w:hAnsi="Calibri"/>
                <w:b w:val="0"/>
                <w:i w:val="0"/>
                <w:color w:val="333333"/>
                <w:sz w:val="17"/>
              </w:rPr>
              <w:t>Moyenne</w:t>
            </w:r>
          </w:p>
        </w:tc>
        <w:tc>
          <w:tcPr>
            <w:tcW w:type="dxa" w:w="1701"/>
          </w:tcPr>
          <w:p>
            <w:pPr>
              <w:spacing w:before="40" w:after="40"/>
            </w:pPr>
            <w:r>
              <w:rPr>
                <w:rFonts w:ascii="Calibri" w:hAnsi="Calibri"/>
                <w:b w:val="0"/>
                <w:i w:val="0"/>
                <w:color w:val="333333"/>
                <w:sz w:val="17"/>
              </w:rPr>
              <w:t>Moyen</w:t>
            </w:r>
          </w:p>
        </w:tc>
        <w:tc>
          <w:tcPr>
            <w:tcW w:type="dxa" w:w="1701"/>
          </w:tcPr>
          <w:p>
            <w:pPr>
              <w:spacing w:before="40" w:after="40"/>
            </w:pPr>
            <w:r>
              <w:rPr>
                <w:rFonts w:ascii="Calibri" w:hAnsi="Calibri"/>
                <w:b w:val="0"/>
                <w:i w:val="0"/>
                <w:color w:val="333333"/>
                <w:sz w:val="17"/>
              </w:rPr>
              <w:t>Une journée complète de formation avec jeux de rôle ; fiche de poche ; support renforcé la première semaine ; suivi par les superviseurs</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R8</w:t>
            </w:r>
          </w:p>
        </w:tc>
        <w:tc>
          <w:tcPr>
            <w:tcW w:type="dxa" w:w="1701"/>
            <w:shd w:val="clear" w:fill="F2F6FA"/>
          </w:tcPr>
          <w:p>
            <w:pPr>
              <w:spacing w:before="40" w:after="40"/>
            </w:pPr>
            <w:r>
              <w:rPr>
                <w:rFonts w:ascii="Calibri" w:hAnsi="Calibri"/>
                <w:b w:val="0"/>
                <w:i w:val="0"/>
                <w:color w:val="333333"/>
                <w:sz w:val="17"/>
              </w:rPr>
              <w:t>Cartes magnétiques choisies, puis incapables de porter la charge utile multi-polices</w:t>
            </w:r>
          </w:p>
        </w:tc>
        <w:tc>
          <w:tcPr>
            <w:tcW w:type="dxa" w:w="1701"/>
            <w:shd w:val="clear" w:fill="F2F6FA"/>
          </w:tcPr>
          <w:p>
            <w:pPr>
              <w:spacing w:before="40" w:after="40"/>
            </w:pPr>
            <w:r>
              <w:rPr>
                <w:rFonts w:ascii="Calibri" w:hAnsi="Calibri"/>
                <w:b w:val="0"/>
                <w:i w:val="0"/>
                <w:color w:val="333333"/>
                <w:sz w:val="17"/>
              </w:rPr>
              <w:t>Moyenne</w:t>
            </w:r>
          </w:p>
        </w:tc>
        <w:tc>
          <w:tcPr>
            <w:tcW w:type="dxa" w:w="1701"/>
            <w:shd w:val="clear" w:fill="F2F6FA"/>
          </w:tcPr>
          <w:p>
            <w:pPr>
              <w:spacing w:before="40" w:after="40"/>
            </w:pPr>
            <w:r>
              <w:rPr>
                <w:rFonts w:ascii="Calibri" w:hAnsi="Calibri"/>
                <w:b w:val="0"/>
                <w:i w:val="0"/>
                <w:color w:val="333333"/>
                <w:sz w:val="17"/>
              </w:rPr>
              <w:t>Élevé</w:t>
            </w:r>
          </w:p>
        </w:tc>
        <w:tc>
          <w:tcPr>
            <w:tcW w:type="dxa" w:w="1701"/>
            <w:shd w:val="clear" w:fill="F2F6FA"/>
          </w:tcPr>
          <w:p>
            <w:pPr>
              <w:spacing w:before="40" w:after="40"/>
            </w:pPr>
            <w:r>
              <w:rPr>
                <w:rFonts w:ascii="Calibri" w:hAnsi="Calibri"/>
                <w:b w:val="0"/>
                <w:i w:val="0"/>
                <w:color w:val="333333"/>
                <w:sz w:val="17"/>
              </w:rPr>
              <w:t>Décision documentée au Doc 1 §7.2 avec recommandation du sans contact ; trancher en semaine 1 (D2) avant de commander</w:t>
            </w:r>
          </w:p>
        </w:tc>
        <w:tc>
          <w:tcPr>
            <w:tcW w:type="dxa" w:w="1701"/>
            <w:shd w:val="clear" w:fill="F2F6FA"/>
          </w:tcPr>
          <w:p>
            <w:pPr>
              <w:spacing w:before="40" w:after="40"/>
            </w:pPr>
            <w:r>
              <w:rPr>
                <w:rFonts w:ascii="Calibri" w:hAnsi="Calibri"/>
                <w:b w:val="0"/>
                <w:i w:val="0"/>
                <w:color w:val="333333"/>
                <w:sz w:val="17"/>
              </w:rPr>
              <w:t>SUNU</w:t>
            </w:r>
          </w:p>
        </w:tc>
      </w:tr>
      <w:tr>
        <w:tc>
          <w:tcPr>
            <w:tcW w:type="dxa" w:w="907"/>
          </w:tcPr>
          <w:p>
            <w:pPr>
              <w:spacing w:before="40" w:after="40"/>
            </w:pPr>
            <w:r>
              <w:rPr>
                <w:rFonts w:ascii="Calibri" w:hAnsi="Calibri"/>
                <w:b/>
                <w:i w:val="0"/>
                <w:color w:val="333333"/>
                <w:sz w:val="17"/>
              </w:rPr>
              <w:t>R9</w:t>
            </w:r>
          </w:p>
        </w:tc>
        <w:tc>
          <w:tcPr>
            <w:tcW w:type="dxa" w:w="1701"/>
          </w:tcPr>
          <w:p>
            <w:pPr>
              <w:spacing w:before="40" w:after="40"/>
            </w:pPr>
            <w:r>
              <w:rPr>
                <w:rFonts w:ascii="Calibri" w:hAnsi="Calibri"/>
                <w:b w:val="0"/>
                <w:i w:val="0"/>
                <w:color w:val="333333"/>
                <w:sz w:val="17"/>
              </w:rPr>
              <w:t>Fraude pendant le pilote</w:t>
            </w:r>
          </w:p>
        </w:tc>
        <w:tc>
          <w:tcPr>
            <w:tcW w:type="dxa" w:w="1701"/>
          </w:tcPr>
          <w:p>
            <w:pPr>
              <w:spacing w:before="40" w:after="40"/>
            </w:pPr>
            <w:r>
              <w:rPr>
                <w:rFonts w:ascii="Calibri" w:hAnsi="Calibri"/>
                <w:b w:val="0"/>
                <w:i w:val="0"/>
                <w:color w:val="333333"/>
                <w:sz w:val="17"/>
              </w:rPr>
              <w:t>Faible</w:t>
            </w:r>
          </w:p>
        </w:tc>
        <w:tc>
          <w:tcPr>
            <w:tcW w:type="dxa" w:w="1701"/>
          </w:tcPr>
          <w:p>
            <w:pPr>
              <w:spacing w:before="40" w:after="40"/>
            </w:pPr>
            <w:r>
              <w:rPr>
                <w:rFonts w:ascii="Calibri" w:hAnsi="Calibri"/>
                <w:b w:val="0"/>
                <w:i w:val="0"/>
                <w:color w:val="333333"/>
                <w:sz w:val="17"/>
              </w:rPr>
              <w:t>Élevé</w:t>
            </w:r>
          </w:p>
        </w:tc>
        <w:tc>
          <w:tcPr>
            <w:tcW w:type="dxa" w:w="1701"/>
          </w:tcPr>
          <w:p>
            <w:pPr>
              <w:spacing w:before="40" w:after="40"/>
            </w:pPr>
            <w:r>
              <w:rPr>
                <w:rFonts w:ascii="Calibri" w:hAnsi="Calibri"/>
                <w:b w:val="0"/>
                <w:i w:val="0"/>
                <w:color w:val="333333"/>
                <w:sz w:val="17"/>
              </w:rPr>
              <w:t>Les plafonds bornent l'exposition ; SMS à l'assuré ; GPS ; registre en ajout seul ; indicateurs de fraude suivis chaque semaine dès le premier jour (Doc 2 §8)</w:t>
            </w:r>
          </w:p>
        </w:tc>
        <w:tc>
          <w:tcPr>
            <w:tcW w:type="dxa" w:w="1701"/>
          </w:tcPr>
          <w:p>
            <w:pPr>
              <w:spacing w:before="40" w:after="40"/>
            </w:pPr>
            <w:r>
              <w:rPr>
                <w:rFonts w:ascii="Calibri" w:hAnsi="Calibri"/>
                <w:b w:val="0"/>
                <w:i w:val="0"/>
                <w:color w:val="333333"/>
                <w:sz w:val="17"/>
              </w:rPr>
              <w:t>Les deux</w:t>
            </w:r>
          </w:p>
        </w:tc>
      </w:tr>
      <w:tr>
        <w:tc>
          <w:tcPr>
            <w:tcW w:type="dxa" w:w="907"/>
            <w:shd w:val="clear" w:fill="F2F6FA"/>
          </w:tcPr>
          <w:p>
            <w:pPr>
              <w:spacing w:before="40" w:after="40"/>
            </w:pPr>
            <w:r>
              <w:rPr>
                <w:rFonts w:ascii="Calibri" w:hAnsi="Calibri"/>
                <w:b/>
                <w:i w:val="0"/>
                <w:color w:val="333333"/>
                <w:sz w:val="17"/>
              </w:rPr>
              <w:t>R10</w:t>
            </w:r>
          </w:p>
        </w:tc>
        <w:tc>
          <w:tcPr>
            <w:tcW w:type="dxa" w:w="1701"/>
            <w:shd w:val="clear" w:fill="F2F6FA"/>
          </w:tcPr>
          <w:p>
            <w:pPr>
              <w:spacing w:before="40" w:after="40"/>
            </w:pPr>
            <w:r>
              <w:rPr>
                <w:rFonts w:ascii="Calibri" w:hAnsi="Calibri"/>
                <w:b w:val="0"/>
                <w:i w:val="0"/>
                <w:color w:val="333333"/>
                <w:sz w:val="17"/>
              </w:rPr>
              <w:t>Décision d'hébergement tardive</w:t>
            </w:r>
          </w:p>
        </w:tc>
        <w:tc>
          <w:tcPr>
            <w:tcW w:type="dxa" w:w="1701"/>
            <w:shd w:val="clear" w:fill="F2F6FA"/>
          </w:tcPr>
          <w:p>
            <w:pPr>
              <w:spacing w:before="40" w:after="40"/>
            </w:pPr>
            <w:r>
              <w:rPr>
                <w:rFonts w:ascii="Calibri" w:hAnsi="Calibri"/>
                <w:b w:val="0"/>
                <w:i w:val="0"/>
                <w:color w:val="333333"/>
                <w:sz w:val="17"/>
              </w:rPr>
              <w:t>Moyenne</w:t>
            </w:r>
          </w:p>
        </w:tc>
        <w:tc>
          <w:tcPr>
            <w:tcW w:type="dxa" w:w="1701"/>
            <w:shd w:val="clear" w:fill="F2F6FA"/>
          </w:tcPr>
          <w:p>
            <w:pPr>
              <w:spacing w:before="40" w:after="40"/>
            </w:pPr>
            <w:r>
              <w:rPr>
                <w:rFonts w:ascii="Calibri" w:hAnsi="Calibri"/>
                <w:b/>
                <w:i w:val="0"/>
                <w:color w:val="333333"/>
                <w:sz w:val="17"/>
              </w:rPr>
              <w:t>Élevé</w:t>
            </w:r>
          </w:p>
        </w:tc>
        <w:tc>
          <w:tcPr>
            <w:tcW w:type="dxa" w:w="1701"/>
            <w:shd w:val="clear" w:fill="F2F6FA"/>
          </w:tcPr>
          <w:p>
            <w:pPr>
              <w:spacing w:before="40" w:after="40"/>
            </w:pPr>
            <w:r>
              <w:rPr>
                <w:rFonts w:ascii="Calibri" w:hAnsi="Calibri"/>
                <w:b w:val="0"/>
                <w:i w:val="0"/>
                <w:color w:val="333333"/>
                <w:sz w:val="17"/>
              </w:rPr>
              <w:t xml:space="preserve">D1 datée au 5 septembre ; </w:t>
            </w:r>
            <w:r>
              <w:rPr>
                <w:rFonts w:ascii="Calibri" w:hAnsi="Calibri"/>
                <w:b/>
                <w:i w:val="0"/>
                <w:color w:val="333333"/>
                <w:sz w:val="17"/>
              </w:rPr>
              <w:t>repli : hébergement temporaire fourni par DBS pour la recette</w:t>
            </w:r>
            <w:r>
              <w:rPr>
                <w:rFonts w:ascii="Calibri" w:hAnsi="Calibri"/>
                <w:b w:val="0"/>
                <w:i w:val="0"/>
                <w:color w:val="333333"/>
                <w:sz w:val="17"/>
              </w:rPr>
              <w:t xml:space="preserve"> afin de ne pas bloquer le calendrier pendant que SUNU finalise l'hébergement de production</w:t>
            </w:r>
          </w:p>
        </w:tc>
        <w:tc>
          <w:tcPr>
            <w:tcW w:type="dxa" w:w="1701"/>
            <w:shd w:val="clear" w:fill="F2F6FA"/>
          </w:tcPr>
          <w:p>
            <w:pPr>
              <w:spacing w:before="40" w:after="40"/>
            </w:pPr>
            <w:r>
              <w:rPr>
                <w:rFonts w:ascii="Calibri" w:hAnsi="Calibri"/>
                <w:b w:val="0"/>
                <w:i w:val="0"/>
                <w:color w:val="333333"/>
                <w:sz w:val="17"/>
              </w:rPr>
              <w:t>Les deux</w:t>
            </w:r>
          </w:p>
        </w:tc>
      </w:tr>
      <w:tr>
        <w:tc>
          <w:tcPr>
            <w:tcW w:type="dxa" w:w="907"/>
          </w:tcPr>
          <w:p>
            <w:pPr>
              <w:spacing w:before="40" w:after="40"/>
            </w:pPr>
            <w:r>
              <w:rPr>
                <w:rFonts w:ascii="Calibri" w:hAnsi="Calibri"/>
                <w:b/>
                <w:i w:val="0"/>
                <w:color w:val="333333"/>
                <w:sz w:val="17"/>
              </w:rPr>
              <w:t>R11</w:t>
            </w:r>
          </w:p>
        </w:tc>
        <w:tc>
          <w:tcPr>
            <w:tcW w:type="dxa" w:w="1701"/>
          </w:tcPr>
          <w:p>
            <w:pPr>
              <w:spacing w:before="40" w:after="40"/>
            </w:pPr>
            <w:r>
              <w:rPr>
                <w:rFonts w:ascii="Calibri" w:hAnsi="Calibri"/>
                <w:b w:val="0"/>
                <w:i w:val="0"/>
                <w:color w:val="333333"/>
                <w:sz w:val="17"/>
              </w:rPr>
              <w:t>Élargissement du périmètre pendant septembre</w:t>
            </w:r>
          </w:p>
        </w:tc>
        <w:tc>
          <w:tcPr>
            <w:tcW w:type="dxa" w:w="1701"/>
          </w:tcPr>
          <w:p>
            <w:pPr>
              <w:spacing w:before="40" w:after="40"/>
            </w:pPr>
            <w:r>
              <w:rPr>
                <w:rFonts w:ascii="Calibri" w:hAnsi="Calibri"/>
                <w:b/>
                <w:i w:val="0"/>
                <w:color w:val="333333"/>
                <w:sz w:val="17"/>
              </w:rPr>
              <w:t>Élevée</w:t>
            </w:r>
          </w:p>
        </w:tc>
        <w:tc>
          <w:tcPr>
            <w:tcW w:type="dxa" w:w="1701"/>
          </w:tcPr>
          <w:p>
            <w:pPr>
              <w:spacing w:before="40" w:after="40"/>
            </w:pPr>
            <w:r>
              <w:rPr>
                <w:rFonts w:ascii="Calibri" w:hAnsi="Calibri"/>
                <w:b/>
                <w:i w:val="0"/>
                <w:color w:val="333333"/>
                <w:sz w:val="17"/>
              </w:rPr>
              <w:t>Élevé</w:t>
            </w:r>
          </w:p>
        </w:tc>
        <w:tc>
          <w:tcPr>
            <w:tcW w:type="dxa" w:w="1701"/>
          </w:tcPr>
          <w:p>
            <w:pPr>
              <w:spacing w:before="40" w:after="40"/>
            </w:pPr>
            <w:r>
              <w:rPr>
                <w:rFonts w:ascii="Calibri" w:hAnsi="Calibri"/>
                <w:b w:val="0"/>
                <w:i w:val="0"/>
                <w:color w:val="333333"/>
                <w:sz w:val="17"/>
              </w:rPr>
              <w:t xml:space="preserve">Périmètre gelé au jalon G1 ; tout ajout est évalué et planifié pour octobre ou au-delà — </w:t>
            </w:r>
            <w:r>
              <w:rPr>
                <w:rFonts w:ascii="Calibri" w:hAnsi="Calibri"/>
                <w:b/>
                <w:i w:val="0"/>
                <w:color w:val="333333"/>
                <w:sz w:val="17"/>
              </w:rPr>
              <w:t>jamais absorbé silencieusement dans le pilote</w:t>
            </w:r>
          </w:p>
        </w:tc>
        <w:tc>
          <w:tcPr>
            <w:tcW w:type="dxa" w:w="1701"/>
          </w:tcPr>
          <w:p>
            <w:pPr>
              <w:spacing w:before="40" w:after="40"/>
            </w:pPr>
            <w:r>
              <w:rPr>
                <w:rFonts w:ascii="Calibri" w:hAnsi="Calibri"/>
                <w:b w:val="0"/>
                <w:i w:val="0"/>
                <w:color w:val="333333"/>
                <w:sz w:val="17"/>
              </w:rPr>
              <w:t>Les deux</w:t>
            </w:r>
          </w:p>
        </w:tc>
      </w:tr>
      <w:tr>
        <w:tc>
          <w:tcPr>
            <w:tcW w:type="dxa" w:w="907"/>
            <w:shd w:val="clear" w:fill="F2F6FA"/>
          </w:tcPr>
          <w:p>
            <w:pPr>
              <w:spacing w:before="40" w:after="40"/>
            </w:pPr>
            <w:r>
              <w:rPr>
                <w:rFonts w:ascii="Calibri" w:hAnsi="Calibri"/>
                <w:b/>
                <w:i w:val="0"/>
                <w:color w:val="333333"/>
                <w:sz w:val="17"/>
              </w:rPr>
              <w:t>R12</w:t>
            </w:r>
          </w:p>
        </w:tc>
        <w:tc>
          <w:tcPr>
            <w:tcW w:type="dxa" w:w="1701"/>
            <w:shd w:val="clear" w:fill="F2F6FA"/>
          </w:tcPr>
          <w:p>
            <w:pPr>
              <w:spacing w:before="40" w:after="40"/>
            </w:pPr>
            <w:r>
              <w:rPr>
                <w:rFonts w:ascii="Calibri" w:hAnsi="Calibri"/>
                <w:b w:val="0"/>
                <w:i w:val="0"/>
                <w:color w:val="333333"/>
                <w:sz w:val="17"/>
              </w:rPr>
              <w:t>La station de personnalisation arrive avec une interface non documentée</w:t>
            </w:r>
          </w:p>
        </w:tc>
        <w:tc>
          <w:tcPr>
            <w:tcW w:type="dxa" w:w="1701"/>
            <w:shd w:val="clear" w:fill="F2F6FA"/>
          </w:tcPr>
          <w:p>
            <w:pPr>
              <w:spacing w:before="40" w:after="40"/>
            </w:pPr>
            <w:r>
              <w:rPr>
                <w:rFonts w:ascii="Calibri" w:hAnsi="Calibri"/>
                <w:b w:val="0"/>
                <w:i w:val="0"/>
                <w:color w:val="333333"/>
                <w:sz w:val="17"/>
              </w:rPr>
              <w:t>Moyenne</w:t>
            </w:r>
          </w:p>
        </w:tc>
        <w:tc>
          <w:tcPr>
            <w:tcW w:type="dxa" w:w="1701"/>
            <w:shd w:val="clear" w:fill="F2F6FA"/>
          </w:tcPr>
          <w:p>
            <w:pPr>
              <w:spacing w:before="40" w:after="40"/>
            </w:pPr>
            <w:r>
              <w:rPr>
                <w:rFonts w:ascii="Calibri" w:hAnsi="Calibri"/>
                <w:b w:val="0"/>
                <w:i w:val="0"/>
                <w:color w:val="333333"/>
                <w:sz w:val="17"/>
              </w:rPr>
              <w:t>Moyen</w:t>
            </w:r>
          </w:p>
        </w:tc>
        <w:tc>
          <w:tcPr>
            <w:tcW w:type="dxa" w:w="1701"/>
            <w:shd w:val="clear" w:fill="F2F6FA"/>
          </w:tcPr>
          <w:p>
            <w:pPr>
              <w:spacing w:before="40" w:after="40"/>
            </w:pPr>
            <w:r>
              <w:rPr>
                <w:rFonts w:ascii="Calibri" w:hAnsi="Calibri"/>
                <w:b w:val="0"/>
                <w:i w:val="0"/>
                <w:color w:val="333333"/>
                <w:sz w:val="17"/>
              </w:rPr>
              <w:t>Confirmer l'interface auprès du fournisseur à la commande (D4) ; le repli est un export CSV/fichier standard, déjà pris en charge par l'architecture</w:t>
            </w:r>
          </w:p>
        </w:tc>
        <w:tc>
          <w:tcPr>
            <w:tcW w:type="dxa" w:w="1701"/>
            <w:shd w:val="clear" w:fill="F2F6FA"/>
          </w:tcPr>
          <w:p>
            <w:pPr>
              <w:spacing w:before="40" w:after="40"/>
            </w:pPr>
            <w:r>
              <w:rPr>
                <w:rFonts w:ascii="Calibri" w:hAnsi="Calibri"/>
                <w:b w:val="0"/>
                <w:i w:val="0"/>
                <w:color w:val="333333"/>
                <w:sz w:val="17"/>
              </w:rPr>
              <w:t>SUNU</w:t>
            </w:r>
          </w:p>
        </w:tc>
      </w:tr>
    </w:tbl>
    <w:p>
      <w:pPr>
        <w:spacing w:after="40"/>
      </w:pPr>
    </w:p>
    <w:p>
      <w:r>
        <w:rPr>
          <w:rFonts w:ascii="Calibri" w:hAnsi="Calibri"/>
          <w:b/>
          <w:i w:val="0"/>
          <w:color w:val="333333"/>
          <w:sz w:val="20"/>
        </w:rPr>
        <w:t>Les trois qui décident de l'échéance de septembre : R1, R5, R11.</w:t>
      </w:r>
      <w:r>
        <w:rPr>
          <w:rFonts w:ascii="Calibri" w:hAnsi="Calibri"/>
          <w:b w:val="0"/>
          <w:i w:val="0"/>
          <w:color w:val="333333"/>
          <w:sz w:val="20"/>
        </w:rPr>
        <w:t xml:space="preserve"> Deux relèvent de SUNU et un est partagé. Les trois sont maîtrisables — à condition d'être traités en semaine 1.</w:t>
      </w:r>
    </w:p>
    <w:p>
      <w:pPr>
        <w:pStyle w:val="Heading1"/>
        <w:pageBreakBefore/>
        <w:spacing w:before="360" w:after="80"/>
        <w:keepNext/>
        <w:pBdr>
          <w:bottom w:val="single" w:sz="8" w:space="6" w:color="1B3A5C"/>
        </w:pBdr>
      </w:pPr>
      <w:bookmarkStart w:id="122" w:name="_Toc_s021"/>
      <w:r>
        <w:rPr>
          <w:rFonts w:ascii="Calibri" w:hAnsi="Calibri"/>
          <w:b/>
          <w:color w:val="1B3A5C"/>
          <w:sz w:val="30"/>
        </w:rPr>
        <w:t>8. Responsabilités (RACI)</w:t>
      </w:r>
      <w:bookmarkEnd w:id="122"/>
    </w:p>
    <w:p>
      <w:r>
        <w:rPr>
          <w:rFonts w:ascii="Calibri" w:hAnsi="Calibri"/>
          <w:b w:val="0"/>
          <w:i w:val="0"/>
          <w:color w:val="333333"/>
          <w:sz w:val="20"/>
        </w:rPr>
        <w:t>R = Réalise · A = Approuve (redevable) · C = Consulté · I = Informé</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1949"/>
            <w:shd w:val="clear" w:fill="1B3A5C"/>
          </w:tcPr>
          <w:p>
            <w:pPr>
              <w:spacing w:before="60" w:after="60"/>
            </w:pPr>
            <w:r>
              <w:rPr>
                <w:rFonts w:ascii="Calibri" w:hAnsi="Calibri"/>
                <w:b/>
                <w:color w:val="FFFFFF"/>
                <w:sz w:val="17"/>
              </w:rPr>
              <w:t>Activité</w:t>
            </w:r>
          </w:p>
        </w:tc>
        <w:tc>
          <w:tcPr>
            <w:tcW w:type="dxa" w:w="1949"/>
            <w:shd w:val="clear" w:fill="1B3A5C"/>
          </w:tcPr>
          <w:p>
            <w:pPr>
              <w:spacing w:before="60" w:after="60"/>
            </w:pPr>
            <w:r>
              <w:rPr>
                <w:rFonts w:ascii="Calibri" w:hAnsi="Calibri"/>
                <w:b/>
                <w:color w:val="FFFFFF"/>
                <w:sz w:val="17"/>
              </w:rPr>
              <w:t>Opérations SUNU</w:t>
            </w:r>
          </w:p>
        </w:tc>
        <w:tc>
          <w:tcPr>
            <w:tcW w:type="dxa" w:w="1949"/>
            <w:shd w:val="clear" w:fill="1B3A5C"/>
          </w:tcPr>
          <w:p>
            <w:pPr>
              <w:spacing w:before="60" w:after="60"/>
            </w:pPr>
            <w:r>
              <w:rPr>
                <w:rFonts w:ascii="Calibri" w:hAnsi="Calibri"/>
                <w:b/>
                <w:color w:val="FFFFFF"/>
                <w:sz w:val="17"/>
              </w:rPr>
              <w:t>DSI SUNU</w:t>
            </w:r>
          </w:p>
        </w:tc>
        <w:tc>
          <w:tcPr>
            <w:tcW w:type="dxa" w:w="1949"/>
            <w:shd w:val="clear" w:fill="1B3A5C"/>
          </w:tcPr>
          <w:p>
            <w:pPr>
              <w:spacing w:before="60" w:after="60"/>
            </w:pPr>
            <w:r>
              <w:rPr>
                <w:rFonts w:ascii="Calibri" w:hAnsi="Calibri"/>
                <w:b/>
                <w:color w:val="FFFFFF"/>
                <w:sz w:val="17"/>
              </w:rPr>
              <w:t>Finance SUNU</w:t>
            </w:r>
          </w:p>
        </w:tc>
        <w:tc>
          <w:tcPr>
            <w:tcW w:type="dxa" w:w="1949"/>
            <w:shd w:val="clear" w:fill="1B3A5C"/>
          </w:tcPr>
          <w:p>
            <w:pPr>
              <w:spacing w:before="60" w:after="60"/>
            </w:pPr>
            <w:r>
              <w:rPr>
                <w:rFonts w:ascii="Calibri" w:hAnsi="Calibri"/>
                <w:b/>
                <w:color w:val="FFFFFF"/>
                <w:sz w:val="17"/>
              </w:rPr>
              <w:t>DBS</w:t>
            </w:r>
          </w:p>
        </w:tc>
      </w:tr>
      <w:tr>
        <w:tc>
          <w:tcPr>
            <w:tcW w:type="dxa" w:w="1949"/>
          </w:tcPr>
          <w:p>
            <w:pPr>
              <w:spacing w:before="40" w:after="40"/>
            </w:pPr>
            <w:r>
              <w:rPr>
                <w:rFonts w:ascii="Calibri" w:hAnsi="Calibri"/>
                <w:b w:val="0"/>
                <w:i w:val="0"/>
                <w:color w:val="333333"/>
                <w:sz w:val="17"/>
              </w:rPr>
              <w:t>Validation des exigences</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Architecture technique</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i w:val="0"/>
                <w:color w:val="333333"/>
                <w:sz w:val="17"/>
              </w:rPr>
              <w:t>A</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R</w:t>
            </w:r>
          </w:p>
        </w:tc>
      </w:tr>
      <w:tr>
        <w:tc>
          <w:tcPr>
            <w:tcW w:type="dxa" w:w="1949"/>
          </w:tcPr>
          <w:p>
            <w:pPr>
              <w:spacing w:before="40" w:after="40"/>
            </w:pPr>
            <w:r>
              <w:rPr>
                <w:rFonts w:ascii="Calibri" w:hAnsi="Calibri"/>
                <w:b w:val="0"/>
                <w:i w:val="0"/>
                <w:color w:val="333333"/>
                <w:sz w:val="17"/>
              </w:rPr>
              <w:t>Conception de la sécurité</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Développement et paramétrage</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A/R</w:t>
            </w:r>
          </w:p>
        </w:tc>
      </w:tr>
      <w:tr>
        <w:tc>
          <w:tcPr>
            <w:tcW w:type="dxa" w:w="1949"/>
          </w:tcPr>
          <w:p>
            <w:pPr>
              <w:spacing w:before="40" w:after="40"/>
            </w:pPr>
            <w:r>
              <w:rPr>
                <w:rFonts w:ascii="Calibri" w:hAnsi="Calibri"/>
                <w:b w:val="0"/>
                <w:i w:val="0"/>
                <w:color w:val="333333"/>
                <w:sz w:val="17"/>
              </w:rPr>
              <w:t>Approvisionnement matériel</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Enrôlement Mobile Money</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Accès SUNULIFE</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Mise à disposition des environnements</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A</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R</w:t>
            </w:r>
          </w:p>
        </w:tc>
      </w:tr>
      <w:tr>
        <w:tc>
          <w:tcPr>
            <w:tcW w:type="dxa" w:w="1949"/>
          </w:tcPr>
          <w:p>
            <w:pPr>
              <w:spacing w:before="40" w:after="40"/>
            </w:pPr>
            <w:r>
              <w:rPr>
                <w:rFonts w:ascii="Calibri" w:hAnsi="Calibri"/>
                <w:b w:val="0"/>
                <w:i w:val="0"/>
                <w:color w:val="333333"/>
                <w:sz w:val="17"/>
              </w:rPr>
              <w:t>Import de données (phase 0)</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Exécution de la recette</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R</w:t>
            </w:r>
          </w:p>
        </w:tc>
        <w:tc>
          <w:tcPr>
            <w:tcW w:type="dxa" w:w="1949"/>
            <w:shd w:val="clear" w:fill="F2F6FA"/>
          </w:tcPr>
          <w:p>
            <w:pPr>
              <w:spacing w:before="40" w:after="40"/>
            </w:pPr>
            <w:r>
              <w:rPr>
                <w:rFonts w:ascii="Calibri" w:hAnsi="Calibri"/>
                <w:b w:val="0"/>
                <w:i w:val="0"/>
                <w:color w:val="333333"/>
                <w:sz w:val="17"/>
              </w:rPr>
              <w:t>R</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Animation de la formation</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Décision go/no-go du pilote</w:t>
            </w:r>
          </w:p>
        </w:tc>
        <w:tc>
          <w:tcPr>
            <w:tcW w:type="dxa" w:w="1949"/>
            <w:shd w:val="clear" w:fill="F2F6FA"/>
          </w:tcPr>
          <w:p>
            <w:pPr>
              <w:spacing w:before="40" w:after="40"/>
            </w:pPr>
            <w:r>
              <w:rPr>
                <w:rFonts w:ascii="Calibri" w:hAnsi="Calibri"/>
                <w:b/>
                <w:i w:val="0"/>
                <w:color w:val="333333"/>
                <w:sz w:val="17"/>
              </w:rPr>
              <w:t>A</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Déploiement en production</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Confirmation des versements (exploitation)</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w:t>
            </w:r>
          </w:p>
        </w:tc>
      </w:tr>
      <w:tr>
        <w:tc>
          <w:tcPr>
            <w:tcW w:type="dxa" w:w="1949"/>
          </w:tcPr>
          <w:p>
            <w:pPr>
              <w:spacing w:before="40" w:after="40"/>
            </w:pPr>
            <w:r>
              <w:rPr>
                <w:rFonts w:ascii="Calibri" w:hAnsi="Calibri"/>
                <w:b w:val="0"/>
                <w:i w:val="0"/>
                <w:color w:val="333333"/>
                <w:sz w:val="17"/>
              </w:rPr>
              <w:t>Surveillance de la fraude</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R</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Déclaration CIL</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Support en production</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bl>
    <w:p>
      <w:pPr>
        <w:spacing w:after="40"/>
      </w:pPr>
    </w:p>
    <w:p>
      <w:pPr>
        <w:pStyle w:val="Heading1"/>
        <w:pageBreakBefore/>
        <w:spacing w:before="360" w:after="80"/>
        <w:keepNext/>
        <w:pBdr>
          <w:bottom w:val="single" w:sz="8" w:space="6" w:color="1B3A5C"/>
        </w:pBdr>
      </w:pPr>
      <w:bookmarkStart w:id="123" w:name="_Toc_s022"/>
      <w:r>
        <w:rPr>
          <w:rFonts w:ascii="Calibri" w:hAnsi="Calibri"/>
          <w:b/>
          <w:color w:val="1B3A5C"/>
          <w:sz w:val="30"/>
        </w:rPr>
        <w:t>9. Livrables</w:t>
      </w:r>
      <w:bookmarkEnd w:id="12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Livrable</w:t>
            </w:r>
          </w:p>
        </w:tc>
        <w:tc>
          <w:tcPr>
            <w:tcW w:type="dxa" w:w="2835"/>
            <w:shd w:val="clear" w:fill="1B3A5C"/>
          </w:tcPr>
          <w:p>
            <w:pPr>
              <w:spacing w:before="60" w:after="60"/>
            </w:pPr>
            <w:r>
              <w:rPr>
                <w:rFonts w:ascii="Calibri" w:hAnsi="Calibri"/>
                <w:b/>
                <w:color w:val="FFFFFF"/>
                <w:sz w:val="17"/>
              </w:rPr>
              <w:t>Format</w:t>
            </w:r>
          </w:p>
        </w:tc>
        <w:tc>
          <w:tcPr>
            <w:tcW w:type="dxa" w:w="2835"/>
            <w:shd w:val="clear" w:fill="1B3A5C"/>
          </w:tcPr>
          <w:p>
            <w:pPr>
              <w:spacing w:before="60" w:after="60"/>
            </w:pPr>
            <w:r>
              <w:rPr>
                <w:rFonts w:ascii="Calibri" w:hAnsi="Calibri"/>
                <w:b/>
                <w:color w:val="FFFFFF"/>
                <w:sz w:val="17"/>
              </w:rPr>
              <w:t>Date</w:t>
            </w:r>
          </w:p>
        </w:tc>
      </w:tr>
      <w:tr>
        <w:tc>
          <w:tcPr>
            <w:tcW w:type="dxa" w:w="907"/>
          </w:tcPr>
          <w:p>
            <w:pPr>
              <w:spacing w:before="40" w:after="40"/>
            </w:pPr>
            <w:r>
              <w:rPr>
                <w:rFonts w:ascii="Calibri" w:hAnsi="Calibri"/>
                <w:b w:val="0"/>
                <w:i w:val="0"/>
                <w:color w:val="333333"/>
                <w:sz w:val="17"/>
              </w:rPr>
              <w:t>L1</w:t>
            </w:r>
          </w:p>
        </w:tc>
        <w:tc>
          <w:tcPr>
            <w:tcW w:type="dxa" w:w="2835"/>
          </w:tcPr>
          <w:p>
            <w:pPr>
              <w:spacing w:before="40" w:after="40"/>
            </w:pPr>
            <w:r>
              <w:rPr>
                <w:rFonts w:ascii="Calibri" w:hAnsi="Calibri"/>
                <w:b w:val="0"/>
                <w:i w:val="0"/>
                <w:color w:val="333333"/>
                <w:sz w:val="17"/>
              </w:rPr>
              <w:t>Document 1 — Architecture technique</w:t>
            </w:r>
          </w:p>
        </w:tc>
        <w:tc>
          <w:tcPr>
            <w:tcW w:type="dxa" w:w="2835"/>
          </w:tcPr>
          <w:p>
            <w:pPr>
              <w:spacing w:before="40" w:after="40"/>
            </w:pPr>
            <w:r>
              <w:rPr>
                <w:rFonts w:ascii="Calibri" w:hAnsi="Calibri"/>
                <w:b w:val="0"/>
                <w:i w:val="0"/>
                <w:color w:val="333333"/>
                <w:sz w:val="17"/>
              </w:rPr>
              <w:t>EN puis FR</w:t>
            </w:r>
          </w:p>
        </w:tc>
        <w:tc>
          <w:tcPr>
            <w:tcW w:type="dxa" w:w="2835"/>
          </w:tcPr>
          <w:p>
            <w:pPr>
              <w:spacing w:before="40" w:after="40"/>
            </w:pPr>
            <w:r>
              <w:rPr>
                <w:rFonts w:ascii="Calibri" w:hAnsi="Calibri"/>
                <w:b w:val="0"/>
                <w:i w:val="0"/>
                <w:color w:val="333333"/>
                <w:sz w:val="17"/>
              </w:rPr>
              <w:t>31 août (EN) / 25 sept. (FR)</w:t>
            </w:r>
          </w:p>
        </w:tc>
      </w:tr>
      <w:tr>
        <w:tc>
          <w:tcPr>
            <w:tcW w:type="dxa" w:w="907"/>
            <w:shd w:val="clear" w:fill="F2F6FA"/>
          </w:tcPr>
          <w:p>
            <w:pPr>
              <w:spacing w:before="40" w:after="40"/>
            </w:pPr>
            <w:r>
              <w:rPr>
                <w:rFonts w:ascii="Calibri" w:hAnsi="Calibri"/>
                <w:b w:val="0"/>
                <w:i w:val="0"/>
                <w:color w:val="333333"/>
                <w:sz w:val="17"/>
              </w:rPr>
              <w:t>L2</w:t>
            </w:r>
          </w:p>
        </w:tc>
        <w:tc>
          <w:tcPr>
            <w:tcW w:type="dxa" w:w="2835"/>
            <w:shd w:val="clear" w:fill="F2F6FA"/>
          </w:tcPr>
          <w:p>
            <w:pPr>
              <w:spacing w:before="40" w:after="40"/>
            </w:pPr>
            <w:r>
              <w:rPr>
                <w:rFonts w:ascii="Calibri" w:hAnsi="Calibri"/>
                <w:b w:val="0"/>
                <w:i w:val="0"/>
                <w:color w:val="333333"/>
                <w:sz w:val="17"/>
              </w:rPr>
              <w:t>Document 2 — Sécurité</w:t>
            </w:r>
          </w:p>
        </w:tc>
        <w:tc>
          <w:tcPr>
            <w:tcW w:type="dxa" w:w="2835"/>
            <w:shd w:val="clear" w:fill="F2F6FA"/>
          </w:tcPr>
          <w:p>
            <w:pPr>
              <w:spacing w:before="40" w:after="40"/>
            </w:pPr>
            <w:r>
              <w:rPr>
                <w:rFonts w:ascii="Calibri" w:hAnsi="Calibri"/>
                <w:b w:val="0"/>
                <w:i w:val="0"/>
                <w:color w:val="333333"/>
                <w:sz w:val="17"/>
              </w:rPr>
              <w:t>EN puis FR</w:t>
            </w:r>
          </w:p>
        </w:tc>
        <w:tc>
          <w:tcPr>
            <w:tcW w:type="dxa" w:w="2835"/>
            <w:shd w:val="clear" w:fill="F2F6FA"/>
          </w:tcPr>
          <w:p>
            <w:pPr>
              <w:spacing w:before="40" w:after="40"/>
            </w:pPr>
            <w:r>
              <w:rPr>
                <w:rFonts w:ascii="Calibri" w:hAnsi="Calibri"/>
                <w:b w:val="0"/>
                <w:i w:val="0"/>
                <w:color w:val="333333"/>
                <w:sz w:val="17"/>
              </w:rPr>
              <w:t>31 août (EN) / 25 sept. (FR)</w:t>
            </w:r>
          </w:p>
        </w:tc>
      </w:tr>
      <w:tr>
        <w:tc>
          <w:tcPr>
            <w:tcW w:type="dxa" w:w="907"/>
          </w:tcPr>
          <w:p>
            <w:pPr>
              <w:spacing w:before="40" w:after="40"/>
            </w:pPr>
            <w:r>
              <w:rPr>
                <w:rFonts w:ascii="Calibri" w:hAnsi="Calibri"/>
                <w:b w:val="0"/>
                <w:i w:val="0"/>
                <w:color w:val="333333"/>
                <w:sz w:val="17"/>
              </w:rPr>
              <w:t>L3</w:t>
            </w:r>
          </w:p>
        </w:tc>
        <w:tc>
          <w:tcPr>
            <w:tcW w:type="dxa" w:w="2835"/>
          </w:tcPr>
          <w:p>
            <w:pPr>
              <w:spacing w:before="40" w:after="40"/>
            </w:pPr>
            <w:r>
              <w:rPr>
                <w:rFonts w:ascii="Calibri" w:hAnsi="Calibri"/>
                <w:b w:val="0"/>
                <w:i w:val="0"/>
                <w:color w:val="333333"/>
                <w:sz w:val="17"/>
              </w:rPr>
              <w:t>Document 3 — Guide utilisateur (tous profils)</w:t>
            </w:r>
          </w:p>
        </w:tc>
        <w:tc>
          <w:tcPr>
            <w:tcW w:type="dxa" w:w="2835"/>
          </w:tcPr>
          <w:p>
            <w:pPr>
              <w:spacing w:before="40" w:after="40"/>
            </w:pPr>
            <w:r>
              <w:rPr>
                <w:rFonts w:ascii="Calibri" w:hAnsi="Calibri"/>
                <w:b w:val="0"/>
                <w:i w:val="0"/>
                <w:color w:val="333333"/>
                <w:sz w:val="17"/>
              </w:rPr>
              <w:t>EN puis FR, avec copies d'écran après recette</w:t>
            </w:r>
          </w:p>
        </w:tc>
        <w:tc>
          <w:tcPr>
            <w:tcW w:type="dxa" w:w="2835"/>
          </w:tcPr>
          <w:p>
            <w:pPr>
              <w:spacing w:before="40" w:after="40"/>
            </w:pPr>
            <w:r>
              <w:rPr>
                <w:rFonts w:ascii="Calibri" w:hAnsi="Calibri"/>
                <w:b w:val="0"/>
                <w:i w:val="0"/>
                <w:color w:val="333333"/>
                <w:sz w:val="17"/>
              </w:rPr>
              <w:t>31 août (EN) / 25 sept. (final)</w:t>
            </w:r>
          </w:p>
        </w:tc>
      </w:tr>
      <w:tr>
        <w:tc>
          <w:tcPr>
            <w:tcW w:type="dxa" w:w="907"/>
            <w:shd w:val="clear" w:fill="F2F6FA"/>
          </w:tcPr>
          <w:p>
            <w:pPr>
              <w:spacing w:before="40" w:after="40"/>
            </w:pPr>
            <w:r>
              <w:rPr>
                <w:rFonts w:ascii="Calibri" w:hAnsi="Calibri"/>
                <w:b w:val="0"/>
                <w:i w:val="0"/>
                <w:color w:val="333333"/>
                <w:sz w:val="17"/>
              </w:rPr>
              <w:t>L4</w:t>
            </w:r>
          </w:p>
        </w:tc>
        <w:tc>
          <w:tcPr>
            <w:tcW w:type="dxa" w:w="2835"/>
            <w:shd w:val="clear" w:fill="F2F6FA"/>
          </w:tcPr>
          <w:p>
            <w:pPr>
              <w:spacing w:before="40" w:after="40"/>
            </w:pPr>
            <w:r>
              <w:rPr>
                <w:rFonts w:ascii="Calibri" w:hAnsi="Calibri"/>
                <w:b w:val="0"/>
                <w:i w:val="0"/>
                <w:color w:val="333333"/>
                <w:sz w:val="17"/>
              </w:rPr>
              <w:t>Document 4 — Plan de déploiement</w:t>
            </w:r>
          </w:p>
        </w:tc>
        <w:tc>
          <w:tcPr>
            <w:tcW w:type="dxa" w:w="2835"/>
            <w:shd w:val="clear" w:fill="F2F6FA"/>
          </w:tcPr>
          <w:p>
            <w:pPr>
              <w:spacing w:before="40" w:after="40"/>
            </w:pPr>
            <w:r>
              <w:rPr>
                <w:rFonts w:ascii="Calibri" w:hAnsi="Calibri"/>
                <w:b w:val="0"/>
                <w:i w:val="0"/>
                <w:color w:val="333333"/>
                <w:sz w:val="17"/>
              </w:rPr>
              <w:t>EN puis FR</w:t>
            </w:r>
          </w:p>
        </w:tc>
        <w:tc>
          <w:tcPr>
            <w:tcW w:type="dxa" w:w="2835"/>
            <w:shd w:val="clear" w:fill="F2F6FA"/>
          </w:tcPr>
          <w:p>
            <w:pPr>
              <w:spacing w:before="40" w:after="40"/>
            </w:pPr>
            <w:r>
              <w:rPr>
                <w:rFonts w:ascii="Calibri" w:hAnsi="Calibri"/>
                <w:b w:val="0"/>
                <w:i w:val="0"/>
                <w:color w:val="333333"/>
                <w:sz w:val="17"/>
              </w:rPr>
              <w:t>31 août (EN) / 25 sept. (FR)</w:t>
            </w:r>
          </w:p>
        </w:tc>
      </w:tr>
      <w:tr>
        <w:tc>
          <w:tcPr>
            <w:tcW w:type="dxa" w:w="907"/>
          </w:tcPr>
          <w:p>
            <w:pPr>
              <w:spacing w:before="40" w:after="40"/>
            </w:pPr>
            <w:r>
              <w:rPr>
                <w:rFonts w:ascii="Calibri" w:hAnsi="Calibri"/>
                <w:b w:val="0"/>
                <w:i w:val="0"/>
                <w:color w:val="333333"/>
                <w:sz w:val="17"/>
              </w:rPr>
              <w:t>L5</w:t>
            </w:r>
          </w:p>
        </w:tc>
        <w:tc>
          <w:tcPr>
            <w:tcW w:type="dxa" w:w="2835"/>
          </w:tcPr>
          <w:p>
            <w:pPr>
              <w:spacing w:before="40" w:after="40"/>
            </w:pPr>
            <w:r>
              <w:rPr>
                <w:rFonts w:ascii="Calibri" w:hAnsi="Calibri"/>
                <w:b w:val="0"/>
                <w:i w:val="0"/>
                <w:color w:val="333333"/>
                <w:sz w:val="17"/>
              </w:rPr>
              <w:t>Environnement de recette</w:t>
            </w:r>
          </w:p>
        </w:tc>
        <w:tc>
          <w:tcPr>
            <w:tcW w:type="dxa" w:w="2835"/>
          </w:tcPr>
          <w:p>
            <w:pPr>
              <w:spacing w:before="40" w:after="40"/>
            </w:pPr>
            <w:r>
              <w:rPr>
                <w:rFonts w:ascii="Calibri" w:hAnsi="Calibri"/>
                <w:b w:val="0"/>
                <w:i w:val="0"/>
                <w:color w:val="333333"/>
                <w:sz w:val="17"/>
              </w:rPr>
              <w:t>Système en fonctionnement</w:t>
            </w:r>
          </w:p>
        </w:tc>
        <w:tc>
          <w:tcPr>
            <w:tcW w:type="dxa" w:w="2835"/>
          </w:tcPr>
          <w:p>
            <w:pPr>
              <w:spacing w:before="40" w:after="40"/>
            </w:pPr>
            <w:r>
              <w:rPr>
                <w:rFonts w:ascii="Calibri" w:hAnsi="Calibri"/>
                <w:b w:val="0"/>
                <w:i w:val="0"/>
                <w:color w:val="333333"/>
                <w:sz w:val="17"/>
              </w:rPr>
              <w:t>14 sept.</w:t>
            </w:r>
          </w:p>
        </w:tc>
      </w:tr>
      <w:tr>
        <w:tc>
          <w:tcPr>
            <w:tcW w:type="dxa" w:w="907"/>
            <w:shd w:val="clear" w:fill="F2F6FA"/>
          </w:tcPr>
          <w:p>
            <w:pPr>
              <w:spacing w:before="40" w:after="40"/>
            </w:pPr>
            <w:r>
              <w:rPr>
                <w:rFonts w:ascii="Calibri" w:hAnsi="Calibri"/>
                <w:b w:val="0"/>
                <w:i w:val="0"/>
                <w:color w:val="333333"/>
                <w:sz w:val="17"/>
              </w:rPr>
              <w:t>L6</w:t>
            </w:r>
          </w:p>
        </w:tc>
        <w:tc>
          <w:tcPr>
            <w:tcW w:type="dxa" w:w="2835"/>
            <w:shd w:val="clear" w:fill="F2F6FA"/>
          </w:tcPr>
          <w:p>
            <w:pPr>
              <w:spacing w:before="40" w:after="40"/>
            </w:pPr>
            <w:r>
              <w:rPr>
                <w:rFonts w:ascii="Calibri" w:hAnsi="Calibri"/>
                <w:b w:val="0"/>
                <w:i w:val="0"/>
                <w:color w:val="333333"/>
                <w:sz w:val="17"/>
              </w:rPr>
              <w:t>Application TPE personnalisée (APK)</w:t>
            </w:r>
          </w:p>
        </w:tc>
        <w:tc>
          <w:tcPr>
            <w:tcW w:type="dxa" w:w="2835"/>
            <w:shd w:val="clear" w:fill="F2F6FA"/>
          </w:tcPr>
          <w:p>
            <w:pPr>
              <w:spacing w:before="40" w:after="40"/>
            </w:pPr>
            <w:r>
              <w:rPr>
                <w:rFonts w:ascii="Calibri" w:hAnsi="Calibri"/>
                <w:b w:val="0"/>
                <w:i w:val="0"/>
                <w:color w:val="333333"/>
                <w:sz w:val="17"/>
              </w:rPr>
              <w:t>Binaire signé</w:t>
            </w:r>
          </w:p>
        </w:tc>
        <w:tc>
          <w:tcPr>
            <w:tcW w:type="dxa" w:w="2835"/>
            <w:shd w:val="clear" w:fill="F2F6FA"/>
          </w:tcPr>
          <w:p>
            <w:pPr>
              <w:spacing w:before="40" w:after="40"/>
            </w:pPr>
            <w:r>
              <w:rPr>
                <w:rFonts w:ascii="Calibri" w:hAnsi="Calibri"/>
                <w:b w:val="0"/>
                <w:i w:val="0"/>
                <w:color w:val="333333"/>
                <w:sz w:val="17"/>
              </w:rPr>
              <w:t>14 sept. (recette) / 28 sept. (prod)</w:t>
            </w:r>
          </w:p>
        </w:tc>
      </w:tr>
      <w:tr>
        <w:tc>
          <w:tcPr>
            <w:tcW w:type="dxa" w:w="907"/>
          </w:tcPr>
          <w:p>
            <w:pPr>
              <w:spacing w:before="40" w:after="40"/>
            </w:pPr>
            <w:r>
              <w:rPr>
                <w:rFonts w:ascii="Calibri" w:hAnsi="Calibri"/>
                <w:b w:val="0"/>
                <w:i w:val="0"/>
                <w:color w:val="333333"/>
                <w:sz w:val="17"/>
              </w:rPr>
              <w:t>L7</w:t>
            </w:r>
          </w:p>
        </w:tc>
        <w:tc>
          <w:tcPr>
            <w:tcW w:type="dxa" w:w="2835"/>
          </w:tcPr>
          <w:p>
            <w:pPr>
              <w:spacing w:before="40" w:after="40"/>
            </w:pPr>
            <w:r>
              <w:rPr>
                <w:rFonts w:ascii="Calibri" w:hAnsi="Calibri"/>
                <w:b w:val="0"/>
                <w:i w:val="0"/>
                <w:color w:val="333333"/>
                <w:sz w:val="17"/>
              </w:rPr>
              <w:t>Plateforme back-office personnalisée</w:t>
            </w:r>
          </w:p>
        </w:tc>
        <w:tc>
          <w:tcPr>
            <w:tcW w:type="dxa" w:w="2835"/>
          </w:tcPr>
          <w:p>
            <w:pPr>
              <w:spacing w:before="40" w:after="40"/>
            </w:pPr>
            <w:r>
              <w:rPr>
                <w:rFonts w:ascii="Calibri" w:hAnsi="Calibri"/>
                <w:b w:val="0"/>
                <w:i w:val="0"/>
                <w:color w:val="333333"/>
                <w:sz w:val="17"/>
              </w:rPr>
              <w:t>Système en fonctionnement</w:t>
            </w:r>
          </w:p>
        </w:tc>
        <w:tc>
          <w:tcPr>
            <w:tcW w:type="dxa" w:w="2835"/>
          </w:tcPr>
          <w:p>
            <w:pPr>
              <w:spacing w:before="40" w:after="40"/>
            </w:pPr>
            <w:r>
              <w:rPr>
                <w:rFonts w:ascii="Calibri" w:hAnsi="Calibri"/>
                <w:b w:val="0"/>
                <w:i w:val="0"/>
                <w:color w:val="333333"/>
                <w:sz w:val="17"/>
              </w:rPr>
              <w:t>14 sept. (recette) / 28 sept. (prod)</w:t>
            </w:r>
          </w:p>
        </w:tc>
      </w:tr>
      <w:tr>
        <w:tc>
          <w:tcPr>
            <w:tcW w:type="dxa" w:w="907"/>
            <w:shd w:val="clear" w:fill="F2F6FA"/>
          </w:tcPr>
          <w:p>
            <w:pPr>
              <w:spacing w:before="40" w:after="40"/>
            </w:pPr>
            <w:r>
              <w:rPr>
                <w:rFonts w:ascii="Calibri" w:hAnsi="Calibri"/>
                <w:b w:val="0"/>
                <w:i w:val="0"/>
                <w:color w:val="333333"/>
                <w:sz w:val="17"/>
              </w:rPr>
              <w:t>L8</w:t>
            </w:r>
          </w:p>
        </w:tc>
        <w:tc>
          <w:tcPr>
            <w:tcW w:type="dxa" w:w="2835"/>
            <w:shd w:val="clear" w:fill="F2F6FA"/>
          </w:tcPr>
          <w:p>
            <w:pPr>
              <w:spacing w:before="40" w:after="40"/>
            </w:pPr>
            <w:r>
              <w:rPr>
                <w:rFonts w:ascii="Calibri" w:hAnsi="Calibri"/>
                <w:b w:val="0"/>
                <w:i w:val="0"/>
                <w:color w:val="333333"/>
                <w:sz w:val="17"/>
              </w:rPr>
              <w:t>Cahier de recette et résultats</w:t>
            </w:r>
          </w:p>
        </w:tc>
        <w:tc>
          <w:tcPr>
            <w:tcW w:type="dxa" w:w="2835"/>
            <w:shd w:val="clear" w:fill="F2F6FA"/>
          </w:tcPr>
          <w:p>
            <w:pPr>
              <w:spacing w:before="40" w:after="40"/>
            </w:pPr>
            <w:r>
              <w:rPr>
                <w:rFonts w:ascii="Calibri" w:hAnsi="Calibri"/>
                <w:b w:val="0"/>
                <w:i w:val="0"/>
                <w:color w:val="333333"/>
                <w:sz w:val="17"/>
              </w:rPr>
              <w:t>Document</w:t>
            </w:r>
          </w:p>
        </w:tc>
        <w:tc>
          <w:tcPr>
            <w:tcW w:type="dxa" w:w="2835"/>
            <w:shd w:val="clear" w:fill="F2F6FA"/>
          </w:tcPr>
          <w:p>
            <w:pPr>
              <w:spacing w:before="40" w:after="40"/>
            </w:pPr>
            <w:r>
              <w:rPr>
                <w:rFonts w:ascii="Calibri" w:hAnsi="Calibri"/>
                <w:b w:val="0"/>
                <w:i w:val="0"/>
                <w:color w:val="333333"/>
                <w:sz w:val="17"/>
              </w:rPr>
              <w:t>25 sept.</w:t>
            </w:r>
          </w:p>
        </w:tc>
      </w:tr>
      <w:tr>
        <w:tc>
          <w:tcPr>
            <w:tcW w:type="dxa" w:w="907"/>
          </w:tcPr>
          <w:p>
            <w:pPr>
              <w:spacing w:before="40" w:after="40"/>
            </w:pPr>
            <w:r>
              <w:rPr>
                <w:rFonts w:ascii="Calibri" w:hAnsi="Calibri"/>
                <w:b w:val="0"/>
                <w:i w:val="0"/>
                <w:color w:val="333333"/>
                <w:sz w:val="17"/>
              </w:rPr>
              <w:t>L9</w:t>
            </w:r>
          </w:p>
        </w:tc>
        <w:tc>
          <w:tcPr>
            <w:tcW w:type="dxa" w:w="2835"/>
          </w:tcPr>
          <w:p>
            <w:pPr>
              <w:spacing w:before="40" w:after="40"/>
            </w:pPr>
            <w:r>
              <w:rPr>
                <w:rFonts w:ascii="Calibri" w:hAnsi="Calibri"/>
                <w:b w:val="0"/>
                <w:i w:val="0"/>
                <w:color w:val="333333"/>
                <w:sz w:val="17"/>
              </w:rPr>
              <w:t>Liste de contrôle sécurité signée</w:t>
            </w:r>
          </w:p>
        </w:tc>
        <w:tc>
          <w:tcPr>
            <w:tcW w:type="dxa" w:w="2835"/>
          </w:tcPr>
          <w:p>
            <w:pPr>
              <w:spacing w:before="40" w:after="40"/>
            </w:pPr>
            <w:r>
              <w:rPr>
                <w:rFonts w:ascii="Calibri" w:hAnsi="Calibri"/>
                <w:b w:val="0"/>
                <w:i w:val="0"/>
                <w:color w:val="333333"/>
                <w:sz w:val="17"/>
              </w:rPr>
              <w:t>Document</w:t>
            </w:r>
          </w:p>
        </w:tc>
        <w:tc>
          <w:tcPr>
            <w:tcW w:type="dxa" w:w="2835"/>
          </w:tcPr>
          <w:p>
            <w:pPr>
              <w:spacing w:before="40" w:after="40"/>
            </w:pPr>
            <w:r>
              <w:rPr>
                <w:rFonts w:ascii="Calibri" w:hAnsi="Calibri"/>
                <w:b w:val="0"/>
                <w:i w:val="0"/>
                <w:color w:val="333333"/>
                <w:sz w:val="17"/>
              </w:rPr>
              <w:t>27 sept.</w:t>
            </w:r>
          </w:p>
        </w:tc>
      </w:tr>
      <w:tr>
        <w:tc>
          <w:tcPr>
            <w:tcW w:type="dxa" w:w="907"/>
            <w:shd w:val="clear" w:fill="F2F6FA"/>
          </w:tcPr>
          <w:p>
            <w:pPr>
              <w:spacing w:before="40" w:after="40"/>
            </w:pPr>
            <w:r>
              <w:rPr>
                <w:rFonts w:ascii="Calibri" w:hAnsi="Calibri"/>
                <w:b w:val="0"/>
                <w:i w:val="0"/>
                <w:color w:val="333333"/>
                <w:sz w:val="17"/>
              </w:rPr>
              <w:t>L10</w:t>
            </w:r>
          </w:p>
        </w:tc>
        <w:tc>
          <w:tcPr>
            <w:tcW w:type="dxa" w:w="2835"/>
            <w:shd w:val="clear" w:fill="F2F6FA"/>
          </w:tcPr>
          <w:p>
            <w:pPr>
              <w:spacing w:before="40" w:after="40"/>
            </w:pPr>
            <w:r>
              <w:rPr>
                <w:rFonts w:ascii="Calibri" w:hAnsi="Calibri"/>
                <w:b w:val="0"/>
                <w:i w:val="0"/>
                <w:color w:val="333333"/>
                <w:sz w:val="17"/>
              </w:rPr>
              <w:t>Supports de formation et fiches de poche</w:t>
            </w:r>
          </w:p>
        </w:tc>
        <w:tc>
          <w:tcPr>
            <w:tcW w:type="dxa" w:w="2835"/>
            <w:shd w:val="clear" w:fill="F2F6FA"/>
          </w:tcPr>
          <w:p>
            <w:pPr>
              <w:spacing w:before="40" w:after="40"/>
            </w:pPr>
            <w:r>
              <w:rPr>
                <w:rFonts w:ascii="Calibri" w:hAnsi="Calibri"/>
                <w:b w:val="0"/>
                <w:i w:val="0"/>
                <w:color w:val="333333"/>
                <w:sz w:val="17"/>
              </w:rPr>
              <w:t>Document + impression</w:t>
            </w:r>
          </w:p>
        </w:tc>
        <w:tc>
          <w:tcPr>
            <w:tcW w:type="dxa" w:w="2835"/>
            <w:shd w:val="clear" w:fill="F2F6FA"/>
          </w:tcPr>
          <w:p>
            <w:pPr>
              <w:spacing w:before="40" w:after="40"/>
            </w:pPr>
            <w:r>
              <w:rPr>
                <w:rFonts w:ascii="Calibri" w:hAnsi="Calibri"/>
                <w:b w:val="0"/>
                <w:i w:val="0"/>
                <w:color w:val="333333"/>
                <w:sz w:val="17"/>
              </w:rPr>
              <w:t>14 sept.</w:t>
            </w:r>
          </w:p>
        </w:tc>
      </w:tr>
      <w:tr>
        <w:tc>
          <w:tcPr>
            <w:tcW w:type="dxa" w:w="907"/>
          </w:tcPr>
          <w:p>
            <w:pPr>
              <w:spacing w:before="40" w:after="40"/>
            </w:pPr>
            <w:r>
              <w:rPr>
                <w:rFonts w:ascii="Calibri" w:hAnsi="Calibri"/>
                <w:b w:val="0"/>
                <w:i w:val="0"/>
                <w:color w:val="333333"/>
                <w:sz w:val="17"/>
              </w:rPr>
              <w:t>L11</w:t>
            </w:r>
          </w:p>
        </w:tc>
        <w:tc>
          <w:tcPr>
            <w:tcW w:type="dxa" w:w="2835"/>
          </w:tcPr>
          <w:p>
            <w:pPr>
              <w:spacing w:before="40" w:after="40"/>
            </w:pPr>
            <w:r>
              <w:rPr>
                <w:rFonts w:ascii="Calibri" w:hAnsi="Calibri"/>
                <w:b w:val="0"/>
                <w:i w:val="0"/>
                <w:color w:val="333333"/>
                <w:sz w:val="17"/>
              </w:rPr>
              <w:t>Procédures d'exploitation (sauvegarde, incident, support)</w:t>
            </w:r>
          </w:p>
        </w:tc>
        <w:tc>
          <w:tcPr>
            <w:tcW w:type="dxa" w:w="2835"/>
          </w:tcPr>
          <w:p>
            <w:pPr>
              <w:spacing w:before="40" w:after="40"/>
            </w:pPr>
            <w:r>
              <w:rPr>
                <w:rFonts w:ascii="Calibri" w:hAnsi="Calibri"/>
                <w:b w:val="0"/>
                <w:i w:val="0"/>
                <w:color w:val="333333"/>
                <w:sz w:val="17"/>
              </w:rPr>
              <w:t>Document</w:t>
            </w:r>
          </w:p>
        </w:tc>
        <w:tc>
          <w:tcPr>
            <w:tcW w:type="dxa" w:w="2835"/>
          </w:tcPr>
          <w:p>
            <w:pPr>
              <w:spacing w:before="40" w:after="40"/>
            </w:pPr>
            <w:r>
              <w:rPr>
                <w:rFonts w:ascii="Calibri" w:hAnsi="Calibri"/>
                <w:b w:val="0"/>
                <w:i w:val="0"/>
                <w:color w:val="333333"/>
                <w:sz w:val="17"/>
              </w:rPr>
              <w:t>27 sept.</w:t>
            </w:r>
          </w:p>
        </w:tc>
      </w:tr>
      <w:tr>
        <w:tc>
          <w:tcPr>
            <w:tcW w:type="dxa" w:w="907"/>
            <w:shd w:val="clear" w:fill="F2F6FA"/>
          </w:tcPr>
          <w:p>
            <w:pPr>
              <w:spacing w:before="40" w:after="40"/>
            </w:pPr>
            <w:r>
              <w:rPr>
                <w:rFonts w:ascii="Calibri" w:hAnsi="Calibri"/>
                <w:b w:val="0"/>
                <w:i w:val="0"/>
                <w:color w:val="333333"/>
                <w:sz w:val="17"/>
              </w:rPr>
              <w:t>L12</w:t>
            </w:r>
          </w:p>
        </w:tc>
        <w:tc>
          <w:tcPr>
            <w:tcW w:type="dxa" w:w="2835"/>
            <w:shd w:val="clear" w:fill="F2F6FA"/>
          </w:tcPr>
          <w:p>
            <w:pPr>
              <w:spacing w:before="40" w:after="40"/>
            </w:pPr>
            <w:r>
              <w:rPr>
                <w:rFonts w:ascii="Calibri" w:hAnsi="Calibri"/>
                <w:b w:val="0"/>
                <w:i w:val="0"/>
                <w:color w:val="333333"/>
                <w:sz w:val="17"/>
              </w:rPr>
              <w:t>Rapport de bilan du pilote</w:t>
            </w:r>
          </w:p>
        </w:tc>
        <w:tc>
          <w:tcPr>
            <w:tcW w:type="dxa" w:w="2835"/>
            <w:shd w:val="clear" w:fill="F2F6FA"/>
          </w:tcPr>
          <w:p>
            <w:pPr>
              <w:spacing w:before="40" w:after="40"/>
            </w:pPr>
            <w:r>
              <w:rPr>
                <w:rFonts w:ascii="Calibri" w:hAnsi="Calibri"/>
                <w:b w:val="0"/>
                <w:i w:val="0"/>
                <w:color w:val="333333"/>
                <w:sz w:val="17"/>
              </w:rPr>
              <w:t>Document</w:t>
            </w:r>
          </w:p>
        </w:tc>
        <w:tc>
          <w:tcPr>
            <w:tcW w:type="dxa" w:w="2835"/>
            <w:shd w:val="clear" w:fill="F2F6FA"/>
          </w:tcPr>
          <w:p>
            <w:pPr>
              <w:spacing w:before="40" w:after="40"/>
            </w:pPr>
            <w:r>
              <w:rPr>
                <w:rFonts w:ascii="Calibri" w:hAnsi="Calibri"/>
                <w:b w:val="0"/>
                <w:i w:val="0"/>
                <w:color w:val="333333"/>
                <w:sz w:val="17"/>
              </w:rPr>
              <w:t>26 oct.</w:t>
            </w:r>
          </w:p>
        </w:tc>
      </w:tr>
      <w:tr>
        <w:tc>
          <w:tcPr>
            <w:tcW w:type="dxa" w:w="907"/>
          </w:tcPr>
          <w:p>
            <w:pPr>
              <w:spacing w:before="40" w:after="40"/>
            </w:pPr>
            <w:r>
              <w:rPr>
                <w:rFonts w:ascii="Calibri" w:hAnsi="Calibri"/>
                <w:b w:val="0"/>
                <w:i w:val="0"/>
                <w:color w:val="333333"/>
                <w:sz w:val="17"/>
              </w:rPr>
              <w:t>L13</w:t>
            </w:r>
          </w:p>
        </w:tc>
        <w:tc>
          <w:tcPr>
            <w:tcW w:type="dxa" w:w="2835"/>
          </w:tcPr>
          <w:p>
            <w:pPr>
              <w:spacing w:before="40" w:after="40"/>
            </w:pPr>
            <w:r>
              <w:rPr>
                <w:rFonts w:ascii="Calibri" w:hAnsi="Calibri"/>
                <w:b w:val="0"/>
                <w:i w:val="0"/>
                <w:color w:val="333333"/>
                <w:sz w:val="17"/>
              </w:rPr>
              <w:t>Dossier de transfert en production</w:t>
            </w:r>
          </w:p>
        </w:tc>
        <w:tc>
          <w:tcPr>
            <w:tcW w:type="dxa" w:w="2835"/>
          </w:tcPr>
          <w:p>
            <w:pPr>
              <w:spacing w:before="40" w:after="40"/>
            </w:pPr>
            <w:r>
              <w:rPr>
                <w:rFonts w:ascii="Calibri" w:hAnsi="Calibri"/>
                <w:b w:val="0"/>
                <w:i w:val="0"/>
                <w:color w:val="333333"/>
                <w:sz w:val="17"/>
              </w:rPr>
              <w:t>Document</w:t>
            </w:r>
          </w:p>
        </w:tc>
        <w:tc>
          <w:tcPr>
            <w:tcW w:type="dxa" w:w="2835"/>
          </w:tcPr>
          <w:p>
            <w:pPr>
              <w:spacing w:before="40" w:after="40"/>
            </w:pPr>
            <w:r>
              <w:rPr>
                <w:rFonts w:ascii="Calibri" w:hAnsi="Calibri"/>
                <w:b w:val="0"/>
                <w:i w:val="0"/>
                <w:color w:val="333333"/>
                <w:sz w:val="17"/>
              </w:rPr>
              <w:t>Nov.</w:t>
            </w:r>
          </w:p>
        </w:tc>
      </w:tr>
    </w:tbl>
    <w:p>
      <w:pPr>
        <w:spacing w:after="40"/>
      </w:pPr>
    </w:p>
    <w:p>
      <w:pPr>
        <w:pStyle w:val="Heading1"/>
        <w:pageBreakBefore/>
        <w:spacing w:before="360" w:after="80"/>
        <w:keepNext/>
        <w:pBdr>
          <w:bottom w:val="single" w:sz="8" w:space="6" w:color="1B3A5C"/>
        </w:pBdr>
      </w:pPr>
      <w:bookmarkStart w:id="124" w:name="_Toc_s023"/>
      <w:r>
        <w:rPr>
          <w:rFonts w:ascii="Calibri" w:hAnsi="Calibri"/>
          <w:b/>
          <w:color w:val="1B3A5C"/>
          <w:sz w:val="30"/>
        </w:rPr>
        <w:t>10. Modèle de support</w:t>
      </w:r>
      <w:bookmarkEnd w:id="12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Phase</w:t>
            </w:r>
          </w:p>
        </w:tc>
        <w:tc>
          <w:tcPr>
            <w:tcW w:type="dxa" w:w="3249"/>
            <w:shd w:val="clear" w:fill="1B3A5C"/>
          </w:tcPr>
          <w:p>
            <w:pPr>
              <w:spacing w:before="60" w:after="60"/>
            </w:pPr>
            <w:r>
              <w:rPr>
                <w:rFonts w:ascii="Calibri" w:hAnsi="Calibri"/>
                <w:b/>
                <w:color w:val="FFFFFF"/>
                <w:sz w:val="17"/>
              </w:rPr>
              <w:t>Couverture</w:t>
            </w:r>
          </w:p>
        </w:tc>
        <w:tc>
          <w:tcPr>
            <w:tcW w:type="dxa" w:w="3249"/>
            <w:shd w:val="clear" w:fill="1B3A5C"/>
          </w:tcPr>
          <w:p>
            <w:pPr>
              <w:spacing w:before="60" w:after="60"/>
            </w:pPr>
            <w:r>
              <w:rPr>
                <w:rFonts w:ascii="Calibri" w:hAnsi="Calibri"/>
                <w:b/>
                <w:color w:val="FFFFFF"/>
                <w:sz w:val="17"/>
              </w:rPr>
              <w:t>Objectif de réponse</w:t>
            </w:r>
          </w:p>
        </w:tc>
      </w:tr>
      <w:tr>
        <w:tc>
          <w:tcPr>
            <w:tcW w:type="dxa" w:w="3249"/>
          </w:tcPr>
          <w:p>
            <w:pPr>
              <w:spacing w:before="40" w:after="40"/>
            </w:pPr>
            <w:r>
              <w:rPr>
                <w:rFonts w:ascii="Calibri" w:hAnsi="Calibri"/>
                <w:b/>
                <w:i w:val="0"/>
                <w:color w:val="333333"/>
                <w:sz w:val="17"/>
              </w:rPr>
              <w:t>Pilote, première semaine (29 sept. – 5 oct.)</w:t>
            </w:r>
          </w:p>
        </w:tc>
        <w:tc>
          <w:tcPr>
            <w:tcW w:type="dxa" w:w="3249"/>
          </w:tcPr>
          <w:p>
            <w:pPr>
              <w:spacing w:before="40" w:after="40"/>
            </w:pPr>
            <w:r>
              <w:rPr>
                <w:rFonts w:ascii="Calibri" w:hAnsi="Calibri"/>
                <w:b w:val="0"/>
                <w:i w:val="0"/>
                <w:color w:val="333333"/>
                <w:sz w:val="17"/>
              </w:rPr>
              <w:t>Renforcée, avec présence possible sur le terrain</w:t>
            </w:r>
          </w:p>
        </w:tc>
        <w:tc>
          <w:tcPr>
            <w:tcW w:type="dxa" w:w="3249"/>
          </w:tcPr>
          <w:p>
            <w:pPr>
              <w:spacing w:before="40" w:after="40"/>
            </w:pPr>
            <w:r>
              <w:rPr>
                <w:rFonts w:ascii="Calibri" w:hAnsi="Calibri"/>
                <w:b w:val="0"/>
                <w:i w:val="0"/>
                <w:color w:val="333333"/>
                <w:sz w:val="17"/>
              </w:rPr>
              <w:t>Critique : immédiat · Élevée : 2 h</w:t>
            </w:r>
          </w:p>
        </w:tc>
      </w:tr>
      <w:tr>
        <w:tc>
          <w:tcPr>
            <w:tcW w:type="dxa" w:w="3249"/>
            <w:shd w:val="clear" w:fill="F2F6FA"/>
          </w:tcPr>
          <w:p>
            <w:pPr>
              <w:spacing w:before="40" w:after="40"/>
            </w:pPr>
            <w:r>
              <w:rPr>
                <w:rFonts w:ascii="Calibri" w:hAnsi="Calibri"/>
                <w:b/>
                <w:i w:val="0"/>
                <w:color w:val="333333"/>
                <w:sz w:val="17"/>
              </w:rPr>
              <w:t>Pilote, reste d'octobre</w:t>
            </w:r>
          </w:p>
        </w:tc>
        <w:tc>
          <w:tcPr>
            <w:tcW w:type="dxa" w:w="3249"/>
            <w:shd w:val="clear" w:fill="F2F6FA"/>
          </w:tcPr>
          <w:p>
            <w:pPr>
              <w:spacing w:before="40" w:after="40"/>
            </w:pPr>
            <w:r>
              <w:rPr>
                <w:rFonts w:ascii="Calibri" w:hAnsi="Calibri"/>
                <w:b w:val="0"/>
                <w:i w:val="0"/>
                <w:color w:val="333333"/>
                <w:sz w:val="17"/>
              </w:rPr>
              <w:t>Heures ouvrées, canal dédié</w:t>
            </w:r>
          </w:p>
        </w:tc>
        <w:tc>
          <w:tcPr>
            <w:tcW w:type="dxa" w:w="3249"/>
            <w:shd w:val="clear" w:fill="F2F6FA"/>
          </w:tcPr>
          <w:p>
            <w:pPr>
              <w:spacing w:before="40" w:after="40"/>
            </w:pPr>
            <w:r>
              <w:rPr>
                <w:rFonts w:ascii="Calibri" w:hAnsi="Calibri"/>
                <w:b w:val="0"/>
                <w:i w:val="0"/>
                <w:color w:val="333333"/>
                <w:sz w:val="17"/>
              </w:rPr>
              <w:t>Critique : 2 h · Élevée : 4 h · Moyenne : 1 jour ouvré</w:t>
            </w:r>
          </w:p>
        </w:tc>
      </w:tr>
      <w:tr>
        <w:tc>
          <w:tcPr>
            <w:tcW w:type="dxa" w:w="3249"/>
          </w:tcPr>
          <w:p>
            <w:pPr>
              <w:spacing w:before="40" w:after="40"/>
            </w:pPr>
            <w:r>
              <w:rPr>
                <w:rFonts w:ascii="Calibri" w:hAnsi="Calibri"/>
                <w:b/>
                <w:i w:val="0"/>
                <w:color w:val="333333"/>
                <w:sz w:val="17"/>
              </w:rPr>
              <w:t>Lancement production, deux premières semaines</w:t>
            </w:r>
          </w:p>
        </w:tc>
        <w:tc>
          <w:tcPr>
            <w:tcW w:type="dxa" w:w="3249"/>
          </w:tcPr>
          <w:p>
            <w:pPr>
              <w:spacing w:before="40" w:after="40"/>
            </w:pPr>
            <w:r>
              <w:rPr>
                <w:rFonts w:ascii="Calibri" w:hAnsi="Calibri"/>
                <w:b w:val="0"/>
                <w:i w:val="0"/>
                <w:color w:val="333333"/>
                <w:sz w:val="17"/>
              </w:rPr>
              <w:t>Renforcée</w:t>
            </w:r>
          </w:p>
        </w:tc>
        <w:tc>
          <w:tcPr>
            <w:tcW w:type="dxa" w:w="3249"/>
          </w:tcPr>
          <w:p>
            <w:pPr>
              <w:spacing w:before="40" w:after="40"/>
            </w:pPr>
            <w:r>
              <w:rPr>
                <w:rFonts w:ascii="Calibri" w:hAnsi="Calibri"/>
                <w:b w:val="0"/>
                <w:i w:val="0"/>
                <w:color w:val="333333"/>
                <w:sz w:val="17"/>
              </w:rPr>
              <w:t>Critique : 1 h · Élevée : 4 h</w:t>
            </w:r>
          </w:p>
        </w:tc>
      </w:tr>
      <w:tr>
        <w:tc>
          <w:tcPr>
            <w:tcW w:type="dxa" w:w="3249"/>
            <w:shd w:val="clear" w:fill="F2F6FA"/>
          </w:tcPr>
          <w:p>
            <w:pPr>
              <w:spacing w:before="40" w:after="40"/>
            </w:pPr>
            <w:r>
              <w:rPr>
                <w:rFonts w:ascii="Calibri" w:hAnsi="Calibri"/>
                <w:b/>
                <w:i w:val="0"/>
                <w:color w:val="333333"/>
                <w:sz w:val="17"/>
              </w:rPr>
              <w:t>Production standard</w:t>
            </w:r>
          </w:p>
        </w:tc>
        <w:tc>
          <w:tcPr>
            <w:tcW w:type="dxa" w:w="3249"/>
            <w:shd w:val="clear" w:fill="F2F6FA"/>
          </w:tcPr>
          <w:p>
            <w:pPr>
              <w:spacing w:before="40" w:after="40"/>
            </w:pPr>
            <w:r>
              <w:rPr>
                <w:rFonts w:ascii="Calibri" w:hAnsi="Calibri"/>
                <w:b w:val="0"/>
                <w:i w:val="0"/>
                <w:color w:val="333333"/>
                <w:sz w:val="17"/>
              </w:rPr>
              <w:t>Heures ouvrées + astreinte pour le critique</w:t>
            </w:r>
          </w:p>
        </w:tc>
        <w:tc>
          <w:tcPr>
            <w:tcW w:type="dxa" w:w="3249"/>
            <w:shd w:val="clear" w:fill="F2F6FA"/>
          </w:tcPr>
          <w:p>
            <w:pPr>
              <w:spacing w:before="40" w:after="40"/>
            </w:pPr>
            <w:r>
              <w:rPr>
                <w:rFonts w:ascii="Calibri" w:hAnsi="Calibri"/>
                <w:b w:val="0"/>
                <w:i w:val="0"/>
                <w:color w:val="333333"/>
                <w:sz w:val="17"/>
              </w:rPr>
              <w:t>Critique : 2 h · Élevée : 1 jour ouvré · Moyenne : 3 jours ouvrés</w:t>
            </w:r>
          </w:p>
        </w:tc>
      </w:tr>
    </w:tbl>
    <w:p>
      <w:pPr>
        <w:spacing w:after="40"/>
      </w:pP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Gravité</w:t>
            </w:r>
          </w:p>
        </w:tc>
        <w:tc>
          <w:tcPr>
            <w:tcW w:type="dxa" w:w="4873"/>
            <w:shd w:val="clear" w:fill="1B3A5C"/>
          </w:tcPr>
          <w:p>
            <w:pPr>
              <w:spacing w:before="60" w:after="60"/>
            </w:pPr>
            <w:r>
              <w:rPr>
                <w:rFonts w:ascii="Calibri" w:hAnsi="Calibri"/>
                <w:b/>
                <w:color w:val="FFFFFF"/>
                <w:sz w:val="17"/>
              </w:rPr>
              <w:t>Définition</w:t>
            </w:r>
          </w:p>
        </w:tc>
      </w:tr>
      <w:tr>
        <w:tc>
          <w:tcPr>
            <w:tcW w:type="dxa" w:w="4873"/>
          </w:tcPr>
          <w:p>
            <w:pPr>
              <w:spacing w:before="40" w:after="40"/>
            </w:pPr>
            <w:r>
              <w:rPr>
                <w:rFonts w:ascii="Calibri" w:hAnsi="Calibri"/>
                <w:b/>
                <w:i w:val="0"/>
                <w:color w:val="333333"/>
                <w:sz w:val="17"/>
              </w:rPr>
              <w:t>Critique</w:t>
            </w:r>
          </w:p>
        </w:tc>
        <w:tc>
          <w:tcPr>
            <w:tcW w:type="dxa" w:w="4873"/>
          </w:tcPr>
          <w:p>
            <w:pPr>
              <w:spacing w:before="40" w:after="40"/>
            </w:pPr>
            <w:r>
              <w:rPr>
                <w:rFonts w:ascii="Calibri" w:hAnsi="Calibri"/>
                <w:b w:val="0"/>
                <w:i w:val="0"/>
                <w:color w:val="333333"/>
                <w:sz w:val="17"/>
              </w:rPr>
              <w:t>Encaissement terrain impossible, ou perte de données</w:t>
            </w:r>
          </w:p>
        </w:tc>
      </w:tr>
      <w:tr>
        <w:tc>
          <w:tcPr>
            <w:tcW w:type="dxa" w:w="4873"/>
            <w:shd w:val="clear" w:fill="F2F6FA"/>
          </w:tcPr>
          <w:p>
            <w:pPr>
              <w:spacing w:before="40" w:after="40"/>
            </w:pPr>
            <w:r>
              <w:rPr>
                <w:rFonts w:ascii="Calibri" w:hAnsi="Calibri"/>
                <w:b/>
                <w:i w:val="0"/>
                <w:color w:val="333333"/>
                <w:sz w:val="17"/>
              </w:rPr>
              <w:t>Élevée</w:t>
            </w:r>
          </w:p>
        </w:tc>
        <w:tc>
          <w:tcPr>
            <w:tcW w:type="dxa" w:w="4873"/>
            <w:shd w:val="clear" w:fill="F2F6FA"/>
          </w:tcPr>
          <w:p>
            <w:pPr>
              <w:spacing w:before="40" w:after="40"/>
            </w:pPr>
            <w:r>
              <w:rPr>
                <w:rFonts w:ascii="Calibri" w:hAnsi="Calibri"/>
                <w:b w:val="0"/>
                <w:i w:val="0"/>
                <w:color w:val="333333"/>
                <w:sz w:val="17"/>
              </w:rPr>
              <w:t>Une fonction majeure indisponible sans contournement</w:t>
            </w:r>
          </w:p>
        </w:tc>
      </w:tr>
      <w:tr>
        <w:tc>
          <w:tcPr>
            <w:tcW w:type="dxa" w:w="4873"/>
          </w:tcPr>
          <w:p>
            <w:pPr>
              <w:spacing w:before="40" w:after="40"/>
            </w:pPr>
            <w:r>
              <w:rPr>
                <w:rFonts w:ascii="Calibri" w:hAnsi="Calibri"/>
                <w:b/>
                <w:i w:val="0"/>
                <w:color w:val="333333"/>
                <w:sz w:val="17"/>
              </w:rPr>
              <w:t>Moyenne</w:t>
            </w:r>
          </w:p>
        </w:tc>
        <w:tc>
          <w:tcPr>
            <w:tcW w:type="dxa" w:w="4873"/>
          </w:tcPr>
          <w:p>
            <w:pPr>
              <w:spacing w:before="40" w:after="40"/>
            </w:pPr>
            <w:r>
              <w:rPr>
                <w:rFonts w:ascii="Calibri" w:hAnsi="Calibri"/>
                <w:b w:val="0"/>
                <w:i w:val="0"/>
                <w:color w:val="333333"/>
                <w:sz w:val="17"/>
              </w:rPr>
              <w:t>Fonction dégradée, contournement existant</w:t>
            </w:r>
          </w:p>
        </w:tc>
      </w:tr>
      <w:tr>
        <w:tc>
          <w:tcPr>
            <w:tcW w:type="dxa" w:w="4873"/>
            <w:shd w:val="clear" w:fill="F2F6FA"/>
          </w:tcPr>
          <w:p>
            <w:pPr>
              <w:spacing w:before="40" w:after="40"/>
            </w:pPr>
            <w:r>
              <w:rPr>
                <w:rFonts w:ascii="Calibri" w:hAnsi="Calibri"/>
                <w:b/>
                <w:i w:val="0"/>
                <w:color w:val="333333"/>
                <w:sz w:val="17"/>
              </w:rPr>
              <w:t>Faible</w:t>
            </w:r>
          </w:p>
        </w:tc>
        <w:tc>
          <w:tcPr>
            <w:tcW w:type="dxa" w:w="4873"/>
            <w:shd w:val="clear" w:fill="F2F6FA"/>
          </w:tcPr>
          <w:p>
            <w:pPr>
              <w:spacing w:before="40" w:after="40"/>
            </w:pPr>
            <w:r>
              <w:rPr>
                <w:rFonts w:ascii="Calibri" w:hAnsi="Calibri"/>
                <w:b w:val="0"/>
                <w:i w:val="0"/>
                <w:color w:val="333333"/>
                <w:sz w:val="17"/>
              </w:rPr>
              <w:t>Cosmétique ou demande d'amélioration</w:t>
            </w:r>
          </w:p>
        </w:tc>
      </w:tr>
    </w:tbl>
    <w:p>
      <w:pPr>
        <w:spacing w:after="40"/>
      </w:pPr>
    </w:p>
    <w:p>
      <w:r>
        <w:rPr>
          <w:rFonts w:ascii="Calibri" w:hAnsi="Calibri"/>
          <w:b/>
          <w:i w:val="0"/>
          <w:color w:val="333333"/>
          <w:sz w:val="20"/>
        </w:rPr>
        <w:t>Escalade :</w:t>
      </w:r>
      <w:r>
        <w:rPr>
          <w:rFonts w:ascii="Calibri" w:hAnsi="Calibri"/>
          <w:b w:val="0"/>
          <w:i w:val="0"/>
          <w:color w:val="333333"/>
          <w:sz w:val="20"/>
        </w:rPr>
        <w:t xml:space="preserve"> niveau 1 support interne SUNU (administrateur formé) → niveau 2 technique DBS → niveau 3 direction de projet des deux côtés. Contacts publiés et affichés avant M3.</w:t>
      </w:r>
    </w:p>
    <w:p>
      <w:pPr>
        <w:pStyle w:val="Heading1"/>
        <w:pageBreakBefore/>
        <w:spacing w:before="360" w:after="80"/>
        <w:keepNext/>
        <w:pBdr>
          <w:bottom w:val="single" w:sz="8" w:space="6" w:color="1B3A5C"/>
        </w:pBdr>
      </w:pPr>
      <w:bookmarkStart w:id="125" w:name="_Toc_s024"/>
      <w:r>
        <w:rPr>
          <w:rFonts w:ascii="Calibri" w:hAnsi="Calibri"/>
          <w:b/>
          <w:color w:val="1B3A5C"/>
          <w:sz w:val="30"/>
        </w:rPr>
        <w:t>11. Retour arrière</w:t>
      </w:r>
      <w:bookmarkEnd w:id="12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Situation</w:t>
            </w:r>
          </w:p>
        </w:tc>
        <w:tc>
          <w:tcPr>
            <w:tcW w:type="dxa" w:w="4873"/>
            <w:shd w:val="clear" w:fill="1B3A5C"/>
          </w:tcPr>
          <w:p>
            <w:pPr>
              <w:spacing w:before="60" w:after="60"/>
            </w:pPr>
            <w:r>
              <w:rPr>
                <w:rFonts w:ascii="Calibri" w:hAnsi="Calibri"/>
                <w:b/>
                <w:color w:val="FFFFFF"/>
                <w:sz w:val="17"/>
              </w:rPr>
              <w:t>Action</w:t>
            </w:r>
          </w:p>
        </w:tc>
      </w:tr>
      <w:tr>
        <w:tc>
          <w:tcPr>
            <w:tcW w:type="dxa" w:w="4873"/>
          </w:tcPr>
          <w:p>
            <w:pPr>
              <w:spacing w:before="40" w:after="40"/>
            </w:pPr>
            <w:r>
              <w:rPr>
                <w:rFonts w:ascii="Calibri" w:hAnsi="Calibri"/>
                <w:b w:val="0"/>
                <w:i w:val="0"/>
                <w:color w:val="333333"/>
                <w:sz w:val="17"/>
              </w:rPr>
              <w:t>Une livraison introduit une anomalie bloquante</w:t>
            </w:r>
          </w:p>
        </w:tc>
        <w:tc>
          <w:tcPr>
            <w:tcW w:type="dxa" w:w="4873"/>
          </w:tcPr>
          <w:p>
            <w:pPr>
              <w:spacing w:before="40" w:after="40"/>
            </w:pPr>
            <w:r>
              <w:rPr>
                <w:rFonts w:ascii="Calibri" w:hAnsi="Calibri"/>
                <w:b w:val="0"/>
                <w:i w:val="0"/>
                <w:color w:val="333333"/>
                <w:sz w:val="17"/>
              </w:rPr>
              <w:t>Retour à la version précédente, documenté par livraison ; les encaissements déjà enregistrés ne sont pas affectés — le registre est en ajout seul</w:t>
            </w:r>
          </w:p>
        </w:tc>
      </w:tr>
      <w:tr>
        <w:tc>
          <w:tcPr>
            <w:tcW w:type="dxa" w:w="4873"/>
            <w:shd w:val="clear" w:fill="F2F6FA"/>
          </w:tcPr>
          <w:p>
            <w:pPr>
              <w:spacing w:before="40" w:after="40"/>
            </w:pPr>
            <w:r>
              <w:rPr>
                <w:rFonts w:ascii="Calibri" w:hAnsi="Calibri"/>
                <w:b w:val="0"/>
                <w:i w:val="0"/>
                <w:color w:val="333333"/>
                <w:sz w:val="17"/>
              </w:rPr>
              <w:t>Le pilote ne peut pas fonctionner du tout</w:t>
            </w:r>
          </w:p>
        </w:tc>
        <w:tc>
          <w:tcPr>
            <w:tcW w:type="dxa" w:w="4873"/>
            <w:shd w:val="clear" w:fill="F2F6FA"/>
          </w:tcPr>
          <w:p>
            <w:pPr>
              <w:spacing w:before="40" w:after="40"/>
            </w:pPr>
            <w:r>
              <w:rPr>
                <w:rFonts w:ascii="Calibri" w:hAnsi="Calibri"/>
                <w:b w:val="0"/>
                <w:i w:val="0"/>
                <w:color w:val="333333"/>
                <w:sz w:val="17"/>
              </w:rPr>
              <w:t>Les collecteurs reviennent aux carnets de reçus pour la zone concernée ; les encaissements saisis sur les terminaux sont récupérés et rapprochés ; le pilote est relancé après correction</w:t>
            </w:r>
          </w:p>
        </w:tc>
      </w:tr>
      <w:tr>
        <w:tc>
          <w:tcPr>
            <w:tcW w:type="dxa" w:w="4873"/>
          </w:tcPr>
          <w:p>
            <w:pPr>
              <w:spacing w:before="40" w:after="40"/>
            </w:pPr>
            <w:r>
              <w:rPr>
                <w:rFonts w:ascii="Calibri" w:hAnsi="Calibri"/>
                <w:b w:val="0"/>
                <w:i w:val="0"/>
                <w:color w:val="333333"/>
                <w:sz w:val="17"/>
              </w:rPr>
              <w:t>Un terminal tombe en panne</w:t>
            </w:r>
          </w:p>
        </w:tc>
        <w:tc>
          <w:tcPr>
            <w:tcW w:type="dxa" w:w="4873"/>
          </w:tcPr>
          <w:p>
            <w:pPr>
              <w:spacing w:before="40" w:after="40"/>
            </w:pPr>
            <w:r>
              <w:rPr>
                <w:rFonts w:ascii="Calibri" w:hAnsi="Calibri"/>
                <w:b w:val="0"/>
                <w:i w:val="0"/>
                <w:color w:val="333333"/>
                <w:sz w:val="17"/>
              </w:rPr>
              <w:t>Réaffecter le collecteur à un terminal de secours ; données non synchronisées récupérées depuis l'appareil d'origine</w:t>
            </w:r>
          </w:p>
        </w:tc>
      </w:tr>
      <w:tr>
        <w:tc>
          <w:tcPr>
            <w:tcW w:type="dxa" w:w="4873"/>
            <w:shd w:val="clear" w:fill="F2F6FA"/>
          </w:tcPr>
          <w:p>
            <w:pPr>
              <w:spacing w:before="40" w:after="40"/>
            </w:pPr>
            <w:r>
              <w:rPr>
                <w:rFonts w:ascii="Calibri" w:hAnsi="Calibri"/>
                <w:b w:val="0"/>
                <w:i w:val="0"/>
                <w:color w:val="333333"/>
                <w:sz w:val="17"/>
              </w:rPr>
              <w:t>Corruption de données</w:t>
            </w:r>
          </w:p>
        </w:tc>
        <w:tc>
          <w:tcPr>
            <w:tcW w:type="dxa" w:w="4873"/>
            <w:shd w:val="clear" w:fill="F2F6FA"/>
          </w:tcPr>
          <w:p>
            <w:pPr>
              <w:spacing w:before="40" w:after="40"/>
            </w:pPr>
            <w:r>
              <w:rPr>
                <w:rFonts w:ascii="Calibri" w:hAnsi="Calibri"/>
                <w:b w:val="0"/>
                <w:i w:val="0"/>
                <w:color w:val="333333"/>
                <w:sz w:val="17"/>
              </w:rPr>
              <w:t>Restauration depuis sauvegarde (RPO 15 min, RTO 4 h) ; les encaissements détenus sur les terminaux sont resynchronisés, l'idempotence empêchant toute duplication</w:t>
            </w:r>
          </w:p>
        </w:tc>
      </w:tr>
    </w:tbl>
    <w:p>
      <w:pPr>
        <w:spacing w:after="40"/>
      </w:pPr>
    </w:p>
    <w:p>
      <w:r>
        <w:rPr>
          <w:rFonts w:ascii="Calibri" w:hAnsi="Calibri"/>
          <w:b w:val="0"/>
          <w:i w:val="0"/>
          <w:color w:val="333333"/>
          <w:sz w:val="20"/>
        </w:rPr>
        <w:t>Les données de terrain ne sont jamais perdues par un retour arrière : les encaissements demeurent sur le terminal jusqu'à l'acquittement du serveur, et la contrainte de référence unique rend le renvoi sans danger.</w:t>
      </w:r>
    </w:p>
    <w:p>
      <w:pPr>
        <w:pStyle w:val="Heading1"/>
        <w:pageBreakBefore/>
        <w:spacing w:before="360" w:after="80"/>
        <w:keepNext/>
        <w:pBdr>
          <w:bottom w:val="single" w:sz="8" w:space="6" w:color="1B3A5C"/>
        </w:pBdr>
      </w:pPr>
      <w:bookmarkStart w:id="126" w:name="_Toc_s025"/>
      <w:r>
        <w:rPr>
          <w:rFonts w:ascii="Calibri" w:hAnsi="Calibri"/>
          <w:b/>
          <w:color w:val="1B3A5C"/>
          <w:sz w:val="30"/>
        </w:rPr>
        <w:t>12. Feuille de route post-lancement</w:t>
      </w:r>
      <w:bookmarkEnd w:id="12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Phase</w:t>
            </w:r>
          </w:p>
        </w:tc>
        <w:tc>
          <w:tcPr>
            <w:tcW w:type="dxa" w:w="3249"/>
            <w:shd w:val="clear" w:fill="1B3A5C"/>
          </w:tcPr>
          <w:p>
            <w:pPr>
              <w:spacing w:before="60" w:after="60"/>
            </w:pPr>
            <w:r>
              <w:rPr>
                <w:rFonts w:ascii="Calibri" w:hAnsi="Calibri"/>
                <w:b/>
                <w:color w:val="FFFFFF"/>
                <w:sz w:val="17"/>
              </w:rPr>
              <w:t>Contenu</w:t>
            </w:r>
          </w:p>
        </w:tc>
        <w:tc>
          <w:tcPr>
            <w:tcW w:type="dxa" w:w="3249"/>
            <w:shd w:val="clear" w:fill="1B3A5C"/>
          </w:tcPr>
          <w:p>
            <w:pPr>
              <w:spacing w:before="60" w:after="60"/>
            </w:pPr>
            <w:r>
              <w:rPr>
                <w:rFonts w:ascii="Calibri" w:hAnsi="Calibri"/>
                <w:b/>
                <w:color w:val="FFFFFF"/>
                <w:sz w:val="17"/>
              </w:rPr>
              <w:t>Période indicative</w:t>
            </w:r>
          </w:p>
        </w:tc>
      </w:tr>
      <w:tr>
        <w:tc>
          <w:tcPr>
            <w:tcW w:type="dxa" w:w="3249"/>
          </w:tcPr>
          <w:p>
            <w:pPr>
              <w:spacing w:before="40" w:after="40"/>
            </w:pPr>
            <w:r>
              <w:rPr>
                <w:rFonts w:ascii="Calibri" w:hAnsi="Calibri"/>
                <w:b/>
                <w:i w:val="0"/>
                <w:color w:val="333333"/>
                <w:sz w:val="17"/>
              </w:rPr>
              <w:t>Phase 2</w:t>
            </w:r>
          </w:p>
        </w:tc>
        <w:tc>
          <w:tcPr>
            <w:tcW w:type="dxa" w:w="3249"/>
          </w:tcPr>
          <w:p>
            <w:pPr>
              <w:spacing w:before="40" w:after="40"/>
            </w:pPr>
            <w:r>
              <w:rPr>
                <w:rFonts w:ascii="Calibri" w:hAnsi="Calibri"/>
                <w:b w:val="0"/>
                <w:i w:val="0"/>
                <w:color w:val="333333"/>
                <w:sz w:val="17"/>
              </w:rPr>
              <w:t>Intégration SUNULIFE en écriture — comptabilisation automatique des encaissements (TdR Besoin 4, S5–S7)</w:t>
            </w:r>
          </w:p>
        </w:tc>
        <w:tc>
          <w:tcPr>
            <w:tcW w:type="dxa" w:w="3249"/>
          </w:tcPr>
          <w:p>
            <w:pPr>
              <w:spacing w:before="40" w:after="40"/>
            </w:pPr>
            <w:r>
              <w:rPr>
                <w:rFonts w:ascii="Calibri" w:hAnsi="Calibri"/>
                <w:b w:val="0"/>
                <w:i w:val="0"/>
                <w:color w:val="333333"/>
                <w:sz w:val="17"/>
              </w:rPr>
              <w:t>T4 2026 / T1 2027</w:t>
            </w:r>
          </w:p>
        </w:tc>
      </w:tr>
      <w:tr>
        <w:tc>
          <w:tcPr>
            <w:tcW w:type="dxa" w:w="3249"/>
            <w:shd w:val="clear" w:fill="F2F6FA"/>
          </w:tcPr>
          <w:p>
            <w:pPr>
              <w:spacing w:before="40" w:after="40"/>
            </w:pPr>
            <w:r>
              <w:rPr>
                <w:rFonts w:ascii="Calibri" w:hAnsi="Calibri"/>
                <w:b/>
                <w:i w:val="0"/>
                <w:color w:val="333333"/>
                <w:sz w:val="17"/>
              </w:rPr>
              <w:t>Phase 3</w:t>
            </w:r>
          </w:p>
        </w:tc>
        <w:tc>
          <w:tcPr>
            <w:tcW w:type="dxa" w:w="3249"/>
            <w:shd w:val="clear" w:fill="F2F6FA"/>
          </w:tcPr>
          <w:p>
            <w:pPr>
              <w:spacing w:before="40" w:after="40"/>
            </w:pPr>
            <w:r>
              <w:rPr>
                <w:rFonts w:ascii="Calibri" w:hAnsi="Calibri"/>
                <w:b w:val="0"/>
                <w:i w:val="0"/>
                <w:color w:val="333333"/>
                <w:sz w:val="17"/>
              </w:rPr>
              <w:t>Extension du parc de terminaux au-delà de 15 ; zones supplémentaires</w:t>
            </w:r>
          </w:p>
        </w:tc>
        <w:tc>
          <w:tcPr>
            <w:tcW w:type="dxa" w:w="3249"/>
            <w:shd w:val="clear" w:fill="F2F6FA"/>
          </w:tcPr>
          <w:p>
            <w:pPr>
              <w:spacing w:before="40" w:after="40"/>
            </w:pPr>
            <w:r>
              <w:rPr>
                <w:rFonts w:ascii="Calibri" w:hAnsi="Calibri"/>
                <w:b w:val="0"/>
                <w:i w:val="0"/>
                <w:color w:val="333333"/>
                <w:sz w:val="17"/>
              </w:rPr>
              <w:t>Selon le plan commercial de SUNU</w:t>
            </w:r>
          </w:p>
        </w:tc>
      </w:tr>
      <w:tr>
        <w:tc>
          <w:tcPr>
            <w:tcW w:type="dxa" w:w="3249"/>
          </w:tcPr>
          <w:p>
            <w:pPr>
              <w:spacing w:before="40" w:after="40"/>
            </w:pPr>
            <w:r>
              <w:rPr>
                <w:rFonts w:ascii="Calibri" w:hAnsi="Calibri"/>
                <w:b/>
                <w:i w:val="0"/>
                <w:color w:val="333333"/>
                <w:sz w:val="17"/>
              </w:rPr>
              <w:t>Phase 4</w:t>
            </w:r>
          </w:p>
        </w:tc>
        <w:tc>
          <w:tcPr>
            <w:tcW w:type="dxa" w:w="3249"/>
          </w:tcPr>
          <w:p>
            <w:pPr>
              <w:spacing w:before="40" w:after="40"/>
            </w:pPr>
            <w:r>
              <w:rPr>
                <w:rFonts w:ascii="Calibri" w:hAnsi="Calibri"/>
                <w:b w:val="0"/>
                <w:i w:val="0"/>
                <w:color w:val="333333"/>
                <w:sz w:val="17"/>
              </w:rPr>
              <w:t>Application mobile destinée aux assurés : carte virtuelle, historique des paiements, paiement de prime en libre-service</w:t>
            </w:r>
          </w:p>
        </w:tc>
        <w:tc>
          <w:tcPr>
            <w:tcW w:type="dxa" w:w="3249"/>
          </w:tcPr>
          <w:p>
            <w:pPr>
              <w:spacing w:before="40" w:after="40"/>
            </w:pPr>
            <w:r>
              <w:rPr>
                <w:rFonts w:ascii="Calibri" w:hAnsi="Calibri"/>
                <w:b w:val="0"/>
                <w:i w:val="0"/>
                <w:color w:val="333333"/>
                <w:sz w:val="17"/>
              </w:rPr>
              <w:t>2027</w:t>
            </w:r>
          </w:p>
        </w:tc>
      </w:tr>
      <w:tr>
        <w:tc>
          <w:tcPr>
            <w:tcW w:type="dxa" w:w="3249"/>
            <w:shd w:val="clear" w:fill="F2F6FA"/>
          </w:tcPr>
          <w:p>
            <w:pPr>
              <w:spacing w:before="40" w:after="40"/>
            </w:pPr>
            <w:r>
              <w:rPr>
                <w:rFonts w:ascii="Calibri" w:hAnsi="Calibri"/>
                <w:b/>
                <w:i w:val="0"/>
                <w:color w:val="333333"/>
                <w:sz w:val="17"/>
              </w:rPr>
              <w:t>Phase 5</w:t>
            </w:r>
          </w:p>
        </w:tc>
        <w:tc>
          <w:tcPr>
            <w:tcW w:type="dxa" w:w="3249"/>
            <w:shd w:val="clear" w:fill="F2F6FA"/>
          </w:tcPr>
          <w:p>
            <w:pPr>
              <w:spacing w:before="40" w:after="40"/>
            </w:pPr>
            <w:r>
              <w:rPr>
                <w:rFonts w:ascii="Calibri" w:hAnsi="Calibri"/>
                <w:b w:val="0"/>
                <w:i w:val="0"/>
                <w:color w:val="333333"/>
                <w:sz w:val="17"/>
              </w:rPr>
              <w:t>Produits supplémentaires ; déclaration de sinistre sur le terrain ; dispositifs d'intéressement des collecteurs</w:t>
            </w:r>
          </w:p>
        </w:tc>
        <w:tc>
          <w:tcPr>
            <w:tcW w:type="dxa" w:w="3249"/>
            <w:shd w:val="clear" w:fill="F2F6FA"/>
          </w:tcPr>
          <w:p>
            <w:pPr>
              <w:spacing w:before="40" w:after="40"/>
            </w:pPr>
            <w:r>
              <w:rPr>
                <w:rFonts w:ascii="Calibri" w:hAnsi="Calibri"/>
                <w:b w:val="0"/>
                <w:i w:val="0"/>
                <w:color w:val="333333"/>
                <w:sz w:val="17"/>
              </w:rPr>
              <w:t>2027</w:t>
            </w:r>
          </w:p>
        </w:tc>
      </w:tr>
    </w:tbl>
    <w:p>
      <w:pPr>
        <w:spacing w:after="40"/>
      </w:pPr>
    </w:p>
    <w:p>
      <w:pPr>
        <w:pStyle w:val="Heading1"/>
        <w:pageBreakBefore/>
        <w:spacing w:before="360" w:after="80"/>
        <w:keepNext/>
        <w:pBdr>
          <w:bottom w:val="single" w:sz="8" w:space="6" w:color="1B3A5C"/>
        </w:pBdr>
      </w:pPr>
      <w:bookmarkStart w:id="127" w:name="_Toc_s026"/>
      <w:r>
        <w:rPr>
          <w:rFonts w:ascii="Calibri" w:hAnsi="Calibri"/>
          <w:b/>
          <w:color w:val="1B3A5C"/>
          <w:sz w:val="30"/>
        </w:rPr>
        <w:t>13. Synthèse — le calendrier en un coup d'œil</w:t>
      </w:r>
      <w:bookmarkEnd w:id="127"/>
    </w:p>
    <w:p>
      <w:pPr>
        <w:spacing w:before="120" w:after="160" w:line="240" w:lineRule="auto"/>
        <w:ind w:left="113"/>
        <w:shd w:val="clear" w:fill="F4F5F2"/>
        <w:pBdr>
          <w:left w:val="single" w:sz="12" w:space="6" w:color="1B3A5C"/>
        </w:pBdr>
      </w:pPr>
      <w:r>
        <w:rPr>
          <w:rFonts w:ascii="Consolas" w:hAnsi="Consolas" w:cs="Consolas"/>
          <w:color w:val="333333"/>
          <w:sz w:val="15"/>
        </w:rPr>
        <w:t>SEPTEMBRE 2026</w:t>
        <w:br/>
      </w:r>
      <w:r>
        <w:rPr>
          <w:rFonts w:ascii="Consolas" w:hAnsi="Consolas" w:cs="Consolas"/>
          <w:color w:val="333333"/>
          <w:sz w:val="15"/>
        </w:rPr>
        <w:t xml:space="preserve"> S1  1–6   ▓▓▓ décisions · achats · environnements · H-1 H-6</w:t>
        <w:br/>
      </w:r>
      <w:r>
        <w:rPr>
          <w:rFonts w:ascii="Consolas" w:hAnsi="Consolas" w:cs="Consolas"/>
          <w:color w:val="333333"/>
          <w:sz w:val="15"/>
        </w:rPr>
        <w:t xml:space="preserve">           ▲ G1 : OP-3, OP-4, OP-5 tranchés · matériel commandé</w:t>
        <w:br/>
      </w:r>
      <w:r>
        <w:rPr>
          <w:rFonts w:ascii="Consolas" w:hAnsi="Consolas" w:cs="Consolas"/>
          <w:color w:val="333333"/>
          <w:sz w:val="15"/>
        </w:rPr>
        <w:t xml:space="preserve"> S2  7–13  ▓▓▓ construction du cœur · export Excel · import phase 0 · H-2 H-3 H-4</w:t>
        <w:br/>
      </w:r>
      <w:r>
        <w:rPr>
          <w:rFonts w:ascii="Consolas" w:hAnsi="Consolas" w:cs="Consolas"/>
          <w:color w:val="333333"/>
          <w:sz w:val="15"/>
        </w:rPr>
        <w:t xml:space="preserve">           ▲ G2 : parcours de bout en bout démontrable</w:t>
        <w:br/>
      </w:r>
      <w:r>
        <w:rPr>
          <w:rFonts w:ascii="Consolas" w:hAnsi="Consolas" w:cs="Consolas"/>
          <w:color w:val="333333"/>
          <w:sz w:val="15"/>
        </w:rPr>
        <w:t xml:space="preserve"> S3 14–20  ▓▓▓ recette · terminaux reçus · FORMATION</w:t>
        <w:br/>
      </w:r>
      <w:r>
        <w:rPr>
          <w:rFonts w:ascii="Consolas" w:hAnsi="Consolas" w:cs="Consolas"/>
          <w:color w:val="333333"/>
          <w:sz w:val="15"/>
        </w:rPr>
        <w:t xml:space="preserve">           ▲ M1 (14) : recette ouverte   ▲ G3 (20) : aucune anomalie bloquante</w:t>
        <w:br/>
      </w:r>
      <w:r>
        <w:rPr>
          <w:rFonts w:ascii="Consolas" w:hAnsi="Consolas" w:cs="Consolas"/>
          <w:color w:val="333333"/>
          <w:sz w:val="15"/>
        </w:rPr>
        <w:t xml:space="preserve"> S4 21–27  ▓▓▓ réception · préparation prod · test de restauration · liste sécurité</w:t>
        <w:br/>
      </w:r>
      <w:r>
        <w:rPr>
          <w:rFonts w:ascii="Consolas" w:hAnsi="Consolas" w:cs="Consolas"/>
          <w:color w:val="333333"/>
          <w:sz w:val="15"/>
        </w:rPr>
        <w:t xml:space="preserve">           ▲ M2 (25) : recette signée    ▲ G4 (27) : GO/NO-GO DU PILOTE</w:t>
        <w:br/>
      </w:r>
      <w:r>
        <w:rPr>
          <w:rFonts w:ascii="Consolas" w:hAnsi="Consolas" w:cs="Consolas"/>
          <w:color w:val="333333"/>
          <w:sz w:val="15"/>
        </w:rPr>
        <w:t xml:space="preserve"> S5 28–30  ▓▓▓ déploiement · lancement maîtrisé</w:t>
        <w:br/>
      </w:r>
      <w:r>
        <w:rPr>
          <w:rFonts w:ascii="Consolas" w:hAnsi="Consolas" w:cs="Consolas"/>
          <w:color w:val="333333"/>
          <w:sz w:val="15"/>
        </w:rPr>
        <w:t xml:space="preserve">           ▲ M3 (30) : ★ PILOTE EN SERVICE — EXIGENCE FERME DE SUNU</w:t>
        <w:br/>
      </w:r>
      <w:r>
        <w:rPr>
          <w:rFonts w:ascii="Consolas" w:hAnsi="Consolas" w:cs="Consolas"/>
          <w:color w:val="333333"/>
          <w:sz w:val="15"/>
        </w:rPr>
        <w:br/>
      </w:r>
      <w:r>
        <w:rPr>
          <w:rFonts w:ascii="Consolas" w:hAnsi="Consolas" w:cs="Consolas"/>
          <w:color w:val="333333"/>
          <w:sz w:val="15"/>
        </w:rPr>
        <w:t>OCTOBRE 2026</w:t>
        <w:br/>
      </w:r>
      <w:r>
        <w:rPr>
          <w:rFonts w:ascii="Consolas" w:hAnsi="Consolas" w:cs="Consolas"/>
          <w:color w:val="333333"/>
          <w:sz w:val="15"/>
        </w:rPr>
        <w:t xml:space="preserve">  1        ▲ M4 : ★ PRÉSENTATION À LA DIRECTION GÉNÉRALE</w:t>
        <w:br/>
      </w:r>
      <w:r>
        <w:rPr>
          <w:rFonts w:ascii="Consolas" w:hAnsi="Consolas" w:cs="Consolas"/>
          <w:color w:val="333333"/>
          <w:sz w:val="15"/>
        </w:rPr>
        <w:t xml:space="preserve">  1–4      accompagnement du pilote · premier rapprochement</w:t>
        <w:br/>
      </w:r>
      <w:r>
        <w:rPr>
          <w:rFonts w:ascii="Consolas" w:hAnsi="Consolas" w:cs="Consolas"/>
          <w:color w:val="333333"/>
          <w:sz w:val="15"/>
        </w:rPr>
        <w:t xml:space="preserve">  5–11     Mobile Money · QR à l'échelle</w:t>
        <w:br/>
      </w:r>
      <w:r>
        <w:rPr>
          <w:rFonts w:ascii="Consolas" w:hAnsi="Consolas" w:cs="Consolas"/>
          <w:color w:val="333333"/>
          <w:sz w:val="15"/>
        </w:rPr>
        <w:t xml:space="preserve"> 12–18     SUNULIFE phase 1 (ou repli) · H-5 H-7 H-8 H-9</w:t>
        <w:br/>
      </w:r>
      <w:r>
        <w:rPr>
          <w:rFonts w:ascii="Consolas" w:hAnsi="Consolas" w:cs="Consolas"/>
          <w:color w:val="333333"/>
          <w:sz w:val="15"/>
        </w:rPr>
        <w:t xml:space="preserve"> 19–25     non-régression · charge · restauration · documentation FR finale</w:t>
        <w:br/>
      </w:r>
      <w:r>
        <w:rPr>
          <w:rFonts w:ascii="Consolas" w:hAnsi="Consolas" w:cs="Consolas"/>
          <w:color w:val="333333"/>
          <w:sz w:val="15"/>
        </w:rPr>
        <w:t xml:space="preserve"> 26–28     bilan du pilote      ▲ M6 (28) : GO/NO-GO DE PRODUCTION</w:t>
        <w:br/>
      </w:r>
      <w:r>
        <w:rPr>
          <w:rFonts w:ascii="Consolas" w:hAnsi="Consolas" w:cs="Consolas"/>
          <w:color w:val="333333"/>
          <w:sz w:val="15"/>
        </w:rPr>
        <w:br/>
      </w:r>
      <w:r>
        <w:rPr>
          <w:rFonts w:ascii="Consolas" w:hAnsi="Consolas" w:cs="Consolas"/>
          <w:color w:val="333333"/>
          <w:sz w:val="15"/>
        </w:rPr>
        <w:t>NOVEMBRE 2026</w:t>
        <w:br/>
      </w:r>
      <w:r>
        <w:rPr>
          <w:rFonts w:ascii="Consolas" w:hAnsi="Consolas" w:cs="Consolas"/>
          <w:color w:val="333333"/>
          <w:sz w:val="15"/>
        </w:rPr>
        <w:t xml:space="preserve">  début    ▲ M7 : ★ LANCEMENT EN PRODUCTION — EXIGENCE FERME DE SUNU</w:t>
        <w:br/>
      </w:r>
      <w:r>
        <w:rPr>
          <w:rFonts w:ascii="Consolas" w:hAnsi="Consolas" w:cs="Consolas"/>
          <w:color w:val="333333"/>
          <w:sz w:val="15"/>
        </w:rPr>
        <w:t xml:space="preserve">  sem. 2–4  stabilisation · supervision · premier rapport mensuel</w:t>
      </w:r>
    </w:p>
    <w:p>
      <w:pPr>
        <w:spacing w:before="40" w:after="120"/>
        <w:pBdr>
          <w:bottom w:val="single" w:sz="6" w:space="6" w:color="D8DEE6"/>
        </w:pBdr>
      </w:pPr>
    </w:p>
    <w:p>
      <w:r>
        <w:rPr>
          <w:rFonts w:ascii="Calibri" w:hAnsi="Calibri"/>
          <w:b w:val="0"/>
          <w:i/>
          <w:color w:val="333333"/>
          <w:sz w:val="20"/>
        </w:rPr>
        <w:t>Fin du Document 4.</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4 · Plan et calendrier de déploiement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 Plan et calendrier de déploiement</dc:title>
  <dc:subject>Plan et calendrier de déploiement</dc:subject>
  <dc:creator>DBS SA — Digital Business Services</dc:creator>
  <cp:keywords/>
  <dc:description>SUNU Assurances Vie Burkina Faso — Confidentiel — SUNU Assurances Vie et DBS SA</dc:description>
  <cp:lastModifiedBy/>
  <cp:revision>1</cp:revision>
  <dcterms:created xsi:type="dcterms:W3CDTF">2013-12-23T23:15:00Z</dcterms:created>
  <dcterms:modified xsi:type="dcterms:W3CDTF">2013-12-23T23:15:00Z</dcterms:modified>
  <cp:category>Solution mobile de collecte de primes sur terminaux TPE</cp:category>
</cp:coreProperties>
</file>