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b/>
          <w:sz w:val="30"/>
        </w:rPr>
        <w:t>Fraudulent Transaction Detection Using DBSCAN-Based Unsupervised Anomaly Detection</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sz w:val="22"/>
        </w:rPr>
        <w:t>M. Vignesh                         Roll No. 2520030065</w:t>
      </w:r>
    </w:p>
    <w:p w14:paraId="4C7EBCFD">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sz w:val="22"/>
        </w:rPr>
        <w:t>V. Karthik                         Roll No. 2520030053</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Mr. Shaik Asif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rPr>
          <w:rFonts w:ascii="Times New Roman" w:hAnsi="Times New Roman"/>
          <w:sz w:val="22"/>
        </w:rP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rPr>
          <w:rFonts w:ascii="Times New Roman" w:hAnsi="Times New Roman"/>
          <w:sz w:val="22"/>
        </w:rP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rPr>
          <w:rFonts w:ascii="Times New Roman" w:hAnsi="Times New Roman"/>
          <w:sz w:val="22"/>
        </w:rP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rFonts w:ascii="Times New Roman" w:hAnsi="Times New Roman"/>
          <w:b/>
          <w:bCs/>
          <w:sz w:val="22"/>
        </w:rPr>
        <w:t>Abstract</w:t>
      </w:r>
    </w:p>
    <w:p w14:paraId="73BE9572">
      <w:pPr>
        <w:tabs>
          <w:tab w:val="right" w:leader="dot" w:pos="8660"/>
        </w:tabs>
        <w:spacing w:before="90" w:after="70"/>
        <w:ind w:right="500"/>
      </w:pPr>
      <w:r>
        <w:rPr>
          <w:rFonts w:ascii="Times New Roman" w:hAnsi="Times New Roman"/>
          <w:b/>
          <w:bCs/>
          <w:sz w:val="22"/>
        </w:rPr>
        <w:t>Introduction</w:t>
      </w:r>
      <w:r>
        <w:rPr>
          <w:rFonts w:ascii="Times New Roman" w:hAnsi="Times New Roman"/>
          <w:sz w:val="22"/>
        </w:rPr>
        <w:tab/>
      </w:r>
    </w:p>
    <w:p w14:paraId="71781E43">
      <w:pPr>
        <w:tabs>
          <w:tab w:val="right" w:leader="dot" w:pos="8660"/>
        </w:tabs>
        <w:spacing w:after="20"/>
        <w:ind w:left="400" w:right="500"/>
      </w:pPr>
      <w:r>
        <w:rPr>
          <w:rFonts w:ascii="Times New Roman" w:hAnsi="Times New Roman"/>
          <w:sz w:val="20"/>
          <w:szCs w:val="20"/>
        </w:rPr>
        <w:t>Background</w:t>
      </w:r>
      <w:r>
        <w:rPr>
          <w:rFonts w:ascii="Times New Roman" w:hAnsi="Times New Roman"/>
          <w:sz w:val="20"/>
          <w:szCs w:val="20"/>
        </w:rPr>
        <w:tab/>
      </w:r>
    </w:p>
    <w:p w14:paraId="282DE741">
      <w:pPr>
        <w:tabs>
          <w:tab w:val="right" w:leader="dot" w:pos="8660"/>
        </w:tabs>
        <w:spacing w:after="20"/>
        <w:ind w:left="400" w:right="500"/>
      </w:pPr>
      <w:r>
        <w:rPr>
          <w:rFonts w:ascii="Times New Roman" w:hAnsi="Times New Roman"/>
          <w:sz w:val="20"/>
          <w:szCs w:val="20"/>
        </w:rPr>
        <w:t>Motivation for the Project</w:t>
      </w:r>
      <w:r>
        <w:rPr>
          <w:rFonts w:ascii="Times New Roman" w:hAnsi="Times New Roman"/>
          <w:sz w:val="20"/>
          <w:szCs w:val="20"/>
        </w:rPr>
        <w:tab/>
      </w:r>
    </w:p>
    <w:p w14:paraId="040D6649">
      <w:pPr>
        <w:tabs>
          <w:tab w:val="right" w:leader="dot" w:pos="8660"/>
        </w:tabs>
        <w:spacing w:after="20"/>
        <w:ind w:left="400" w:right="500"/>
      </w:pPr>
      <w:r>
        <w:rPr>
          <w:rFonts w:ascii="Times New Roman" w:hAnsi="Times New Roman"/>
          <w:sz w:val="20"/>
          <w:szCs w:val="20"/>
        </w:rPr>
        <w:t>Overview of the Work Carried Out</w:t>
      </w:r>
      <w:r>
        <w:rPr>
          <w:rFonts w:ascii="Times New Roman" w:hAnsi="Times New Roman"/>
          <w:sz w:val="20"/>
          <w:szCs w:val="20"/>
        </w:rPr>
        <w:tab/>
      </w:r>
    </w:p>
    <w:p w14:paraId="11199E71">
      <w:pPr>
        <w:tabs>
          <w:tab w:val="right" w:leader="dot" w:pos="8660"/>
        </w:tabs>
        <w:spacing w:after="20"/>
        <w:ind w:left="400" w:right="500"/>
      </w:pPr>
      <w:r>
        <w:rPr>
          <w:rFonts w:ascii="Times New Roman" w:hAnsi="Times New Roman"/>
          <w:sz w:val="20"/>
          <w:szCs w:val="20"/>
        </w:rPr>
        <w:t>Scope and Responsible-Use Statement</w:t>
      </w:r>
      <w:r>
        <w:rPr>
          <w:rFonts w:ascii="Times New Roman" w:hAnsi="Times New Roman"/>
          <w:sz w:val="20"/>
          <w:szCs w:val="20"/>
        </w:rPr>
        <w:tab/>
      </w:r>
    </w:p>
    <w:p w14:paraId="15E19BA1">
      <w:pPr>
        <w:tabs>
          <w:tab w:val="right" w:leader="dot" w:pos="8660"/>
        </w:tabs>
        <w:spacing w:before="90" w:after="70"/>
        <w:ind w:right="500"/>
      </w:pPr>
      <w:r>
        <w:rPr>
          <w:rFonts w:ascii="Times New Roman" w:hAnsi="Times New Roman"/>
          <w:b/>
          <w:bCs/>
          <w:sz w:val="22"/>
        </w:rPr>
        <w:t>Problem Statement</w:t>
      </w:r>
      <w:r>
        <w:rPr>
          <w:rFonts w:ascii="Times New Roman" w:hAnsi="Times New Roman"/>
          <w:sz w:val="22"/>
        </w:rPr>
        <w:tab/>
      </w:r>
    </w:p>
    <w:p w14:paraId="0B1C28AA">
      <w:pPr>
        <w:tabs>
          <w:tab w:val="right" w:leader="dot" w:pos="8660"/>
        </w:tabs>
        <w:spacing w:after="20"/>
        <w:ind w:left="400" w:right="500"/>
      </w:pPr>
      <w:r>
        <w:rPr>
          <w:rFonts w:ascii="Times New Roman" w:hAnsi="Times New Roman"/>
          <w:sz w:val="20"/>
          <w:szCs w:val="20"/>
        </w:rPr>
        <w:t xml:space="preserve"> Case-Study Scenario</w:t>
      </w:r>
      <w:r>
        <w:rPr>
          <w:rFonts w:ascii="Times New Roman" w:hAnsi="Times New Roman"/>
          <w:sz w:val="20"/>
          <w:szCs w:val="20"/>
        </w:rPr>
        <w:tab/>
      </w:r>
    </w:p>
    <w:p w14:paraId="5250A593">
      <w:pPr>
        <w:tabs>
          <w:tab w:val="right" w:leader="dot" w:pos="8660"/>
        </w:tabs>
        <w:spacing w:after="20"/>
        <w:ind w:left="400" w:right="500"/>
      </w:pPr>
      <w:r>
        <w:rPr>
          <w:rFonts w:ascii="Times New Roman" w:hAnsi="Times New Roman"/>
          <w:sz w:val="20"/>
          <w:szCs w:val="20"/>
        </w:rPr>
        <w:t>Central Case-Study Question</w:t>
      </w:r>
      <w:r>
        <w:rPr>
          <w:rFonts w:ascii="Times New Roman" w:hAnsi="Times New Roman"/>
          <w:sz w:val="20"/>
          <w:szCs w:val="20"/>
        </w:rPr>
        <w:tab/>
      </w:r>
    </w:p>
    <w:p w14:paraId="7AECCB7F">
      <w:pPr>
        <w:tabs>
          <w:tab w:val="right" w:leader="dot" w:pos="8660"/>
        </w:tabs>
        <w:spacing w:after="20"/>
        <w:ind w:left="400" w:right="500"/>
      </w:pPr>
      <w:r>
        <w:rPr>
          <w:rFonts w:ascii="Times New Roman" w:hAnsi="Times New Roman"/>
          <w:sz w:val="20"/>
          <w:szCs w:val="20"/>
        </w:rPr>
        <w:t>Formal Problem Definition</w:t>
      </w:r>
      <w:r>
        <w:rPr>
          <w:rFonts w:ascii="Times New Roman" w:hAnsi="Times New Roman"/>
          <w:sz w:val="20"/>
          <w:szCs w:val="20"/>
        </w:rPr>
        <w:tab/>
      </w:r>
    </w:p>
    <w:p w14:paraId="6947B1D5">
      <w:pPr>
        <w:tabs>
          <w:tab w:val="right" w:leader="dot" w:pos="8660"/>
        </w:tabs>
        <w:spacing w:after="20"/>
        <w:ind w:left="400" w:right="500"/>
      </w:pPr>
      <w:r>
        <w:rPr>
          <w:rFonts w:ascii="Times New Roman" w:hAnsi="Times New Roman"/>
          <w:sz w:val="20"/>
          <w:szCs w:val="20"/>
        </w:rPr>
        <w:t>Objectives that Guide the Study</w:t>
      </w:r>
      <w:r>
        <w:rPr>
          <w:rFonts w:ascii="Times New Roman" w:hAnsi="Times New Roman"/>
          <w:sz w:val="20"/>
          <w:szCs w:val="20"/>
        </w:rPr>
        <w:tab/>
      </w:r>
    </w:p>
    <w:p w14:paraId="7E7E2B64">
      <w:pPr>
        <w:tabs>
          <w:tab w:val="right" w:leader="dot" w:pos="8660"/>
        </w:tabs>
        <w:spacing w:after="20"/>
        <w:ind w:left="400" w:right="500"/>
      </w:pPr>
      <w:r>
        <w:rPr>
          <w:rFonts w:ascii="Times New Roman" w:hAnsi="Times New Roman"/>
          <w:sz w:val="20"/>
          <w:szCs w:val="20"/>
        </w:rPr>
        <w:t>Assumptions and Limitations</w:t>
      </w:r>
      <w:r>
        <w:rPr>
          <w:rFonts w:ascii="Times New Roman" w:hAnsi="Times New Roman"/>
          <w:sz w:val="20"/>
          <w:szCs w:val="20"/>
        </w:rPr>
        <w:tab/>
      </w:r>
    </w:p>
    <w:p w14:paraId="498CE133">
      <w:pPr>
        <w:tabs>
          <w:tab w:val="right" w:leader="dot" w:pos="8660"/>
        </w:tabs>
        <w:spacing w:before="90" w:after="70"/>
        <w:ind w:right="500"/>
      </w:pPr>
      <w:r>
        <w:rPr>
          <w:rFonts w:ascii="Times New Roman" w:hAnsi="Times New Roman"/>
          <w:b/>
          <w:bCs/>
          <w:sz w:val="22"/>
        </w:rPr>
        <w:t>Dataset and Exploratory Data Analysis</w:t>
      </w:r>
    </w:p>
    <w:p w14:paraId="26772E42">
      <w:pPr>
        <w:tabs>
          <w:tab w:val="right" w:leader="dot" w:pos="8660"/>
        </w:tabs>
        <w:spacing w:before="90" w:after="70"/>
        <w:ind w:right="500"/>
      </w:pPr>
      <w:r>
        <w:rPr>
          <w:rFonts w:ascii="Times New Roman" w:hAnsi="Times New Roman"/>
          <w:sz w:val="20"/>
          <w:szCs w:val="20"/>
        </w:rPr>
        <w:t xml:space="preserve">         About the Dataset</w:t>
      </w:r>
      <w:r>
        <w:rPr>
          <w:rFonts w:ascii="Times New Roman" w:hAnsi="Times New Roman"/>
          <w:sz w:val="20"/>
          <w:szCs w:val="20"/>
        </w:rPr>
        <w:tab/>
      </w:r>
    </w:p>
    <w:p w14:paraId="67028976">
      <w:pPr>
        <w:tabs>
          <w:tab w:val="right" w:leader="dot" w:pos="8660"/>
        </w:tabs>
        <w:spacing w:after="20"/>
        <w:ind w:right="500"/>
        <w:rPr>
          <w:sz w:val="20"/>
          <w:szCs w:val="20"/>
        </w:rPr>
      </w:pPr>
      <w:r>
        <w:rPr>
          <w:rFonts w:ascii="Times New Roman" w:hAnsi="Times New Roman"/>
          <w:sz w:val="20"/>
          <w:szCs w:val="20"/>
        </w:rPr>
        <w:t xml:space="preserve">         Purpose of EDA</w:t>
      </w:r>
      <w:r>
        <w:rPr>
          <w:rFonts w:ascii="Times New Roman" w:hAnsi="Times New Roman"/>
          <w:sz w:val="20"/>
          <w:szCs w:val="20"/>
        </w:rPr>
        <w:tab/>
      </w:r>
    </w:p>
    <w:p w14:paraId="1EC1895F">
      <w:pPr>
        <w:tabs>
          <w:tab w:val="right" w:leader="dot" w:pos="8660"/>
        </w:tabs>
        <w:spacing w:after="20"/>
        <w:ind w:left="400" w:right="500"/>
        <w:rPr>
          <w:sz w:val="20"/>
          <w:szCs w:val="20"/>
        </w:rPr>
      </w:pPr>
      <w:r>
        <w:rPr>
          <w:rFonts w:ascii="Times New Roman" w:hAnsi="Times New Roman"/>
          <w:sz w:val="20"/>
          <w:szCs w:val="20"/>
        </w:rPr>
        <w:t>Preparation Steps Actually Performed</w:t>
      </w:r>
      <w:r>
        <w:rPr>
          <w:rFonts w:ascii="Times New Roman" w:hAnsi="Times New Roman"/>
          <w:sz w:val="20"/>
          <w:szCs w:val="20"/>
        </w:rPr>
        <w:tab/>
      </w:r>
    </w:p>
    <w:p w14:paraId="6A03ABC9">
      <w:pPr>
        <w:tabs>
          <w:tab w:val="right" w:leader="dot" w:pos="8660"/>
        </w:tabs>
        <w:spacing w:after="20"/>
        <w:ind w:left="400" w:right="500"/>
      </w:pPr>
      <w:r>
        <w:rPr>
          <w:rFonts w:ascii="Times New Roman" w:hAnsi="Times New Roman"/>
          <w:sz w:val="20"/>
          <w:szCs w:val="20"/>
        </w:rPr>
        <w:t xml:space="preserve"> EDA Exploration - Implementation</w:t>
      </w:r>
      <w:r>
        <w:rPr>
          <w:rFonts w:ascii="Times New Roman" w:hAnsi="Times New Roman"/>
          <w:sz w:val="20"/>
          <w:szCs w:val="20"/>
        </w:rPr>
        <w:tab/>
      </w:r>
    </w:p>
    <w:p w14:paraId="29E21B88">
      <w:pPr>
        <w:tabs>
          <w:tab w:val="right" w:leader="dot" w:pos="8660"/>
        </w:tabs>
        <w:spacing w:after="20"/>
        <w:ind w:left="400" w:right="500"/>
      </w:pPr>
      <w:r>
        <w:rPr>
          <w:rFonts w:ascii="Times New Roman" w:hAnsi="Times New Roman"/>
          <w:sz w:val="20"/>
          <w:szCs w:val="20"/>
        </w:rPr>
        <w:t>Summary of EDA Findings</w:t>
      </w:r>
      <w:r>
        <w:rPr>
          <w:rFonts w:ascii="Times New Roman" w:hAnsi="Times New Roman"/>
          <w:sz w:val="20"/>
          <w:szCs w:val="20"/>
        </w:rPr>
        <w:tab/>
      </w:r>
    </w:p>
    <w:p w14:paraId="7E4626CB">
      <w:pPr>
        <w:tabs>
          <w:tab w:val="right" w:leader="dot" w:pos="8660"/>
        </w:tabs>
        <w:spacing w:before="90" w:after="70"/>
        <w:ind w:right="500"/>
      </w:pPr>
      <w:r>
        <w:rPr>
          <w:rFonts w:ascii="Times New Roman" w:hAnsi="Times New Roman"/>
          <w:b/>
          <w:bCs/>
          <w:sz w:val="22"/>
        </w:rPr>
        <w:t xml:space="preserve"> Algorithm Selection and Implementation</w:t>
      </w:r>
      <w:r>
        <w:rPr>
          <w:rFonts w:ascii="Times New Roman" w:hAnsi="Times New Roman"/>
          <w:sz w:val="22"/>
        </w:rPr>
        <w:tab/>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rFonts w:ascii="Times New Roman" w:hAnsi="Times New Roman"/>
          <w:b/>
          <w:bCs/>
          <w:sz w:val="22"/>
        </w:rPr>
        <w:t xml:space="preserve">Conclusion </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sz w:val="22"/>
          <w:lang w:val="en-US"/>
        </w:rPr>
        <w:t xml:space="preserve">Signature of the Team members                    </w:t>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sz w:val="22"/>
          <w:lang w:val="en-US"/>
        </w:rPr>
        <w:tab/>
      </w:r>
      <w:r>
        <w:rPr>
          <w:rFonts w:ascii="Times New Roman" w:hAnsi="Times New Roman" w:cs="Times New Roman"/>
          <w:b/>
          <w:bCs/>
          <w:sz w:val="22"/>
          <w:lang w:val="en-US"/>
        </w:rPr>
        <w:t xml:space="preserve">     </w:t>
      </w:r>
    </w:p>
    <w:p>
      <w:pPr>
        <w:pageBreakBefore/>
      </w:pPr>
    </w:p>
    <w:p>
      <w:pPr>
        <w:pStyle w:val="2"/>
        <w:keepNext/>
      </w:pPr>
      <w:r>
        <w:rPr>
          <w:rFonts w:ascii="Times New Roman" w:hAnsi="Times New Roman"/>
          <w:sz w:val="22"/>
        </w:rPr>
        <w:t>ABSTRACT</w:t>
      </w:r>
    </w:p>
    <w:p>
      <w:pPr>
        <w:spacing w:after="120"/>
      </w:pPr>
      <w:r>
        <w:rPr>
          <w:rFonts w:ascii="Times New Roman" w:hAnsi="Times New Roman"/>
          <w:sz w:val="22"/>
        </w:rPr>
        <w:t>Financial transaction fraud can be difficult to identify because suspicious behaviour may not follow a fixed pattern and fraudulent examples are often less common than legitimate transactions. This case study investigates DBSCAN (Density-Based Spatial Clustering of Applications with Noise), an unsupervised clustering algorithm, for identifying unusual transaction behaviour. The supplied dataset contains 1,000 transaction records and 20 columns, including transaction amount, transaction hour, frequency, location-related behaviour, device changes, merchant risk and a known fraud label. The notebook keeps Fraud_Label outside the model input and uses it only for post-hoc evaluation. After feature engineering, categorical encoding and robust scaling, DBSCAN is run with eps = 2.9 and min_samples = 5. The recorded notebook output flags 104 transactions (10.4%) as candidate anomalies. Against the supplied labels, the recorded evaluation reports 99.60% accuracy, 96.15% precision, 100.00% recall and 98.04% F1-score. A React-based dashboard and Python FastAPI backend provide an interactive application for dataset upload, analysis, anomaly review and visual exploration. These metrics describe this dataset and experiment only; an anomaly is not proof of fraud, and performance on real operational data requires independent validation.</w:t>
      </w:r>
    </w:p>
    <w:p>
      <w:pPr>
        <w:pStyle w:val="2"/>
        <w:keepNext/>
      </w:pPr>
      <w:r>
        <w:rPr>
          <w:rFonts w:ascii="Times New Roman" w:hAnsi="Times New Roman"/>
          <w:sz w:val="22"/>
        </w:rPr>
        <w:t>1. INTRODUCTION</w:t>
      </w:r>
    </w:p>
    <w:p>
      <w:pPr>
        <w:pStyle w:val="3"/>
        <w:keepNext/>
      </w:pPr>
      <w:r>
        <w:rPr>
          <w:rFonts w:ascii="Times New Roman" w:hAnsi="Times New Roman"/>
          <w:sz w:val="22"/>
        </w:rPr>
        <w:t>1.1 Background</w:t>
      </w:r>
    </w:p>
    <w:p>
      <w:pPr>
        <w:spacing w:after="120"/>
      </w:pPr>
      <w:r>
        <w:rPr>
          <w:rFonts w:ascii="Times New Roman" w:hAnsi="Times New Roman"/>
          <w:sz w:val="22"/>
        </w:rPr>
        <w:t>Digital payments and online banking create large numbers of transactions. Manual review of every transaction is expensive and slow, so automated methods can help prioritise transactions for investigation. Fraud detection is challenging because transaction behaviour varies by customer, location, amount, time, device and channel. Unsupervised anomaly detection is useful when a system needs to identify observations that differ from dense patterns without using the fraud label to form those patterns.</w:t>
      </w:r>
    </w:p>
    <w:p>
      <w:pPr>
        <w:pStyle w:val="3"/>
        <w:keepNext/>
      </w:pPr>
      <w:r>
        <w:rPr>
          <w:rFonts w:ascii="Times New Roman" w:hAnsi="Times New Roman"/>
          <w:sz w:val="22"/>
        </w:rPr>
        <w:t>1.2 Motivation for the Project</w:t>
      </w:r>
    </w:p>
    <w:p>
      <w:pPr>
        <w:spacing w:after="120"/>
      </w:pPr>
      <w:r>
        <w:rPr>
          <w:rFonts w:ascii="Times New Roman" w:hAnsi="Times New Roman"/>
          <w:sz w:val="22"/>
        </w:rPr>
        <w:t>The project explores whether density-based clustering can identify transactions whose behaviour is unusual compared with the rest of a transaction dataset. DBSCAN was selected because it groups dense regions and marks observations that do not fit a sufficiently dense region as noise. The project also presents the analysis through a web interface so that the dataset and results can be explored more conveniently than through notebook output alone.</w:t>
      </w:r>
    </w:p>
    <w:p>
      <w:pPr>
        <w:pStyle w:val="3"/>
        <w:keepNext/>
      </w:pPr>
      <w:r>
        <w:rPr>
          <w:rFonts w:ascii="Times New Roman" w:hAnsi="Times New Roman"/>
          <w:sz w:val="22"/>
        </w:rPr>
        <w:t>1.3 Overview of the Work Carried Out</w:t>
      </w:r>
    </w:p>
    <w:p>
      <w:pPr>
        <w:spacing w:after="60"/>
      </w:pPr>
      <w:r>
        <w:rPr>
          <w:rFonts w:ascii="Times New Roman" w:hAnsi="Times New Roman"/>
          <w:sz w:val="22"/>
        </w:rPr>
        <w:t>• Loaded and inspected the transaction CSV and checked its dimensions, data types, missing values, duplicates and label distribution.</w:t>
      </w:r>
    </w:p>
    <w:p>
      <w:pPr>
        <w:spacing w:after="60"/>
      </w:pPr>
      <w:r>
        <w:rPr>
          <w:rFonts w:ascii="Times New Roman" w:hAnsi="Times New Roman"/>
          <w:sz w:val="22"/>
        </w:rPr>
        <w:t>• Separated the known fraud label from model features and removed transaction/customer identifiers from the clustering input.</w:t>
      </w:r>
    </w:p>
    <w:p>
      <w:pPr>
        <w:spacing w:after="60"/>
      </w:pPr>
      <w:r>
        <w:rPr>
          <w:rFonts w:ascii="Times New Roman" w:hAnsi="Times New Roman"/>
          <w:sz w:val="22"/>
        </w:rPr>
        <w:t>• Engineered cyclical transaction-hour features, log-transformed selected skewed numeric features, one-hot encoded categorical features and scaled numeric values with RobustScaler.</w:t>
      </w:r>
    </w:p>
    <w:p>
      <w:pPr>
        <w:spacing w:after="60"/>
      </w:pPr>
      <w:r>
        <w:rPr>
          <w:rFonts w:ascii="Times New Roman" w:hAnsi="Times New Roman"/>
          <w:sz w:val="22"/>
        </w:rPr>
        <w:t>• Inspected a k-distance graph to guide DBSCAN parameter selection, then evaluated the resulting noise points against the known labels.</w:t>
      </w:r>
    </w:p>
    <w:p>
      <w:pPr>
        <w:spacing w:after="60"/>
      </w:pPr>
      <w:r>
        <w:rPr>
          <w:rFonts w:ascii="Times New Roman" w:hAnsi="Times New Roman"/>
          <w:sz w:val="22"/>
        </w:rPr>
        <w:t>• Performed parameter sensitivity and additional stability/interpretation analyses in the notebook.</w:t>
      </w:r>
    </w:p>
    <w:p>
      <w:pPr>
        <w:spacing w:after="60"/>
      </w:pPr>
      <w:r>
        <w:rPr>
          <w:rFonts w:ascii="Times New Roman" w:hAnsi="Times New Roman"/>
          <w:sz w:val="22"/>
        </w:rPr>
        <w:t>• Built a React/Vite frontend and a Python FastAPI backend with dataset-management and DBSCAN-analysis functionality.</w:t>
      </w:r>
    </w:p>
    <w:p>
      <w:pPr>
        <w:pStyle w:val="3"/>
        <w:keepNext/>
      </w:pPr>
      <w:r>
        <w:rPr>
          <w:rFonts w:ascii="Times New Roman" w:hAnsi="Times New Roman"/>
          <w:sz w:val="22"/>
        </w:rPr>
        <w:t>1.4 Scope and Responsible-Use Statement</w:t>
      </w:r>
    </w:p>
    <w:p>
      <w:pPr>
        <w:spacing w:after="120"/>
      </w:pPr>
      <w:r>
        <w:rPr>
          <w:rFonts w:ascii="Times New Roman" w:hAnsi="Times New Roman"/>
          <w:sz w:val="22"/>
        </w:rPr>
        <w:t>This is an educational case study based on the provided dataset and implementation. The system identifies candidate anomalies for human review; it does not make a definitive legal, financial or customer-risk determination. Legitimate transactions may be flagged, and fraudulent transactions may be missed. Any real deployment would require privacy safeguards, secure data handling, monitoring for data drift, independent testing, explainability and a human review process. The high scores in this experiment should not be interpreted as a guarantee of performance on unseen real-world transactions.</w:t>
      </w:r>
    </w:p>
    <w:p>
      <w:pPr>
        <w:pStyle w:val="2"/>
        <w:keepNext/>
      </w:pPr>
      <w:r>
        <w:rPr>
          <w:rFonts w:ascii="Times New Roman" w:hAnsi="Times New Roman"/>
          <w:sz w:val="22"/>
        </w:rPr>
        <w:t>2. PROBLEM STATEMENT</w:t>
      </w:r>
    </w:p>
    <w:p>
      <w:pPr>
        <w:pStyle w:val="3"/>
        <w:keepNext/>
      </w:pPr>
      <w:r>
        <w:rPr>
          <w:rFonts w:ascii="Times New Roman" w:hAnsi="Times New Roman"/>
          <w:sz w:val="22"/>
        </w:rPr>
        <w:t>2.1 Case-Study Scenario</w:t>
      </w:r>
    </w:p>
    <w:p>
      <w:pPr>
        <w:spacing w:after="120"/>
      </w:pPr>
      <w:r>
        <w:rPr>
          <w:rFonts w:ascii="Times New Roman" w:hAnsi="Times New Roman"/>
          <w:sz w:val="22"/>
        </w:rPr>
        <w:t>A financial service processes transactions that differ in value, time, frequency, location, device and other behavioural attributes. A review team needs a way to prioritise transactions that appear unusual. The case study applies DBSCAN to transaction features and treats the algorithm’s noise label (-1) as a candidate-anomaly signal for further review.</w:t>
      </w:r>
    </w:p>
    <w:p>
      <w:pPr>
        <w:pStyle w:val="3"/>
        <w:keepNext/>
      </w:pPr>
      <w:r>
        <w:rPr>
          <w:rFonts w:ascii="Times New Roman" w:hAnsi="Times New Roman"/>
          <w:sz w:val="22"/>
        </w:rPr>
        <w:t>2.2 Central Case-Study Question</w:t>
      </w:r>
    </w:p>
    <w:p>
      <w:pPr>
        <w:spacing w:after="120"/>
      </w:pPr>
      <w:r>
        <w:rPr>
          <w:rFonts w:ascii="Times New Roman" w:hAnsi="Times New Roman"/>
          <w:sz w:val="22"/>
        </w:rPr>
        <w:t>Can DBSCAN, using transaction-behaviour features without the known fraud label as an input, identify candidate anomalous transactions in the supplied dataset, and how well do those candidates align with the available fraud labels?</w:t>
      </w:r>
    </w:p>
    <w:p>
      <w:pPr>
        <w:pStyle w:val="3"/>
        <w:keepNext/>
      </w:pPr>
      <w:r>
        <w:rPr>
          <w:rFonts w:ascii="Times New Roman" w:hAnsi="Times New Roman"/>
          <w:sz w:val="22"/>
        </w:rPr>
        <w:t>2.3 Formal Problem Definition</w:t>
      </w:r>
    </w:p>
    <w:p>
      <w:pPr>
        <w:spacing w:after="120"/>
      </w:pPr>
      <w:r>
        <w:rPr>
          <w:rFonts w:ascii="Times New Roman" w:hAnsi="Times New Roman"/>
          <w:sz w:val="22"/>
        </w:rPr>
        <w:t>Let each transaction be represented by a feature vector xᵢ after preprocessing. DBSCAN groups points that have sufficient local density, based on neighbourhood radius eps and minimum-neighbour count min_samples. Points that do not belong to a dense cluster are assigned label -1. The predicted anomaly indicator is defined as ŷᵢ = 1 when the DBSCAN cluster label is -1, and 0 otherwise. The supplied Fraud_Label is reserved for evaluating the predictions after clustering; it is not included in the model feature matrix.</w:t>
      </w:r>
    </w:p>
    <w:p>
      <w:pPr>
        <w:pStyle w:val="3"/>
        <w:keepNext/>
      </w:pPr>
      <w:r>
        <w:rPr>
          <w:rFonts w:ascii="Times New Roman" w:hAnsi="Times New Roman"/>
          <w:sz w:val="22"/>
        </w:rPr>
        <w:t>2.4 Objectives that Guide the Study</w:t>
      </w:r>
    </w:p>
    <w:p>
      <w:pPr>
        <w:spacing w:after="60"/>
      </w:pPr>
      <w:r>
        <w:rPr>
          <w:rFonts w:ascii="Times New Roman" w:hAnsi="Times New Roman"/>
          <w:sz w:val="22"/>
        </w:rPr>
        <w:t>• Inspect the dataset and understand the transaction attributes and label distribution.</w:t>
      </w:r>
    </w:p>
    <w:p>
      <w:pPr>
        <w:spacing w:after="60"/>
      </w:pPr>
      <w:r>
        <w:rPr>
          <w:rFonts w:ascii="Times New Roman" w:hAnsi="Times New Roman"/>
          <w:sz w:val="22"/>
        </w:rPr>
        <w:t>• Prepare features appropriately for a distance-based clustering algorithm.</w:t>
      </w:r>
    </w:p>
    <w:p>
      <w:pPr>
        <w:spacing w:after="60"/>
      </w:pPr>
      <w:r>
        <w:rPr>
          <w:rFonts w:ascii="Times New Roman" w:hAnsi="Times New Roman"/>
          <w:sz w:val="22"/>
        </w:rPr>
        <w:t>• Choose DBSCAN parameters using a k-distance graph rather than directly optimising against fraud labels.</w:t>
      </w:r>
    </w:p>
    <w:p>
      <w:pPr>
        <w:spacing w:after="60"/>
      </w:pPr>
      <w:r>
        <w:rPr>
          <w:rFonts w:ascii="Times New Roman" w:hAnsi="Times New Roman"/>
          <w:sz w:val="22"/>
        </w:rPr>
        <w:t>• Identify noise points and compare them with the known labels using classification metrics.</w:t>
      </w:r>
    </w:p>
    <w:p>
      <w:pPr>
        <w:spacing w:after="60"/>
      </w:pPr>
      <w:r>
        <w:rPr>
          <w:rFonts w:ascii="Times New Roman" w:hAnsi="Times New Roman"/>
          <w:sz w:val="22"/>
        </w:rPr>
        <w:t>• Examine sensitivity to parameter changes and document practical limitations.</w:t>
      </w:r>
    </w:p>
    <w:p>
      <w:pPr>
        <w:spacing w:after="60"/>
      </w:pPr>
      <w:r>
        <w:rPr>
          <w:rFonts w:ascii="Times New Roman" w:hAnsi="Times New Roman"/>
          <w:sz w:val="22"/>
        </w:rPr>
        <w:t>• Provide an interactive web application for viewing data summaries and anomaly-analysis results.</w:t>
      </w:r>
    </w:p>
    <w:p>
      <w:pPr>
        <w:pStyle w:val="3"/>
        <w:keepNext/>
      </w:pPr>
      <w:r>
        <w:rPr>
          <w:rFonts w:ascii="Times New Roman" w:hAnsi="Times New Roman"/>
          <w:sz w:val="22"/>
        </w:rPr>
        <w:t>2.5 Assumptions and Limitations</w:t>
      </w:r>
    </w:p>
    <w:p>
      <w:pPr>
        <w:spacing w:after="60"/>
      </w:pPr>
      <w:r>
        <w:rPr>
          <w:rFonts w:ascii="Times New Roman" w:hAnsi="Times New Roman"/>
          <w:sz w:val="22"/>
        </w:rPr>
        <w:t>• The provided CSV is assumed to be the dataset intended for the case study; its representativeness of real financial activity is not established.</w:t>
      </w:r>
    </w:p>
    <w:p>
      <w:pPr>
        <w:spacing w:after="60"/>
      </w:pPr>
      <w:r>
        <w:rPr>
          <w:rFonts w:ascii="Times New Roman" w:hAnsi="Times New Roman"/>
          <w:sz w:val="22"/>
        </w:rPr>
        <w:t>• The known Fraud_Label values are treated as evaluation references, not as DBSCAN training targets.</w:t>
      </w:r>
    </w:p>
    <w:p>
      <w:pPr>
        <w:spacing w:after="60"/>
      </w:pPr>
      <w:r>
        <w:rPr>
          <w:rFonts w:ascii="Times New Roman" w:hAnsi="Times New Roman"/>
          <w:sz w:val="22"/>
        </w:rPr>
        <w:t>• DBSCAN is distance-based, so feature engineering, encoding, scaling and parameter settings materially affect results.</w:t>
      </w:r>
    </w:p>
    <w:p>
      <w:pPr>
        <w:spacing w:after="60"/>
      </w:pPr>
      <w:r>
        <w:rPr>
          <w:rFonts w:ascii="Times New Roman" w:hAnsi="Times New Roman"/>
          <w:sz w:val="22"/>
        </w:rPr>
        <w:t>• A DBSCAN noise point is an unusual observation, not a confirmed fraudulent transaction.</w:t>
      </w:r>
    </w:p>
    <w:p>
      <w:pPr>
        <w:spacing w:after="60"/>
      </w:pPr>
      <w:r>
        <w:rPr>
          <w:rFonts w:ascii="Times New Roman" w:hAnsi="Times New Roman"/>
          <w:sz w:val="22"/>
        </w:rPr>
        <w:t>• The notebook’s reported metrics are measured on the same 1,000-record dataset used to fit DBSCAN; this is not an independent test-set estimate.</w:t>
      </w:r>
    </w:p>
    <w:p>
      <w:pPr>
        <w:spacing w:after="60"/>
      </w:pPr>
      <w:r>
        <w:rPr>
          <w:rFonts w:ascii="Times New Roman" w:hAnsi="Times New Roman"/>
          <w:sz w:val="22"/>
        </w:rPr>
        <w:t>• The frontend/backend implementation has its own processing path and defaults. Its live results should not automatically be equated with the notebook’s eps = 2.9 experiment.</w:t>
      </w:r>
    </w:p>
    <w:p>
      <w:pPr>
        <w:pStyle w:val="2"/>
        <w:keepNext/>
      </w:pPr>
      <w:r>
        <w:rPr>
          <w:rFonts w:ascii="Times New Roman" w:hAnsi="Times New Roman"/>
          <w:sz w:val="22"/>
        </w:rPr>
        <w:t>3. DATASET AND EXPLORATORY DATA ANALYSIS</w:t>
      </w:r>
    </w:p>
    <w:p>
      <w:pPr>
        <w:pStyle w:val="3"/>
        <w:keepNext/>
      </w:pPr>
      <w:r>
        <w:rPr>
          <w:rFonts w:ascii="Times New Roman" w:hAnsi="Times New Roman"/>
          <w:sz w:val="22"/>
        </w:rPr>
        <w:t>3.1 About the Dataset</w:t>
      </w:r>
    </w:p>
    <w:p>
      <w:pPr>
        <w:spacing w:after="120"/>
      </w:pPr>
      <w:r>
        <w:rPr>
          <w:rFonts w:ascii="Times New Roman" w:hAnsi="Times New Roman"/>
          <w:sz w:val="22"/>
        </w:rPr>
        <w:t>The supplied file is fraud_transaction_dataset_1000_fixed.csv. The notebook output reports a shape of 1,000 rows and 20 columns. The fields describe transaction identifiers, customer identifiers, transaction amount and hour, 24-hour frequency, location, distance, device changes, international transactions, login attempts, account age, previous transaction average, amount deviation, merchant risk score, duration, account balance, transaction type, channel, fraud label and amount-to-balance ratio.</w:t>
      </w:r>
    </w:p>
    <w:tbl>
      <w:tblPr>
        <w:tblW w:type="auto" w:w="0"/>
        <w:jc w:val="center"/>
        <w:tblLook w:firstColumn="1" w:firstRow="1" w:lastColumn="0" w:lastRow="0" w:noHBand="0" w:noVBand="1" w:val="04A0"/>
      </w:tblPr>
      <w:tblGrid>
        <w:gridCol w:w="4680"/>
        <w:gridCol w:w="4680"/>
      </w:tblGrid>
      <w:tr>
        <w:tc>
          <w:tcPr>
            <w:tcW w:type="dxa" w:w="4680"/>
            <w:vAlign w:val="center"/>
          </w:tcPr>
          <w:p>
            <w:pPr>
              <w:spacing w:after="40"/>
            </w:pPr>
            <w:r>
              <w:rPr>
                <w:sz w:val="18"/>
              </w:rPr>
              <w:t>Dataset property</w:t>
            </w:r>
          </w:p>
        </w:tc>
        <w:tc>
          <w:tcPr>
            <w:tcW w:type="dxa" w:w="4680"/>
            <w:vAlign w:val="center"/>
          </w:tcPr>
          <w:p>
            <w:pPr>
              <w:spacing w:after="40"/>
            </w:pPr>
            <w:r>
              <w:rPr>
                <w:sz w:val="18"/>
              </w:rPr>
              <w:t>Observed value</w:t>
            </w:r>
          </w:p>
        </w:tc>
      </w:tr>
      <w:tr>
        <w:tc>
          <w:tcPr>
            <w:tcW w:type="dxa" w:w="4680"/>
            <w:vAlign w:val="center"/>
          </w:tcPr>
          <w:p>
            <w:pPr>
              <w:spacing w:after="40"/>
            </w:pPr>
            <w:r>
              <w:rPr>
                <w:sz w:val="18"/>
              </w:rPr>
              <w:t>Records</w:t>
            </w:r>
          </w:p>
        </w:tc>
        <w:tc>
          <w:tcPr>
            <w:tcW w:type="dxa" w:w="4680"/>
            <w:vAlign w:val="center"/>
          </w:tcPr>
          <w:p>
            <w:pPr>
              <w:spacing w:after="40"/>
            </w:pPr>
            <w:r>
              <w:rPr>
                <w:sz w:val="18"/>
              </w:rPr>
              <w:t>1,000 transactions</w:t>
            </w:r>
          </w:p>
        </w:tc>
      </w:tr>
      <w:tr>
        <w:tc>
          <w:tcPr>
            <w:tcW w:type="dxa" w:w="4680"/>
            <w:vAlign w:val="center"/>
          </w:tcPr>
          <w:p>
            <w:pPr>
              <w:spacing w:after="40"/>
            </w:pPr>
            <w:r>
              <w:rPr>
                <w:sz w:val="18"/>
              </w:rPr>
              <w:t>Columns</w:t>
            </w:r>
          </w:p>
        </w:tc>
        <w:tc>
          <w:tcPr>
            <w:tcW w:type="dxa" w:w="4680"/>
            <w:vAlign w:val="center"/>
          </w:tcPr>
          <w:p>
            <w:pPr>
              <w:spacing w:after="40"/>
            </w:pPr>
            <w:r>
              <w:rPr>
                <w:sz w:val="18"/>
              </w:rPr>
              <w:t>20</w:t>
            </w:r>
          </w:p>
        </w:tc>
      </w:tr>
      <w:tr>
        <w:tc>
          <w:tcPr>
            <w:tcW w:type="dxa" w:w="4680"/>
            <w:vAlign w:val="center"/>
          </w:tcPr>
          <w:p>
            <w:pPr>
              <w:spacing w:after="40"/>
            </w:pPr>
            <w:r>
              <w:rPr>
                <w:sz w:val="18"/>
              </w:rPr>
              <w:t>Known normal labels</w:t>
            </w:r>
          </w:p>
        </w:tc>
        <w:tc>
          <w:tcPr>
            <w:tcW w:type="dxa" w:w="4680"/>
            <w:vAlign w:val="center"/>
          </w:tcPr>
          <w:p>
            <w:pPr>
              <w:spacing w:after="40"/>
            </w:pPr>
            <w:r>
              <w:rPr>
                <w:sz w:val="18"/>
              </w:rPr>
              <w:t>900 (90.0%)</w:t>
            </w:r>
          </w:p>
        </w:tc>
      </w:tr>
      <w:tr>
        <w:tc>
          <w:tcPr>
            <w:tcW w:type="dxa" w:w="4680"/>
            <w:vAlign w:val="center"/>
          </w:tcPr>
          <w:p>
            <w:pPr>
              <w:spacing w:after="40"/>
            </w:pPr>
            <w:r>
              <w:rPr>
                <w:sz w:val="18"/>
              </w:rPr>
              <w:t>Known fraud labels</w:t>
            </w:r>
          </w:p>
        </w:tc>
        <w:tc>
          <w:tcPr>
            <w:tcW w:type="dxa" w:w="4680"/>
            <w:vAlign w:val="center"/>
          </w:tcPr>
          <w:p>
            <w:pPr>
              <w:spacing w:after="40"/>
            </w:pPr>
            <w:r>
              <w:rPr>
                <w:sz w:val="18"/>
              </w:rPr>
              <w:t>100 (10.0%)</w:t>
            </w:r>
          </w:p>
        </w:tc>
      </w:tr>
      <w:tr>
        <w:tc>
          <w:tcPr>
            <w:tcW w:type="dxa" w:w="4680"/>
            <w:vAlign w:val="center"/>
          </w:tcPr>
          <w:p>
            <w:pPr>
              <w:spacing w:after="40"/>
            </w:pPr>
            <w:r>
              <w:rPr>
                <w:sz w:val="18"/>
              </w:rPr>
              <w:t>Target/label use</w:t>
            </w:r>
          </w:p>
        </w:tc>
        <w:tc>
          <w:tcPr>
            <w:tcW w:type="dxa" w:w="4680"/>
            <w:vAlign w:val="center"/>
          </w:tcPr>
          <w:p>
            <w:pPr>
              <w:spacing w:after="40"/>
            </w:pPr>
            <w:r>
              <w:rPr>
                <w:sz w:val="18"/>
              </w:rPr>
              <w:t>Fraud_Label is held out from DBSCAN input and used for evaluation only</w:t>
            </w:r>
          </w:p>
        </w:tc>
      </w:tr>
      <w:tr>
        <w:tc>
          <w:tcPr>
            <w:tcW w:type="dxa" w:w="4680"/>
            <w:vAlign w:val="center"/>
          </w:tcPr>
          <w:p>
            <w:pPr>
              <w:spacing w:after="40"/>
            </w:pPr>
            <w:r>
              <w:rPr>
                <w:sz w:val="18"/>
              </w:rPr>
              <w:t>Data format</w:t>
            </w:r>
          </w:p>
        </w:tc>
        <w:tc>
          <w:tcPr>
            <w:tcW w:type="dxa" w:w="4680"/>
            <w:vAlign w:val="center"/>
          </w:tcPr>
          <w:p>
            <w:pPr>
              <w:spacing w:after="40"/>
            </w:pPr>
            <w:r>
              <w:rPr>
                <w:sz w:val="18"/>
              </w:rPr>
              <w:t>CSV</w:t>
            </w:r>
          </w:p>
        </w:tc>
      </w:tr>
    </w:tbl>
    <w:p>
      <w:pPr>
        <w:spacing w:after="120"/>
      </w:pPr>
      <w:r>
        <w:rPr>
          <w:rFonts w:ascii="Times New Roman" w:hAnsi="Times New Roman"/>
          <w:sz w:val="22"/>
        </w:rPr>
        <w:t>The dataset is a structured tabular dataset. Transaction_ID and Customer_ID identify records/entities and were removed from the model input because their raw identifiers do not directly describe transaction behaviour.</w:t>
      </w:r>
    </w:p>
    <w:p>
      <w:pPr>
        <w:pStyle w:val="3"/>
        <w:keepNext/>
      </w:pPr>
      <w:r>
        <w:rPr>
          <w:rFonts w:ascii="Times New Roman" w:hAnsi="Times New Roman"/>
          <w:sz w:val="22"/>
        </w:rPr>
        <w:t>3.2 Purpose of EDA</w:t>
      </w:r>
    </w:p>
    <w:p>
      <w:pPr>
        <w:spacing w:after="120"/>
      </w:pPr>
      <w:r>
        <w:rPr>
          <w:rFonts w:ascii="Times New Roman" w:hAnsi="Times New Roman"/>
          <w:sz w:val="22"/>
        </w:rPr>
        <w:t>Exploratory Data Analysis (EDA) is used to check data quality, understand the distribution of normal and fraud-labelled transactions, inspect feature ranges and relationships, and guide appropriate preprocessing. The notebook includes a fraud-label count plot, a k-distance graph, cluster/anomaly summaries, a PCA-based visualisation and comparisons of transaction characteristics between candidate anomalies and clustered transactions.</w:t>
      </w:r>
    </w:p>
    <w:p>
      <w:pPr>
        <w:pStyle w:val="3"/>
        <w:keepNext/>
      </w:pPr>
      <w:r>
        <w:rPr>
          <w:rFonts w:ascii="Times New Roman" w:hAnsi="Times New Roman"/>
          <w:sz w:val="22"/>
        </w:rPr>
        <w:t>3.3 Preparation Steps Actually Performed</w:t>
      </w:r>
    </w:p>
    <w:p>
      <w:pPr>
        <w:spacing w:after="60"/>
      </w:pPr>
      <w:r>
        <w:rPr>
          <w:rFonts w:ascii="Times New Roman" w:hAnsi="Times New Roman"/>
          <w:sz w:val="22"/>
        </w:rPr>
        <w:t>• Inspected dataset shape, columns, data types, missing-value count and duplicate-row count. The notebook code performs these checks; no unsupported claim about a nonzero cleaning requirement is made here.</w:t>
      </w:r>
    </w:p>
    <w:p>
      <w:pPr>
        <w:spacing w:after="60"/>
      </w:pPr>
      <w:r>
        <w:rPr>
          <w:rFonts w:ascii="Times New Roman" w:hAnsi="Times New Roman"/>
          <w:sz w:val="22"/>
        </w:rPr>
        <w:t>• Copied Fraud_Label into a separate reference vector and excluded it from the clustering input. Transaction_ID and Customer_ID were also excluded.</w:t>
      </w:r>
    </w:p>
    <w:p>
      <w:pPr>
        <w:spacing w:after="60"/>
      </w:pPr>
      <w:r>
        <w:rPr>
          <w:rFonts w:ascii="Times New Roman" w:hAnsi="Times New Roman"/>
          <w:sz w:val="22"/>
        </w:rPr>
        <w:t>• Converted Transaction_Hour into Hour_Sin and Hour_Cos so times near midnight are represented as close on a cycle.</w:t>
      </w:r>
    </w:p>
    <w:p>
      <w:pPr>
        <w:spacing w:after="60"/>
      </w:pPr>
      <w:r>
        <w:rPr>
          <w:rFonts w:ascii="Times New Roman" w:hAnsi="Times New Roman"/>
          <w:sz w:val="22"/>
        </w:rPr>
        <w:t>• Applied log1p transformations to selected skewed features: Transaction_Amount, Location_Distance_KM, Login_Attempts, Account_Balance, Amount_Deviation and Previous_Transaction_Avg.</w:t>
      </w:r>
    </w:p>
    <w:p>
      <w:pPr>
        <w:spacing w:after="60"/>
      </w:pPr>
      <w:r>
        <w:rPr>
          <w:rFonts w:ascii="Times New Roman" w:hAnsi="Times New Roman"/>
          <w:sz w:val="22"/>
        </w:rPr>
        <w:t>• One-hot encoded Location, Transaction_Type and Channel.</w:t>
      </w:r>
    </w:p>
    <w:p>
      <w:pPr>
        <w:spacing w:after="60"/>
      </w:pPr>
      <w:r>
        <w:rPr>
          <w:rFonts w:ascii="Times New Roman" w:hAnsi="Times New Roman"/>
          <w:sz w:val="22"/>
        </w:rPr>
        <w:t>• Applied RobustScaler to numerical features to reduce the influence of outlying magnitudes on distance calculations.</w:t>
      </w:r>
    </w:p>
    <w:p>
      <w:pPr>
        <w:spacing w:after="60"/>
      </w:pPr>
      <w:r>
        <w:rPr>
          <w:rFonts w:ascii="Times New Roman" w:hAnsi="Times New Roman"/>
          <w:sz w:val="22"/>
        </w:rPr>
        <w:t>• The notebook reports 1,000 rows and 32 processed features after encoding and preprocessing.</w:t>
      </w:r>
    </w:p>
    <w:p>
      <w:pPr>
        <w:pStyle w:val="3"/>
        <w:keepNext/>
      </w:pPr>
      <w:r>
        <w:rPr>
          <w:rFonts w:ascii="Times New Roman" w:hAnsi="Times New Roman"/>
          <w:sz w:val="22"/>
        </w:rPr>
        <w:t>3.4 EDA Exploration – Implementation</w:t>
      </w:r>
    </w:p>
    <w:p>
      <w:pPr>
        <w:spacing w:after="120"/>
      </w:pPr>
      <w:r>
        <w:rPr>
          <w:rFonts w:ascii="Times New Roman" w:hAnsi="Times New Roman"/>
          <w:sz w:val="22"/>
        </w:rPr>
        <w:t>The notebook uses pandas for data inspection and transformation, NumPy for feature engineering, Matplotlib and Seaborn for plots, and scikit-learn for preprocessing, nearest-neighbour distances, DBSCAN, PCA and evaluation metrics. The fraud-label distribution is 900 normal records and 100 fraud-labelled records. The k-distance graph uses the fifth-nearest-neighbour distance because min_samples is set to 5. The elbow region is interpreted around 2.9 and used to choose eps. PCA is used to reduce the processed feature space for visualisation; the notebook reports 94.52% explained variance for the displayed PCA representation.</w:t>
      </w:r>
    </w:p>
    <w:p>
      <w:pPr>
        <w:pStyle w:val="3"/>
        <w:keepNext/>
      </w:pPr>
      <w:r>
        <w:rPr>
          <w:rFonts w:ascii="Times New Roman" w:hAnsi="Times New Roman"/>
          <w:sz w:val="22"/>
        </w:rPr>
        <w:t>3.5 Summary of EDA Findings</w:t>
      </w:r>
    </w:p>
    <w:p>
      <w:pPr>
        <w:spacing w:after="60"/>
      </w:pPr>
      <w:r>
        <w:rPr>
          <w:rFonts w:ascii="Times New Roman" w:hAnsi="Times New Roman"/>
          <w:sz w:val="22"/>
        </w:rPr>
        <w:t>• The dataset is imbalanced: 90% normal and 10% fraud-labelled transactions.</w:t>
      </w:r>
    </w:p>
    <w:p>
      <w:pPr>
        <w:spacing w:after="60"/>
      </w:pPr>
      <w:r>
        <w:rPr>
          <w:rFonts w:ascii="Times New Roman" w:hAnsi="Times New Roman"/>
          <w:sz w:val="22"/>
        </w:rPr>
        <w:t>• Preprocessing expands the feature representation to 32 dimensions after one-hot encoding.</w:t>
      </w:r>
    </w:p>
    <w:p>
      <w:pPr>
        <w:spacing w:after="60"/>
      </w:pPr>
      <w:r>
        <w:rPr>
          <w:rFonts w:ascii="Times New Roman" w:hAnsi="Times New Roman"/>
          <w:sz w:val="22"/>
        </w:rPr>
        <w:t>• Cyclical hour encoding preserves the circular relationship between late-night and early-morning transactions.</w:t>
      </w:r>
    </w:p>
    <w:p>
      <w:pPr>
        <w:spacing w:after="60"/>
      </w:pPr>
      <w:r>
        <w:rPr>
          <w:rFonts w:ascii="Times New Roman" w:hAnsi="Times New Roman"/>
          <w:sz w:val="22"/>
        </w:rPr>
        <w:t>• The k-distance graph guided the selection eps = 2.9 with min_samples = 5.</w:t>
      </w:r>
    </w:p>
    <w:p>
      <w:pPr>
        <w:spacing w:after="60"/>
      </w:pPr>
      <w:r>
        <w:rPr>
          <w:rFonts w:ascii="Times New Roman" w:hAnsi="Times New Roman"/>
          <w:sz w:val="22"/>
        </w:rPr>
        <w:t>• The final DBSCAN run produced one dense cluster containing 896 records and 104 noise points, corresponding to a 10.4% candidate-anomaly rate.</w:t>
      </w:r>
    </w:p>
    <w:p>
      <w:pPr>
        <w:spacing w:after="60"/>
      </w:pPr>
      <w:r>
        <w:rPr>
          <w:rFonts w:ascii="Times New Roman" w:hAnsi="Times New Roman"/>
          <w:sz w:val="22"/>
        </w:rPr>
        <w:t>• The anomaly count is close to the 100 fraud-labelled records, but count similarity alone does not prove that the flagged records are exactly the fraudulent records.</w:t>
      </w:r>
    </w:p>
    <w:p>
      <w:pPr>
        <w:pStyle w:val="2"/>
        <w:keepNext/>
      </w:pPr>
      <w:r>
        <w:rPr>
          <w:rFonts w:ascii="Times New Roman" w:hAnsi="Times New Roman"/>
          <w:sz w:val="22"/>
        </w:rPr>
        <w:t>4. ALGORITHM SELECTION AND IMPLEMENTATION</w:t>
      </w:r>
    </w:p>
    <w:p>
      <w:pPr>
        <w:pStyle w:val="3"/>
        <w:keepNext/>
      </w:pPr>
      <w:r>
        <w:rPr>
          <w:rFonts w:ascii="Times New Roman" w:hAnsi="Times New Roman"/>
          <w:sz w:val="22"/>
        </w:rPr>
        <w:t>4.1 Why DBSCAN?</w:t>
      </w:r>
    </w:p>
    <w:p>
      <w:pPr>
        <w:spacing w:after="120"/>
      </w:pPr>
      <w:r>
        <w:rPr>
          <w:rFonts w:ascii="Times New Roman" w:hAnsi="Times New Roman"/>
          <w:sz w:val="22"/>
        </w:rPr>
        <w:t>DBSCAN stands for Density-Based Spatial Clustering of Applications with Noise. Unlike methods that require the number of clusters to be specified in advance, DBSCAN groups observations based on local density and can label observations outside dense regions as noise. This makes it a reasonable exploratory choice for anomaly detection, where unusual records may not form a separate compact cluster. Its main limitation is sensitivity to distance representation and parameters, especially when feature densities differ.</w:t>
      </w:r>
    </w:p>
    <w:p>
      <w:pPr>
        <w:pStyle w:val="3"/>
        <w:keepNext/>
      </w:pPr>
      <w:r>
        <w:rPr>
          <w:rFonts w:ascii="Times New Roman" w:hAnsi="Times New Roman"/>
          <w:sz w:val="22"/>
        </w:rPr>
        <w:t>4.2 DBSCAN Parameters and Workflow</w:t>
      </w:r>
    </w:p>
    <w:tbl>
      <w:tblPr>
        <w:tblW w:type="auto" w:w="0"/>
        <w:jc w:val="center"/>
        <w:tblLook w:firstColumn="1" w:firstRow="1" w:lastColumn="0" w:lastRow="0" w:noHBand="0" w:noVBand="1" w:val="04A0"/>
      </w:tblPr>
      <w:tblGrid>
        <w:gridCol w:w="3120"/>
        <w:gridCol w:w="3120"/>
        <w:gridCol w:w="3120"/>
      </w:tblGrid>
      <w:tr>
        <w:tc>
          <w:tcPr>
            <w:tcW w:type="dxa" w:w="3120"/>
            <w:vAlign w:val="center"/>
          </w:tcPr>
          <w:p>
            <w:pPr>
              <w:spacing w:after="40"/>
            </w:pPr>
            <w:r>
              <w:rPr>
                <w:sz w:val="18"/>
              </w:rPr>
              <w:t>Parameter / step</w:t>
            </w:r>
          </w:p>
        </w:tc>
        <w:tc>
          <w:tcPr>
            <w:tcW w:type="dxa" w:w="3120"/>
            <w:vAlign w:val="center"/>
          </w:tcPr>
          <w:p>
            <w:pPr>
              <w:spacing w:after="40"/>
            </w:pPr>
            <w:r>
              <w:rPr>
                <w:sz w:val="18"/>
              </w:rPr>
              <w:t>Value or method</w:t>
            </w:r>
          </w:p>
        </w:tc>
        <w:tc>
          <w:tcPr>
            <w:tcW w:type="dxa" w:w="3120"/>
            <w:vAlign w:val="center"/>
          </w:tcPr>
          <w:p>
            <w:pPr>
              <w:spacing w:after="40"/>
            </w:pPr>
            <w:r>
              <w:rPr>
                <w:sz w:val="18"/>
              </w:rPr>
              <w:t>Purpose</w:t>
            </w:r>
          </w:p>
        </w:tc>
      </w:tr>
      <w:tr>
        <w:tc>
          <w:tcPr>
            <w:tcW w:type="dxa" w:w="3120"/>
            <w:vAlign w:val="center"/>
          </w:tcPr>
          <w:p>
            <w:pPr>
              <w:spacing w:after="40"/>
            </w:pPr>
            <w:r>
              <w:rPr>
                <w:sz w:val="18"/>
              </w:rPr>
              <w:t>eps</w:t>
            </w:r>
          </w:p>
        </w:tc>
        <w:tc>
          <w:tcPr>
            <w:tcW w:type="dxa" w:w="3120"/>
            <w:vAlign w:val="center"/>
          </w:tcPr>
          <w:p>
            <w:pPr>
              <w:spacing w:after="40"/>
            </w:pPr>
            <w:r>
              <w:rPr>
                <w:sz w:val="18"/>
              </w:rPr>
              <w:t>2.9</w:t>
            </w:r>
          </w:p>
        </w:tc>
        <w:tc>
          <w:tcPr>
            <w:tcW w:type="dxa" w:w="3120"/>
            <w:vAlign w:val="center"/>
          </w:tcPr>
          <w:p>
            <w:pPr>
              <w:spacing w:after="40"/>
            </w:pPr>
            <w:r>
              <w:rPr>
                <w:sz w:val="18"/>
              </w:rPr>
              <w:t>Neighbourhood radius selected by inspecting the k-distance graph</w:t>
            </w:r>
          </w:p>
        </w:tc>
      </w:tr>
      <w:tr>
        <w:tc>
          <w:tcPr>
            <w:tcW w:type="dxa" w:w="3120"/>
            <w:vAlign w:val="center"/>
          </w:tcPr>
          <w:p>
            <w:pPr>
              <w:spacing w:after="40"/>
            </w:pPr>
            <w:r>
              <w:rPr>
                <w:sz w:val="18"/>
              </w:rPr>
              <w:t>min_samples</w:t>
            </w:r>
          </w:p>
        </w:tc>
        <w:tc>
          <w:tcPr>
            <w:tcW w:type="dxa" w:w="3120"/>
            <w:vAlign w:val="center"/>
          </w:tcPr>
          <w:p>
            <w:pPr>
              <w:spacing w:after="40"/>
            </w:pPr>
            <w:r>
              <w:rPr>
                <w:sz w:val="18"/>
              </w:rPr>
              <w:t>5</w:t>
            </w:r>
          </w:p>
        </w:tc>
        <w:tc>
          <w:tcPr>
            <w:tcW w:type="dxa" w:w="3120"/>
            <w:vAlign w:val="center"/>
          </w:tcPr>
          <w:p>
            <w:pPr>
              <w:spacing w:after="40"/>
            </w:pPr>
            <w:r>
              <w:rPr>
                <w:sz w:val="18"/>
              </w:rPr>
              <w:t>Minimum number of nearby samples used to define a dense region</w:t>
            </w:r>
          </w:p>
        </w:tc>
      </w:tr>
      <w:tr>
        <w:tc>
          <w:tcPr>
            <w:tcW w:type="dxa" w:w="3120"/>
            <w:vAlign w:val="center"/>
          </w:tcPr>
          <w:p>
            <w:pPr>
              <w:spacing w:after="40"/>
            </w:pPr>
            <w:r>
              <w:rPr>
                <w:sz w:val="18"/>
              </w:rPr>
              <w:t>Feature scaling</w:t>
            </w:r>
          </w:p>
        </w:tc>
        <w:tc>
          <w:tcPr>
            <w:tcW w:type="dxa" w:w="3120"/>
            <w:vAlign w:val="center"/>
          </w:tcPr>
          <w:p>
            <w:pPr>
              <w:spacing w:after="40"/>
            </w:pPr>
            <w:r>
              <w:rPr>
                <w:sz w:val="18"/>
              </w:rPr>
              <w:t>RobustScaler</w:t>
            </w:r>
          </w:p>
        </w:tc>
        <w:tc>
          <w:tcPr>
            <w:tcW w:type="dxa" w:w="3120"/>
            <w:vAlign w:val="center"/>
          </w:tcPr>
          <w:p>
            <w:pPr>
              <w:spacing w:after="40"/>
            </w:pPr>
            <w:r>
              <w:rPr>
                <w:sz w:val="18"/>
              </w:rPr>
              <w:t>Places numeric features on comparable scales using robust statistics</w:t>
            </w:r>
          </w:p>
        </w:tc>
      </w:tr>
      <w:tr>
        <w:tc>
          <w:tcPr>
            <w:tcW w:type="dxa" w:w="3120"/>
            <w:vAlign w:val="center"/>
          </w:tcPr>
          <w:p>
            <w:pPr>
              <w:spacing w:after="40"/>
            </w:pPr>
            <w:r>
              <w:rPr>
                <w:sz w:val="18"/>
              </w:rPr>
              <w:t>Categorical encoding</w:t>
            </w:r>
          </w:p>
        </w:tc>
        <w:tc>
          <w:tcPr>
            <w:tcW w:type="dxa" w:w="3120"/>
            <w:vAlign w:val="center"/>
          </w:tcPr>
          <w:p>
            <w:pPr>
              <w:spacing w:after="40"/>
            </w:pPr>
            <w:r>
              <w:rPr>
                <w:sz w:val="18"/>
              </w:rPr>
              <w:t>OneHotEncoder</w:t>
            </w:r>
          </w:p>
        </w:tc>
        <w:tc>
          <w:tcPr>
            <w:tcW w:type="dxa" w:w="3120"/>
            <w:vAlign w:val="center"/>
          </w:tcPr>
          <w:p>
            <w:pPr>
              <w:spacing w:after="40"/>
            </w:pPr>
            <w:r>
              <w:rPr>
                <w:sz w:val="18"/>
              </w:rPr>
              <w:t>Converts location, transaction type and channel to numeric indicator features</w:t>
            </w:r>
          </w:p>
        </w:tc>
      </w:tr>
      <w:tr>
        <w:tc>
          <w:tcPr>
            <w:tcW w:type="dxa" w:w="3120"/>
            <w:vAlign w:val="center"/>
          </w:tcPr>
          <w:p>
            <w:pPr>
              <w:spacing w:after="40"/>
            </w:pPr>
            <w:r>
              <w:rPr>
                <w:sz w:val="18"/>
              </w:rPr>
              <w:t>Noise interpretation</w:t>
            </w:r>
          </w:p>
        </w:tc>
        <w:tc>
          <w:tcPr>
            <w:tcW w:type="dxa" w:w="3120"/>
            <w:vAlign w:val="center"/>
          </w:tcPr>
          <w:p>
            <w:pPr>
              <w:spacing w:after="40"/>
            </w:pPr>
            <w:r>
              <w:rPr>
                <w:sz w:val="18"/>
              </w:rPr>
              <w:t>Cluster label -1</w:t>
            </w:r>
          </w:p>
        </w:tc>
        <w:tc>
          <w:tcPr>
            <w:tcW w:type="dxa" w:w="3120"/>
            <w:vAlign w:val="center"/>
          </w:tcPr>
          <w:p>
            <w:pPr>
              <w:spacing w:after="40"/>
            </w:pPr>
            <w:r>
              <w:rPr>
                <w:sz w:val="18"/>
              </w:rPr>
              <w:t>Treated as a candidate anomaly for review</w:t>
            </w:r>
          </w:p>
        </w:tc>
      </w:tr>
    </w:tbl>
    <w:p>
      <w:pPr>
        <w:spacing w:after="120"/>
      </w:pPr>
      <w:r>
        <w:rPr>
          <w:rFonts w:ascii="Times New Roman" w:hAnsi="Times New Roman"/>
          <w:sz w:val="22"/>
        </w:rPr>
        <w:t>The notebook pipeline can be summarised as: load CSV → validate data → separate labels and identifiers → engineer features → encode and scale → inspect k-distance graph → run DBSCAN → mark label -1 as candidate anomaly → compare predictions with known labels → perform sensitivity and interpretation analyses → export result CSV files.</w:t>
      </w:r>
    </w:p>
    <w:p>
      <w:pPr>
        <w:pStyle w:val="3"/>
        <w:keepNext/>
      </w:pPr>
      <w:r>
        <w:rPr>
          <w:rFonts w:ascii="Times New Roman" w:hAnsi="Times New Roman"/>
          <w:sz w:val="22"/>
        </w:rPr>
        <w:t>4.3 Evaluation Results Recorded in the Notebook</w:t>
      </w:r>
    </w:p>
    <w:tbl>
      <w:tblPr>
        <w:tblW w:type="auto" w:w="0"/>
        <w:jc w:val="center"/>
        <w:tblLook w:firstColumn="1" w:firstRow="1" w:lastColumn="0" w:lastRow="0" w:noHBand="0" w:noVBand="1" w:val="04A0"/>
      </w:tblPr>
      <w:tblGrid>
        <w:gridCol w:w="3120"/>
        <w:gridCol w:w="3120"/>
        <w:gridCol w:w="3120"/>
      </w:tblGrid>
      <w:tr>
        <w:tc>
          <w:tcPr>
            <w:tcW w:type="dxa" w:w="3120"/>
            <w:vAlign w:val="center"/>
          </w:tcPr>
          <w:p>
            <w:pPr>
              <w:spacing w:after="40"/>
            </w:pPr>
            <w:r>
              <w:rPr>
                <w:sz w:val="18"/>
              </w:rPr>
              <w:t>Metric</w:t>
            </w:r>
          </w:p>
        </w:tc>
        <w:tc>
          <w:tcPr>
            <w:tcW w:type="dxa" w:w="3120"/>
            <w:vAlign w:val="center"/>
          </w:tcPr>
          <w:p>
            <w:pPr>
              <w:spacing w:after="40"/>
            </w:pPr>
            <w:r>
              <w:rPr>
                <w:sz w:val="18"/>
              </w:rPr>
              <w:t>Recorded result</w:t>
            </w:r>
          </w:p>
        </w:tc>
        <w:tc>
          <w:tcPr>
            <w:tcW w:type="dxa" w:w="3120"/>
            <w:vAlign w:val="center"/>
          </w:tcPr>
          <w:p>
            <w:pPr>
              <w:spacing w:after="40"/>
            </w:pPr>
            <w:r>
              <w:rPr>
                <w:sz w:val="18"/>
              </w:rPr>
              <w:t>Interpretation</w:t>
            </w:r>
          </w:p>
        </w:tc>
      </w:tr>
      <w:tr>
        <w:tc>
          <w:tcPr>
            <w:tcW w:type="dxa" w:w="3120"/>
            <w:vAlign w:val="center"/>
          </w:tcPr>
          <w:p>
            <w:pPr>
              <w:spacing w:after="40"/>
            </w:pPr>
            <w:r>
              <w:rPr>
                <w:sz w:val="18"/>
              </w:rPr>
              <w:t>Accuracy</w:t>
            </w:r>
          </w:p>
        </w:tc>
        <w:tc>
          <w:tcPr>
            <w:tcW w:type="dxa" w:w="3120"/>
            <w:vAlign w:val="center"/>
          </w:tcPr>
          <w:p>
            <w:pPr>
              <w:spacing w:after="40"/>
            </w:pPr>
            <w:r>
              <w:rPr>
                <w:sz w:val="18"/>
              </w:rPr>
              <w:t>99.60%</w:t>
            </w:r>
          </w:p>
        </w:tc>
        <w:tc>
          <w:tcPr>
            <w:tcW w:type="dxa" w:w="3120"/>
            <w:vAlign w:val="center"/>
          </w:tcPr>
          <w:p>
            <w:pPr>
              <w:spacing w:after="40"/>
            </w:pPr>
            <w:r>
              <w:rPr>
                <w:sz w:val="18"/>
              </w:rPr>
              <w:t>Proportion of all records classified in agreement with labels</w:t>
            </w:r>
          </w:p>
        </w:tc>
      </w:tr>
      <w:tr>
        <w:tc>
          <w:tcPr>
            <w:tcW w:type="dxa" w:w="3120"/>
            <w:vAlign w:val="center"/>
          </w:tcPr>
          <w:p>
            <w:pPr>
              <w:spacing w:after="40"/>
            </w:pPr>
            <w:r>
              <w:rPr>
                <w:sz w:val="18"/>
              </w:rPr>
              <w:t>Precision</w:t>
            </w:r>
          </w:p>
        </w:tc>
        <w:tc>
          <w:tcPr>
            <w:tcW w:type="dxa" w:w="3120"/>
            <w:vAlign w:val="center"/>
          </w:tcPr>
          <w:p>
            <w:pPr>
              <w:spacing w:after="40"/>
            </w:pPr>
            <w:r>
              <w:rPr>
                <w:sz w:val="18"/>
              </w:rPr>
              <w:t>96.15%</w:t>
            </w:r>
          </w:p>
        </w:tc>
        <w:tc>
          <w:tcPr>
            <w:tcW w:type="dxa" w:w="3120"/>
            <w:vAlign w:val="center"/>
          </w:tcPr>
          <w:p>
            <w:pPr>
              <w:spacing w:after="40"/>
            </w:pPr>
            <w:r>
              <w:rPr>
                <w:sz w:val="18"/>
              </w:rPr>
              <w:t>Of records flagged as anomalies, proportion labelled fraud in the reference data</w:t>
            </w:r>
          </w:p>
        </w:tc>
      </w:tr>
      <w:tr>
        <w:tc>
          <w:tcPr>
            <w:tcW w:type="dxa" w:w="3120"/>
            <w:vAlign w:val="center"/>
          </w:tcPr>
          <w:p>
            <w:pPr>
              <w:spacing w:after="40"/>
            </w:pPr>
            <w:r>
              <w:rPr>
                <w:sz w:val="18"/>
              </w:rPr>
              <w:t>Recall</w:t>
            </w:r>
          </w:p>
        </w:tc>
        <w:tc>
          <w:tcPr>
            <w:tcW w:type="dxa" w:w="3120"/>
            <w:vAlign w:val="center"/>
          </w:tcPr>
          <w:p>
            <w:pPr>
              <w:spacing w:after="40"/>
            </w:pPr>
            <w:r>
              <w:rPr>
                <w:sz w:val="18"/>
              </w:rPr>
              <w:t>100.00%</w:t>
            </w:r>
          </w:p>
        </w:tc>
        <w:tc>
          <w:tcPr>
            <w:tcW w:type="dxa" w:w="3120"/>
            <w:vAlign w:val="center"/>
          </w:tcPr>
          <w:p>
            <w:pPr>
              <w:spacing w:after="40"/>
            </w:pPr>
            <w:r>
              <w:rPr>
                <w:sz w:val="18"/>
              </w:rPr>
              <w:t>Proportion of fraud-labelled records flagged by the model</w:t>
            </w:r>
          </w:p>
        </w:tc>
      </w:tr>
      <w:tr>
        <w:tc>
          <w:tcPr>
            <w:tcW w:type="dxa" w:w="3120"/>
            <w:vAlign w:val="center"/>
          </w:tcPr>
          <w:p>
            <w:pPr>
              <w:spacing w:after="40"/>
            </w:pPr>
            <w:r>
              <w:rPr>
                <w:sz w:val="18"/>
              </w:rPr>
              <w:t>F1-score</w:t>
            </w:r>
          </w:p>
        </w:tc>
        <w:tc>
          <w:tcPr>
            <w:tcW w:type="dxa" w:w="3120"/>
            <w:vAlign w:val="center"/>
          </w:tcPr>
          <w:p>
            <w:pPr>
              <w:spacing w:after="40"/>
            </w:pPr>
            <w:r>
              <w:rPr>
                <w:sz w:val="18"/>
              </w:rPr>
              <w:t>98.04%</w:t>
            </w:r>
          </w:p>
        </w:tc>
        <w:tc>
          <w:tcPr>
            <w:tcW w:type="dxa" w:w="3120"/>
            <w:vAlign w:val="center"/>
          </w:tcPr>
          <w:p>
            <w:pPr>
              <w:spacing w:after="40"/>
            </w:pPr>
            <w:r>
              <w:rPr>
                <w:sz w:val="18"/>
              </w:rPr>
              <w:t>Harmonic mean of precision and recall</w:t>
            </w:r>
          </w:p>
        </w:tc>
      </w:tr>
      <w:tr>
        <w:tc>
          <w:tcPr>
            <w:tcW w:type="dxa" w:w="3120"/>
            <w:vAlign w:val="center"/>
          </w:tcPr>
          <w:p>
            <w:pPr>
              <w:spacing w:after="40"/>
            </w:pPr>
            <w:r>
              <w:rPr>
                <w:sz w:val="18"/>
              </w:rPr>
              <w:t>Candidate anomalies</w:t>
            </w:r>
          </w:p>
        </w:tc>
        <w:tc>
          <w:tcPr>
            <w:tcW w:type="dxa" w:w="3120"/>
            <w:vAlign w:val="center"/>
          </w:tcPr>
          <w:p>
            <w:pPr>
              <w:spacing w:after="40"/>
            </w:pPr>
            <w:r>
              <w:rPr>
                <w:sz w:val="18"/>
              </w:rPr>
              <w:t>104 / 1,000</w:t>
            </w:r>
          </w:p>
        </w:tc>
        <w:tc>
          <w:tcPr>
            <w:tcW w:type="dxa" w:w="3120"/>
            <w:vAlign w:val="center"/>
          </w:tcPr>
          <w:p>
            <w:pPr>
              <w:spacing w:after="40"/>
            </w:pPr>
            <w:r>
              <w:rPr>
                <w:sz w:val="18"/>
              </w:rPr>
              <w:t>10.4% of all transactions</w:t>
            </w:r>
          </w:p>
        </w:tc>
      </w:tr>
      <w:tr>
        <w:tc>
          <w:tcPr>
            <w:tcW w:type="dxa" w:w="3120"/>
            <w:vAlign w:val="center"/>
          </w:tcPr>
          <w:p>
            <w:pPr>
              <w:spacing w:after="40"/>
            </w:pPr>
            <w:r>
              <w:rPr>
                <w:sz w:val="18"/>
              </w:rPr>
              <w:t>Confusion matrix implication</w:t>
            </w:r>
          </w:p>
        </w:tc>
        <w:tc>
          <w:tcPr>
            <w:tcW w:type="dxa" w:w="3120"/>
            <w:vAlign w:val="center"/>
          </w:tcPr>
          <w:p>
            <w:pPr>
              <w:spacing w:after="40"/>
            </w:pPr>
            <w:r>
              <w:rPr>
                <w:sz w:val="18"/>
              </w:rPr>
              <w:t>96 true positives, 4 false positives, 0 false negatives, 900 true negatives</w:t>
            </w:r>
          </w:p>
        </w:tc>
        <w:tc>
          <w:tcPr>
            <w:tcW w:type="dxa" w:w="3120"/>
            <w:vAlign w:val="center"/>
          </w:tcPr>
          <w:p>
            <w:pPr>
              <w:spacing w:after="40"/>
            </w:pPr>
            <w:r>
              <w:rPr>
                <w:sz w:val="18"/>
              </w:rPr>
              <w:t>Consistent with the recorded precision, recall and accuracy</w:t>
            </w:r>
          </w:p>
        </w:tc>
      </w:tr>
    </w:tbl>
    <w:p>
      <w:pPr>
        <w:spacing w:after="120"/>
      </w:pPr>
      <w:r>
        <w:rPr>
          <w:rFonts w:ascii="Times New Roman" w:hAnsi="Times New Roman"/>
          <w:sz w:val="22"/>
        </w:rPr>
        <w:t>These results are the notebook’s recorded evaluation on the same dataset used to construct the DBSCAN density structure. They are useful for describing this experiment, but they may be optimistic compared with genuinely unseen data. The 4 false positives represent records flagged by DBSCAN that are not fraud-labelled in the supplied data. The recorded 100% recall means no fraud-labelled record was missed in this particular evaluation; it does not establish that future fraud will always be detected.</w:t>
      </w:r>
    </w:p>
    <w:p>
      <w:pPr>
        <w:pStyle w:val="3"/>
        <w:keepNext/>
      </w:pPr>
      <w:r>
        <w:rPr>
          <w:rFonts w:ascii="Times New Roman" w:hAnsi="Times New Roman"/>
          <w:sz w:val="22"/>
        </w:rPr>
        <w:t>4.4 Parameter Sensitivity</w:t>
      </w:r>
    </w:p>
    <w:p>
      <w:pPr>
        <w:spacing w:after="120"/>
      </w:pPr>
      <w:r>
        <w:rPr>
          <w:rFonts w:ascii="Times New Roman" w:hAnsi="Times New Roman"/>
          <w:sz w:val="22"/>
        </w:rPr>
        <w:t>The notebook varies eps while keeping min_samples = 5. The recorded results show that eps = 2.5 flags 134 records (precision 74.63%, recall 100.00%, F1 85.47%); eps = 2.9 flags 104 records (precision 96.15%, recall 100.00%, F1 98.04%); and eps = 3.3 flags 83 records (precision 98.80%, recall 82.00%, F1 89.62%). This illustrates the trade-off: a larger neighbourhood radius can reduce the number of noise points but may also leave some known fraud-labelled records unflagged. The final eps value is stated as being guided primarily by the k-distance graph, not chosen solely to maximise label-based metrics.</w:t>
      </w:r>
    </w:p>
    <w:p>
      <w:pPr>
        <w:pStyle w:val="3"/>
        <w:keepNext/>
      </w:pPr>
      <w:r>
        <w:rPr>
          <w:rFonts w:ascii="Times New Roman" w:hAnsi="Times New Roman"/>
          <w:sz w:val="22"/>
        </w:rPr>
        <w:t>4.5 Web Application and System Architecture</w:t>
      </w:r>
    </w:p>
    <w:p>
      <w:pPr>
        <w:spacing w:after="120"/>
      </w:pPr>
      <w:r>
        <w:rPr>
          <w:rFonts w:ascii="Times New Roman" w:hAnsi="Times New Roman"/>
          <w:sz w:val="22"/>
        </w:rPr>
        <w:t>The supplied project ZIP contains a React 19 frontend built with Vite and TypeScript, a Python FastAPI backend, and a dedicated ml_engine.py module for dataset validation, column mapping/cleaning, DBSCAN clustering, k-distance calculation and preparation of frontend data. The frontend includes views/components for the dashboard, dataset upload, EDA, DBSCAN, anomalies, correlation, feature analysis, model architecture and performance. Recharts is included for visualisation. The backend exposes authentication and dataset-management routes and maintains an in-memory active session with a demo dataset at startup.</w:t>
      </w:r>
    </w:p>
    <w:p>
      <w:pPr>
        <w:spacing w:after="120"/>
      </w:pPr>
      <w:r>
        <w:rPr>
          <w:rFonts w:ascii="Times New Roman" w:hAnsi="Times New Roman"/>
          <w:sz w:val="22"/>
        </w:rPr>
        <w:t>Important implementation distinction: the notebook’s documented final experiment uses eps = 2.9, min_samples = 5 and a 32-feature processed representation. The web backend’s initial demo session uses eps = 0.50, min_samples = 5 and a default subset of numerical features. Therefore, the notebook metrics in Section 4.3 must not be presented as measured live-dashboard metrics unless the dashboard is separately run with the same dataset, preprocessing and configuration. The backend code shown in the ZIP uses in-memory session state for the active dataset/results; persistent database storage is not established by the inspected implementation.</w:t>
      </w:r>
    </w:p>
    <w:p>
      <w:pPr>
        <w:pStyle w:val="3"/>
        <w:keepNext/>
      </w:pPr>
      <w:r>
        <w:rPr>
          <w:rFonts w:ascii="Times New Roman" w:hAnsi="Times New Roman"/>
          <w:sz w:val="22"/>
        </w:rPr>
        <w:t>4.6 Responsible Interpretation</w:t>
      </w:r>
    </w:p>
    <w:p>
      <w:pPr>
        <w:spacing w:after="120"/>
      </w:pPr>
      <w:r>
        <w:rPr>
          <w:rFonts w:ascii="Times New Roman" w:hAnsi="Times New Roman"/>
          <w:sz w:val="22"/>
        </w:rPr>
        <w:t>The application should describe outputs as candidate anomalies or suspicious transactions rather than confirmed fraud. A production workflow should combine anomaly scores with investigation rules and human review. Data should be protected, access should be controlled, and any use of personal or financial data should follow applicable institutional and legal requirements. Before operational use, the pipeline needs an independent chronological or external test, validation on representative data, false-positive review, monitoring for changes in transaction patterns, and documented approval criteria.</w:t>
      </w:r>
    </w:p>
    <w:p>
      <w:pPr>
        <w:pStyle w:val="2"/>
        <w:keepNext/>
      </w:pPr>
      <w:r>
        <w:rPr>
          <w:rFonts w:ascii="Times New Roman" w:hAnsi="Times New Roman"/>
          <w:sz w:val="22"/>
        </w:rPr>
        <w:t>5. CONCLUSION</w:t>
      </w:r>
    </w:p>
    <w:p>
      <w:pPr>
        <w:spacing w:after="120"/>
      </w:pPr>
      <w:r>
        <w:rPr>
          <w:rFonts w:ascii="Times New Roman" w:hAnsi="Times New Roman"/>
          <w:sz w:val="22"/>
        </w:rPr>
        <w:t>This case study applied DBSCAN-based unsupervised anomaly detection to a 1,000-row transaction dataset. The notebook separated the known fraud label from model input, removed identifiers, engineered cyclical time features, transformed selected skewed variables, encoded categorical features and scaled numeric values. Using eps = 2.9 and min_samples = 5, DBSCAN identified 104 candidate anomalies. The recorded post-hoc evaluation reported 99.60% accuracy, 96.15% precision, 100.00% recall and 98.04% F1-score against the supplied labels. Sensitivity analysis demonstrated that the number of anomalies and metrics change with eps, highlighting the importance of parameter selection. The associated web application provides a user interface and FastAPI processing path for exploring datasets and results, although its default configuration differs from the notebook experiment. Overall, DBSCAN is a useful exploratory method for prioritising unusual transactions, but anomaly flags require review and the reported scores should be validated on independent data before any real-world fraud-detection use.</w:t>
      </w:r>
    </w:p>
    <w:p>
      <w:pPr>
        <w:pStyle w:val="2"/>
        <w:keepNext/>
      </w:pPr>
      <w:r>
        <w:rPr>
          <w:rFonts w:ascii="Times New Roman" w:hAnsi="Times New Roman"/>
          <w:sz w:val="22"/>
        </w:rPr>
        <w:t>REFERENCES</w:t>
      </w:r>
    </w:p>
    <w:p>
      <w:pPr>
        <w:spacing w:after="60"/>
      </w:pPr>
      <w:r>
        <w:rPr>
          <w:rFonts w:ascii="Times New Roman" w:hAnsi="Times New Roman"/>
          <w:sz w:val="22"/>
        </w:rPr>
        <w:t>• Ester, M., Kriegel, H.-P., Sander, J., and Xu, X. “A Density-Based Algorithm for Discovering Clusters in Large Spatial Databases with Noise.” Proceedings of the Second International Conference on Knowledge Discovery and Data Mining, 1996.</w:t>
      </w:r>
    </w:p>
    <w:p>
      <w:pPr>
        <w:spacing w:after="60"/>
      </w:pPr>
      <w:r>
        <w:rPr>
          <w:rFonts w:ascii="Times New Roman" w:hAnsi="Times New Roman"/>
          <w:sz w:val="22"/>
        </w:rPr>
        <w:t>• scikit-learn documentation: DBSCAN, preprocessing tools, nearest neighbours, PCA and classification metrics. https://scikit-learn.org/</w:t>
      </w:r>
    </w:p>
    <w:p>
      <w:pPr>
        <w:spacing w:after="60"/>
      </w:pPr>
      <w:r>
        <w:rPr>
          <w:rFonts w:ascii="Times New Roman" w:hAnsi="Times New Roman"/>
          <w:sz w:val="22"/>
        </w:rPr>
        <w:t>• Project implementation supplied for this case study: Fraud_Transaction_DBSCAN_Final_Organized notebook, transaction CSV, React/Vite frontend and FastAPI backend.</w:t>
      </w:r>
    </w:p>
    <w:p>
      <w:pPr>
        <w:pageBreakBefore/>
      </w:pPr>
    </w:p>
    <w:p>
      <w:pPr>
        <w:pStyle w:val="2"/>
        <w:keepNext/>
      </w:pPr>
      <w:r>
        <w:rPr>
          <w:rFonts w:ascii="Times New Roman" w:hAnsi="Times New Roman"/>
          <w:sz w:val="22"/>
        </w:rPr>
        <w:t>TEAM DECLARATION AND SIGNATURES</w:t>
      </w:r>
    </w:p>
    <w:p>
      <w:pPr>
        <w:spacing w:after="120"/>
      </w:pPr>
      <w:r>
        <w:rPr>
          <w:rFonts w:ascii="Times New Roman" w:hAnsi="Times New Roman"/>
          <w:sz w:val="22"/>
        </w:rPr>
        <w:t>We submit this case-study report as a description of the dataset, implementation and results recorded in the supplied project materials. The reported results are specific to the experiment described in this report and should be interpreted with the stated limitations.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pPr>
              <w:spacing w:after="40"/>
            </w:pPr>
            <w:r>
              <w:rPr>
                <w:sz w:val="18"/>
              </w:rPr>
              <w:t>Team member</w:t>
            </w:r>
          </w:p>
        </w:tc>
        <w:tc>
          <w:tcPr>
            <w:tcW w:type="dxa" w:w="3120"/>
            <w:vAlign w:val="center"/>
          </w:tcPr>
          <w:p>
            <w:pPr>
              <w:spacing w:after="40"/>
            </w:pPr>
            <w:r>
              <w:rPr>
                <w:sz w:val="18"/>
              </w:rPr>
              <w:t>Roll number</w:t>
            </w:r>
          </w:p>
        </w:tc>
        <w:tc>
          <w:tcPr>
            <w:tcW w:type="dxa" w:w="3120"/>
            <w:vAlign w:val="center"/>
          </w:tcPr>
          <w:p>
            <w:pPr>
              <w:spacing w:after="40"/>
            </w:pPr>
            <w:r>
              <w:rPr>
                <w:sz w:val="18"/>
              </w:rPr>
              <w:t>Signature</w:t>
            </w:r>
          </w:p>
        </w:tc>
      </w:tr>
      <w:tr>
        <w:tc>
          <w:tcPr>
            <w:tcW w:type="dxa" w:w="3120"/>
            <w:vAlign w:val="center"/>
          </w:tcPr>
          <w:p>
            <w:pPr>
              <w:spacing w:after="40"/>
            </w:pPr>
            <w:r>
              <w:rPr>
                <w:sz w:val="18"/>
              </w:rPr>
              <w:t>M. Vignesh</w:t>
            </w:r>
          </w:p>
        </w:tc>
        <w:tc>
          <w:tcPr>
            <w:tcW w:type="dxa" w:w="3120"/>
            <w:vAlign w:val="center"/>
          </w:tcPr>
          <w:p>
            <w:pPr>
              <w:spacing w:after="40"/>
            </w:pPr>
            <w:r>
              <w:rPr>
                <w:sz w:val="18"/>
              </w:rPr>
              <w:t>2520030065</w:t>
            </w:r>
          </w:p>
        </w:tc>
        <w:tc>
          <w:tcPr>
            <w:tcW w:type="dxa" w:w="3120"/>
            <w:vAlign w:val="center"/>
          </w:tcPr>
          <w:p>
            <w:pPr>
              <w:spacing w:after="40"/>
            </w:pPr>
            <w:r>
              <w:rPr>
                <w:sz w:val="18"/>
              </w:rPr>
            </w:r>
          </w:p>
        </w:tc>
      </w:tr>
      <w:tr>
        <w:tc>
          <w:tcPr>
            <w:tcW w:type="dxa" w:w="3120"/>
            <w:vAlign w:val="center"/>
          </w:tcPr>
          <w:p>
            <w:pPr>
              <w:spacing w:after="40"/>
            </w:pPr>
            <w:r>
              <w:rPr>
                <w:sz w:val="18"/>
              </w:rPr>
              <w:t>V. Karthik</w:t>
            </w:r>
          </w:p>
        </w:tc>
        <w:tc>
          <w:tcPr>
            <w:tcW w:type="dxa" w:w="3120"/>
            <w:vAlign w:val="center"/>
          </w:tcPr>
          <w:p>
            <w:pPr>
              <w:spacing w:after="40"/>
            </w:pPr>
            <w:r>
              <w:rPr>
                <w:sz w:val="18"/>
              </w:rPr>
              <w:t>2520030053</w:t>
            </w:r>
          </w:p>
        </w:tc>
        <w:tc>
          <w:tcPr>
            <w:tcW w:type="dxa" w:w="3120"/>
            <w:vAlign w:val="center"/>
          </w:tcPr>
          <w:p>
            <w:pPr>
              <w:spacing w:after="40"/>
            </w:pPr>
            <w:r>
              <w:rPr>
                <w:sz w:val="18"/>
              </w:rPr>
            </w:r>
          </w:p>
        </w:tc>
      </w:tr>
    </w:tbl>
    <w:sectPr>
      <w:footerReference w:type="default" r:id="rId10"/>
      <w:pgSz w:w="12240" w:h="15840"/>
      <w:pgMar w:top="108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Machine Learning Case Study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M. Vignesh; V. Karthik</dc:creator>
  <cp:lastModifiedBy>yasmeen</cp:lastModifiedBy>
  <dcterms:modified xsi:type="dcterms:W3CDTF">2026-10-03T10:21:12Z</dcterms:modified>
  <cp:revision>6</cp:revision>
  <dc:title>Fraudulent Transaction Detection Using DBSCAN-Based Unsupervised Anomaly Detection</dc:title>
  <dc:subject>Machine Learning Case Study Report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