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BTReport Classification Results: Accuracy and F1</w:t>
      </w:r>
    </w:p>
    <w:p>
      <w:r>
        <w:rPr>
          <w:sz w:val="20"/>
          <w:szCs w:val="20"/>
        </w:rPr>
        <w:t xml:space="preserve">Molecular and grade classification performance across three LLMs, comparing the BTReport and BTReport++ feature sets. Each cell reports the metric for the corresponding feature set.</w:t>
      </w:r>
    </w:p>
    <w:p>
      <w:pPr>
        <w:pStyle w:val="Heading2"/>
      </w:pPr>
      <w:r>
        <w:t xml:space="preserve">Overall (whole cohort)</w:t>
      </w:r>
    </w:p>
    <w:p>
      <w:r>
        <w:rPr>
          <w:i/>
          <w:iCs/>
          <w:sz w:val="18"/>
          <w:szCs w:val="18"/>
        </w:rPr>
        <w:t xml:space="preserve">Whole-cohort results (IDH n=646, 1p/19q codeletion n=541, grade n=646).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BTReport Features</w:t>
            </w:r>
          </w:p>
        </w:tc>
        <w:tc>
          <w:tcPr>
            <w:tcW w:type="dxa" w:w="30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BTReport++ Features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GPT-5.5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0.490</w:t>
            </w:r>
          </w:p>
        </w:tc>
      </w:tr>
    </w:tbl>
    <w:p>
      <w:pPr>
        <w:pStyle w:val="Heading2"/>
        <w:pageBreakBefore/>
      </w:pPr>
      <w:r>
        <w:t xml:space="preserve">Per-dataset breakdown</w:t>
      </w:r>
    </w:p>
    <w:p>
      <w:r>
        <w:rPr>
          <w:i/>
          <w:iCs/>
          <w:sz w:val="18"/>
          <w:szCs w:val="18"/>
        </w:rPr>
        <w:t xml:space="preserve">Accuracy and F1 by source dataset. Acc. =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560"/>
        <w:gridCol w:w="132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BTReport Features</w:t>
            </w:r>
          </w:p>
        </w:tc>
        <w:tc>
          <w:tcPr>
            <w:tcW w:type="dxa" w:w="25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BTReport++ Features</w:t>
            </w:r>
          </w:p>
        </w:tc>
      </w:tr>
      <w:tr>
        <w:trPr>
          <w:tblHeader/>
        </w:trP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UCSF-PDGM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0.809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TCGA-GBM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0.327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UPENN-GBM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0.267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IvyGAP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TCGA-LGG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0.125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0.871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0.216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0.140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EGD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GPT-OSS-120B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0.662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0.396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GPT-5.5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0.836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0.484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IDH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0.678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1p/19q codel.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0.353</w:t>
            </w:r>
          </w:p>
        </w:tc>
      </w:tr>
      <w:tr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0.511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Confusion Matrices (whole cohort)</w:t>
      </w:r>
    </w:p>
    <w:p>
      <w:r>
        <w:rPr>
          <w:sz w:val="20"/>
          <w:szCs w:val="20"/>
        </w:rPr>
        <w:t xml:space="preserve">Rows = ground-truth class, columns = predicted class. Diagonal (highlighted) cells are correct predictions. One matrix per model, task, and feature set.</w:t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GPT-OSS-120B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IDH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191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1p/19q codeletion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410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405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Grade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266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258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GPT-5.5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IDH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256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1p/19q codeletion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385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382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Grade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340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327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Gemini 2.5 Pro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IDH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298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wildtype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1p/19q codeletion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(n=541)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non-codeleted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381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Grade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351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BTReport++ features  (n=646)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True \ Pred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FF0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344</w:t>
            </w:r>
          </w:p>
        </w:tc>
      </w:tr>
    </w:tbl>
    <w:p>
      <w:r>
        <w:rPr>
          <w:sz w:val="8"/>
          <w:szCs w:val="8"/>
        </w:rPr>
        <w:t xml:space="preserve"/>
      </w:r>
    </w:p>
    <w:sectPr>
      <w:type w:val="continuous"/>
      <w:pgSz w:w="12240" w:h="15840" w:orient="portrait"/>
      <w:pgMar w:top="1440" w:right="1440" w:bottom="1440" w:left="1440" w:header="708" w:footer="708" w:gutter="0"/>
      <w:pgNumType/>
      <w:cols w:space="480" w:num="2" w:sep="tru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2026-06-02T04:42:15.973Z</dcterms:created>
  <dcterms:modified xsi:type="dcterms:W3CDTF">2026-06-02T04:42:15.973Z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