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BTReport Classification Results: Accuracy and F1</w:t>
      </w:r>
    </w:p>
    <w:p>
      <w:r>
        <w:rPr>
          <w:sz w:val="20"/>
          <w:szCs w:val="20"/>
        </w:rPr>
        <w:t xml:space="preserve">Molecular and grade classification performance across three LLMs, comparing the BTReport and BTReport++ feature sets. Each cell reports the metric for the corresponding feature set.</w:t>
      </w:r>
    </w:p>
    <w:p>
      <w:pPr>
        <w:pStyle w:val="Heading2"/>
      </w:pPr>
      <w:r>
        <w:t xml:space="preserve">Summary</w:t>
      </w:r>
    </w:p>
    <w:p>
      <w:pPr>
        <w:spacing w:after="120"/>
      </w:pPr>
      <w:r>
        <w:rPr>
          <w:sz w:val="21"/>
          <w:szCs w:val="21"/>
        </w:rPr>
        <w:t xml:space="preserve">Across the whole cohort of 646 subjects, IDH-status prediction was the strongest of the three tasks, with GPT-5.5 leading (accuracy 0.788 and F1 0.764 under BTReport features) ahead of GPT-OSS-120B and Gemini 2.5 Pro. Moving from BTReport to the expanded BTReport++ feature set improved IDH performance for two of the three models, most notably by raising sensitivity: GPT-5.5 climbed to 0.822 accuracy and 0.827 F1, and Gemini improved from 0.588 to 0.708 F1, whereas GPT-OSS-120B regressed (accuracy 0.737 to 0.652) as its specificity fell. The 1p/19q codeletion task was the weakest across all models, with F1 scores between 0.08 and 0.44; this reflects a strong class imbalance (few codeleted cases), so the confusion matrices show most predictions defaulting to the non-codeleted majority class and consequently high accuracy but low F1. BTReport++ produced the clearest codeletion gains for the two weaker models (GPT-OSS-120B F1 0.168 to 0.245; Gemini 0.081 to 0.298). Tumor grading was intermediate, with GPT-5.5 again best (accuracy 0.690 and F1 0.557 under BTReport++); grade confusion matrices indicate errors concentrate between grades 2 and 3, while grade 4 is identified most reliably.</w:t>
      </w:r>
    </w:p>
    <w:p>
      <w:pPr>
        <w:spacing w:after="160"/>
      </w:pPr>
      <w:r>
        <w:rPr>
          <w:sz w:val="21"/>
          <w:szCs w:val="21"/>
        </w:rPr>
        <w:t xml:space="preserve">The per-dataset breakdown shows performance is uneven across sources. Results are strongest on the larger, class-balanced cohorts (UCSF-PDGM and EGD) and weakest on TCGA-LGG, where grade accuracy collapses to roughly 0.13 to 0.27. On the small glioblastoma-only cohorts (TCGA-GBM, UPENN-GBM, IvyGAP) the labels are highly skewed, so accuracy is inflated (often near 1.0 for codeletion and grade) while F1 stays near zero because the rare minority class is essentially never recovered. Overall, BTReport++ tends to trade specificity for sensitivity, helping the harder IDH and codeletion calls for GPT-5.5 and Gemini, and GPT-5.5 is the most consistent performer across tasks and datasets.</w:t>
      </w:r>
    </w:p>
    <w:p>
      <w:pPr>
        <w:pStyle w:val="Heading2"/>
      </w:pPr>
      <w:r>
        <w:t xml:space="preserve">Overall (whole cohort)</w:t>
      </w:r>
    </w:p>
    <w:p>
      <w:r>
        <w:rPr>
          <w:i/>
          <w:iCs/>
          <w:sz w:val="18"/>
          <w:szCs w:val="18"/>
        </w:rPr>
        <w:t xml:space="preserve">Whole-cohort results (IDH n=646, 1p/19q codeletion n=541, grade n=646).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00"/>
        <w:gridCol w:w="1500"/>
        <w:gridCol w:w="1500"/>
        <w:gridCol w:w="150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Model</w:t>
            </w:r>
          </w:p>
        </w:tc>
        <w:tc>
          <w:tcPr>
            <w:tcW w:type="dxa" w:w="1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Task</w:t>
            </w:r>
          </w:p>
        </w:tc>
        <w:tc>
          <w:tcPr>
            <w:tcW w:type="dxa" w:w="3000"/>
            <w:gridSpan w:val="2"/>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c>
          <w:tcPr>
            <w:tcW w:type="dxa" w:w="3000"/>
            <w:gridSpan w:val="2"/>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r>
      <w:tr>
        <w:trPr>
          <w:tblHeader/>
        </w:trPr>
        <w:tc>
          <w:tcPr>
            <w:tcW w:type="dxa" w:w="1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Accuracy</w:t>
            </w:r>
          </w:p>
        </w:tc>
        <w:tc>
          <w:tcPr>
            <w:tcW w:type="dxa" w:w="15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c>
          <w:tcPr>
            <w:tcW w:type="dxa" w:w="15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Accuracy</w:t>
            </w:r>
          </w:p>
        </w:tc>
        <w:tc>
          <w:tcPr>
            <w:tcW w:type="dxa" w:w="15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r>
      <w:tr>
        <w:tc>
          <w:tcPr>
            <w:tcW w:type="dxa" w:w="18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GPT-OSS-120B</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0.737</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0.729</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0.672</w:t>
            </w:r>
          </w:p>
        </w:tc>
      </w:tr>
      <w:tr>
        <w:tc>
          <w:tcPr>
            <w:tcW w:type="dxa" w:w="18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0.168</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0.245</w:t>
            </w:r>
          </w:p>
        </w:tc>
      </w:tr>
      <w:tr>
        <w:tc>
          <w:tcPr>
            <w:tcW w:type="dxa" w:w="18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0.588</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0.461</w:t>
            </w:r>
          </w:p>
        </w:tc>
      </w:tr>
      <w:tr>
        <w:tc>
          <w:tcPr>
            <w:tcW w:type="dxa" w:w="18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GPT-5.5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0.788</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0.827</w:t>
            </w:r>
          </w:p>
        </w:tc>
      </w:tr>
      <w:tr>
        <w:tc>
          <w:tcPr>
            <w:tcW w:type="dxa" w:w="18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0.440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0.410</w:t>
            </w:r>
          </w:p>
        </w:tc>
      </w:tr>
      <w:tr>
        <w:tc>
          <w:tcPr>
            <w:tcW w:type="dxa" w:w="18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0.514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0.557</w:t>
            </w:r>
          </w:p>
        </w:tc>
      </w:tr>
      <w:tr>
        <w:tc>
          <w:tcPr>
            <w:tcW w:type="dxa" w:w="18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Gemini 2.5 Pro</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0.686</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0.588</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0.708</w:t>
            </w:r>
          </w:p>
        </w:tc>
      </w:tr>
      <w:tr>
        <w:tc>
          <w:tcPr>
            <w:tcW w:type="dxa" w:w="18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0.789</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0.081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0.756</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0.298</w:t>
            </w:r>
          </w:p>
        </w:tc>
      </w:tr>
      <w:tr>
        <w:tc>
          <w:tcPr>
            <w:tcW w:type="dxa" w:w="18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0.490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0.490</w:t>
            </w:r>
          </w:p>
        </w:tc>
      </w:tr>
    </w:tbl>
    <w:p>
      <w:pPr>
        <w:pStyle w:val="Heading2"/>
        <w:pageBreakBefore/>
      </w:pPr>
      <w:r>
        <w:t xml:space="preserve">Per-dataset breakdown</w:t>
      </w:r>
    </w:p>
    <w:p>
      <w:r>
        <w:rPr>
          <w:i/>
          <w:iCs/>
          <w:sz w:val="18"/>
          <w:szCs w:val="18"/>
        </w:rPr>
        <w:t xml:space="preserve">Accuracy and F1 by source dataset. Acc. =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560"/>
        <w:gridCol w:w="1320"/>
        <w:gridCol w:w="1280"/>
        <w:gridCol w:w="1280"/>
        <w:gridCol w:w="1280"/>
        <w:gridCol w:w="1280"/>
      </w:tblGrid>
      <w:tr>
        <w:trPr>
          <w:tblHeader/>
        </w:trPr>
        <w:tc>
          <w:tcPr>
            <w:tcW w:type="dxa" w:w="13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Dataset</w:t>
            </w:r>
          </w:p>
        </w:tc>
        <w:tc>
          <w:tcPr>
            <w:tcW w:type="dxa" w:w="1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Model</w:t>
            </w:r>
          </w:p>
        </w:tc>
        <w:tc>
          <w:tcPr>
            <w:tcW w:type="dxa" w:w="132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Task</w:t>
            </w:r>
          </w:p>
        </w:tc>
        <w:tc>
          <w:tcPr>
            <w:tcW w:type="dxa" w:w="2560"/>
            <w:gridSpan w:val="2"/>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c>
          <w:tcPr>
            <w:tcW w:type="dxa" w:w="2560"/>
            <w:gridSpan w:val="2"/>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r>
      <w:tr>
        <w:trPr>
          <w:tblHeader/>
        </w:trPr>
        <w:tc>
          <w:tcPr>
            <w:tcW w:type="dxa" w:w="13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2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w:t>
            </w:r>
          </w:p>
        </w:tc>
        <w:tc>
          <w:tcPr>
            <w:tcW w:type="dxa" w:w="12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c>
          <w:tcPr>
            <w:tcW w:type="dxa" w:w="12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w:t>
            </w:r>
          </w:p>
        </w:tc>
        <w:tc>
          <w:tcPr>
            <w:tcW w:type="dxa" w:w="12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r>
      <w:tr>
        <w:tc>
          <w:tcPr>
            <w:tcW w:type="dxa" w:w="136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UCSF-PDGM</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0.832</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0.763</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0.892</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0.250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0.861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0.207</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0.686</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0.578</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0.696</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0.611</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0.806</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0.848</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0.859</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0.372</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0.375</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0.645</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0.668</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0.765</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0.812</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0.809</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0.795</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0.261</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0.838</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0.698</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0.711</w:t>
            </w:r>
          </w:p>
        </w:tc>
      </w:tr>
      <w:tr>
        <w:tc>
          <w:tcPr>
            <w:tcW w:type="dxa" w:w="136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TCGA-GBM</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0.312</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0.304</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0.960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0.327</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r>
      <w:tr>
        <w:tc>
          <w:tcPr>
            <w:tcW w:type="dxa" w:w="136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UPENN-GBM</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0.143</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0.952</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0.272</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0.786</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0.294</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0.874</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0.835</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0.190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0.961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0.328</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0.903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0.893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0.267</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0.330</w:t>
            </w:r>
          </w:p>
        </w:tc>
      </w:tr>
      <w:tr>
        <w:tc>
          <w:tcPr>
            <w:tcW w:type="dxa" w:w="136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IvyGAP</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0.250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0.556</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0.238</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0.778</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r>
      <w:tr>
        <w:tc>
          <w:tcPr>
            <w:tcW w:type="dxa" w:w="136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TCGA-LGG</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0.554</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0.554</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0.063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0.125</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0.253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0.227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0.141</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0.788</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0.871</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0.735</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0.476</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0.324</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0.181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0.180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0.265</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0.248</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0.505</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0.542</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0.703</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0.069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0.216</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0.144</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0.140</w:t>
            </w:r>
          </w:p>
        </w:tc>
      </w:tr>
      <w:tr>
        <w:tc>
          <w:tcPr>
            <w:tcW w:type="dxa" w:w="136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EGD</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0.745</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0.758</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0.662</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0.193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0.318</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0.540</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0.458</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0.455</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0.396</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0.792</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0.836</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0.464</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0.623</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0.464</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0.562</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0.438</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0.484</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0.617</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0.536</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0.689</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0.678</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0.585</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0.108</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0.585</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0.353</w:t>
            </w:r>
          </w:p>
        </w:tc>
      </w:tr>
      <w:tr>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0.511</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0.338</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0.502</w:t>
            </w:r>
          </w:p>
        </w:tc>
        <w:tc>
          <w:tcPr>
            <w:tcW w:type="dxa" w:w="1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0.350</w:t>
            </w:r>
          </w:p>
        </w:tc>
      </w:tr>
    </w:tbl>
    <w:p>
      <w:pPr>
        <w:sectPr>
          <w:pgSz w:w="12240" w:h="15840" w:orient="portrait"/>
          <w:pgMar w:top="1440" w:right="1440" w:bottom="1440" w:left="1440" w:header="708" w:footer="708" w:gutter="0"/>
          <w:pgNumType/>
          <w:docGrid w:linePitch="360"/>
        </w:sectPr>
      </w:pPr>
    </w:p>
    <w:p>
      <w:pPr>
        <w:pStyle w:val="Heading1"/>
      </w:pPr>
      <w:r>
        <w:t xml:space="preserve">Confusion Matrices (whole cohort)</w:t>
      </w:r>
    </w:p>
    <w:p>
      <w:r>
        <w:rPr>
          <w:sz w:val="20"/>
          <w:szCs w:val="20"/>
        </w:rPr>
        <w:t xml:space="preserve">Rows = ground-truth class, columns = predicted class. Diagonal (highlighted) cells are correct predictions. One matrix per model, task, and feature set.</w:t>
      </w:r>
    </w:p>
    <w:p>
      <w:pPr>
        <w:sectPr>
          <w:type w:val="nextPage"/>
          <w:pgSz w:w="12240" w:h="15840" w:orient="portrait"/>
          <w:pgMar w:top="1440" w:right="1440" w:bottom="1440" w:left="1440" w:header="708" w:footer="708" w:gutter="0"/>
          <w:pgNumType/>
          <w:docGrid w:linePitch="360"/>
        </w:sectPr>
      </w:pPr>
    </w:p>
    <w:p>
      <w:pPr>
        <w:pStyle w:val="Heading2"/>
      </w:pPr>
      <w:r>
        <w:t xml:space="preserve">GPT-OSS-120B</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115</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247</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230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191</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410</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93</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405</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85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61</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45</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266</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80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85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258</w:t>
            </w:r>
          </w:p>
        </w:tc>
      </w:tr>
    </w:tbl>
    <w:p>
      <w:r>
        <w:rPr>
          <w:sz w:val="8"/>
          <w:szCs w:val="8"/>
        </w:rPr>
        <w:t xml:space="preserve"/>
      </w:r>
    </w:p>
    <w:p>
      <w:pPr>
        <w:pStyle w:val="Heading2"/>
      </w:pPr>
      <w:r>
        <w:t xml:space="preserve">GPT-5.5</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122</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287</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275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69</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46</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256</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385</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71</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382</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81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79</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340</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98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327</w:t>
            </w:r>
          </w:p>
        </w:tc>
      </w:tr>
    </w:tbl>
    <w:p>
      <w:r>
        <w:rPr>
          <w:sz w:val="8"/>
          <w:szCs w:val="8"/>
        </w:rPr>
        <w:t xml:space="preserve"/>
      </w:r>
    </w:p>
    <w:p>
      <w:pPr>
        <w:pStyle w:val="Heading2"/>
      </w:pPr>
      <w:r>
        <w:t xml:space="preserve">Gemini 2.5 Pro</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145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199</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298</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202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142</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277</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107</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422</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84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48</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381</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61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351</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55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63</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344</w:t>
            </w:r>
          </w:p>
        </w:tc>
      </w:tr>
    </w:tbl>
    <w:p>
      <w:r>
        <w:rPr>
          <w:sz w:val="8"/>
          <w:szCs w:val="8"/>
        </w:rPr>
        <w:t xml:space="preserve"/>
      </w:r>
    </w:p>
    <w:sectPr>
      <w:type w:val="continuous"/>
      <w:pgSz w:w="12240" w:h="15840" w:orient="portrait"/>
      <w:pgMar w:top="1440" w:right="1440" w:bottom="1440" w:left="1440" w:header="708" w:footer="708" w:gutter="0"/>
      <w:pgNumType/>
      <w:cols w:space="480" w:num="2"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2026-06-02T15:28:34.036Z</dcterms:created>
  <dcterms:modified xsi:type="dcterms:W3CDTF">2026-06-02T15:28:34.039Z</dcterms:modified>
</cp:coreProperties>
</file>

<file path=docProps/custom.xml><?xml version="1.0" encoding="utf-8"?>
<Properties xmlns="http://schemas.openxmlformats.org/officeDocument/2006/custom-properties" xmlns:vt="http://schemas.openxmlformats.org/officeDocument/2006/docPropsVTypes"/>
</file>